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jc w:val="center"/>
        <w:rPr>
          <w:rStyle w:val="5"/>
          <w:rFonts w:hint="eastAsia" w:ascii="方正小标宋简体" w:hAnsi="方正小标宋简体" w:eastAsia="方正小标宋简体"/>
          <w:color w:val="00000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/>
          <w:color w:val="000000"/>
          <w:sz w:val="44"/>
          <w:szCs w:val="44"/>
        </w:rPr>
        <w:t>内蒙古自治区差别化电价电费</w:t>
      </w:r>
    </w:p>
    <w:p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jc w:val="center"/>
        <w:rPr>
          <w:rStyle w:val="5"/>
          <w:rFonts w:hint="eastAsia" w:ascii="方正小标宋简体" w:hAnsi="方正小标宋简体" w:eastAsia="方正小标宋简体"/>
          <w:color w:val="00000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/>
          <w:color w:val="000000"/>
          <w:sz w:val="44"/>
          <w:szCs w:val="44"/>
        </w:rPr>
        <w:t>收入征收管理办法</w:t>
      </w:r>
    </w:p>
    <w:p>
      <w:pPr>
        <w:pStyle w:val="6"/>
        <w:spacing w:after="0" w:line="580" w:lineRule="exact"/>
        <w:rPr>
          <w:rFonts w:hint="eastAsia" w:eastAsia="仿宋_GB2312"/>
          <w:sz w:val="32"/>
        </w:rPr>
      </w:pPr>
    </w:p>
    <w:p>
      <w:pPr>
        <w:spacing w:line="580" w:lineRule="exact"/>
        <w:ind w:firstLine="643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sz w:val="32"/>
          <w:szCs w:val="32"/>
        </w:rPr>
        <w:t>第一条</w:t>
      </w:r>
      <w:r>
        <w:rPr>
          <w:rFonts w:hint="eastAsia" w:ascii="仿宋_GB2312" w:hAnsi="Times New Roman" w:eastAsia="仿宋_GB2312"/>
          <w:sz w:val="32"/>
          <w:szCs w:val="32"/>
        </w:rPr>
        <w:t xml:space="preserve"> 为了规范全区差别化电价电费收入的管理，根据《国家发展改革委 财政部 国家电监会关于进一步落实差别电价政策有关问题的通知》（发改价格〔2007〕2655号）、《关于印发促进工业经济平稳增长的若干政策的通知》（发改产业〔2022〕273号）等有关规定，结合自治区实际，制定本办法。</w:t>
      </w:r>
    </w:p>
    <w:p>
      <w:pPr>
        <w:spacing w:line="580" w:lineRule="exact"/>
        <w:ind w:firstLine="643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sz w:val="32"/>
          <w:szCs w:val="32"/>
        </w:rPr>
        <w:t>第二条</w:t>
      </w:r>
      <w:r>
        <w:rPr>
          <w:rFonts w:hint="eastAsia" w:ascii="仿宋_GB2312" w:hAnsi="Times New Roman" w:eastAsia="仿宋_GB2312"/>
          <w:sz w:val="32"/>
          <w:szCs w:val="32"/>
        </w:rPr>
        <w:t xml:space="preserve"> 差别化电价电费收入（以下简称电费收入），主要由以下三部分构成：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（一）全区铁合金、电石、烧碱、锌冶炼、黄磷、钢铁、电解铝、水泥8类高耗能行业的差别电价电费收入；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（二）全区电解铝、水泥、钢铁3类高耗能行业的阶梯电价电费收入；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（三）全区虚拟货币“挖矿”用电的差别电价电费收入。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国家、自治区后续明确开征的其他差别电价、阶梯电价、惩罚性电价等差别化电价，除特殊规定外，所征收的电费收入同样适用于本办法。</w:t>
      </w:r>
    </w:p>
    <w:p>
      <w:pPr>
        <w:spacing w:line="580" w:lineRule="exact"/>
        <w:ind w:firstLine="619" w:firstLineChars="200"/>
        <w:rPr>
          <w:rFonts w:hint="eastAsia" w:ascii="仿宋_GB2312" w:hAnsi="Times New Roman" w:eastAsia="仿宋_GB2312"/>
          <w:spacing w:val="-6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spacing w:val="-6"/>
          <w:sz w:val="32"/>
          <w:szCs w:val="32"/>
        </w:rPr>
        <w:t>第三条</w:t>
      </w:r>
      <w:r>
        <w:rPr>
          <w:rFonts w:hint="eastAsia" w:ascii="仿宋_GB2312" w:hAnsi="Times New Roman" w:eastAsia="仿宋_GB2312"/>
          <w:spacing w:val="-6"/>
          <w:sz w:val="32"/>
          <w:szCs w:val="32"/>
        </w:rPr>
        <w:t xml:space="preserve"> 自治区工业和信息化厅确定全区铁合金、电石、</w:t>
      </w:r>
      <w:r>
        <w:rPr>
          <w:rFonts w:hint="eastAsia" w:ascii="仿宋_GB2312" w:hAnsi="Times New Roman" w:eastAsia="仿宋_GB2312"/>
          <w:sz w:val="32"/>
          <w:szCs w:val="32"/>
        </w:rPr>
        <w:t>烧碱、锌冶炼、黄磷、钢铁、电解铝、水泥等8类高耗能行业执行差别化电价的工业企业</w:t>
      </w:r>
      <w:r>
        <w:rPr>
          <w:rFonts w:hint="eastAsia" w:ascii="仿宋_GB2312" w:hAnsi="Times New Roman" w:eastAsia="仿宋_GB2312"/>
          <w:spacing w:val="-6"/>
          <w:sz w:val="32"/>
          <w:szCs w:val="32"/>
        </w:rPr>
        <w:t>名单，自治区发展改革委确定</w:t>
      </w:r>
      <w:r>
        <w:rPr>
          <w:rFonts w:hint="eastAsia" w:ascii="仿宋_GB2312" w:hAnsi="Times New Roman" w:eastAsia="仿宋_GB2312"/>
          <w:sz w:val="32"/>
          <w:szCs w:val="32"/>
        </w:rPr>
        <w:t>虚拟货币“挖矿”企业名单。后续执行差别化电价的其他行业的企业名单，</w:t>
      </w:r>
      <w:r>
        <w:rPr>
          <w:rFonts w:hint="eastAsia" w:ascii="仿宋_GB2312" w:hAnsi="Times New Roman" w:eastAsia="仿宋_GB2312"/>
          <w:spacing w:val="-6"/>
          <w:sz w:val="32"/>
          <w:szCs w:val="32"/>
        </w:rPr>
        <w:t>以自治区发展改革委或工业和信息化厅另行规定为准。</w:t>
      </w:r>
    </w:p>
    <w:p>
      <w:pPr>
        <w:spacing w:line="580" w:lineRule="exact"/>
        <w:ind w:firstLine="643" w:firstLineChars="200"/>
        <w:rPr>
          <w:rFonts w:hint="eastAsia"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sz w:val="32"/>
          <w:szCs w:val="32"/>
        </w:rPr>
        <w:t>第四条</w:t>
      </w: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电费收入属于政府非税收入，列“政府收支分类科目”</w:t>
      </w:r>
      <w:r>
        <w:rPr>
          <w:rFonts w:hint="eastAsia" w:ascii="仿宋_GB2312" w:hAnsi="????" w:eastAsia="仿宋_GB2312" w:cs="??"/>
          <w:color w:val="000000"/>
          <w:kern w:val="0"/>
          <w:sz w:val="32"/>
          <w:szCs w:val="32"/>
        </w:rPr>
        <w:t>第103类“非税收入”第99款“其他收入”第12项“差别电价收入”，征收时使用财政部门规定的非税票据，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缴入自治区本级国库，</w:t>
      </w:r>
      <w:r>
        <w:rPr>
          <w:rFonts w:hint="eastAsia" w:ascii="仿宋_GB2312" w:hAnsi="????" w:eastAsia="仿宋_GB2312" w:cs="??"/>
          <w:color w:val="000000"/>
          <w:kern w:val="0"/>
          <w:sz w:val="32"/>
          <w:szCs w:val="32"/>
        </w:rPr>
        <w:t>实行“收支两条线”管理。</w:t>
      </w:r>
    </w:p>
    <w:p>
      <w:pPr>
        <w:spacing w:line="580" w:lineRule="exact"/>
        <w:ind w:firstLine="643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sz w:val="32"/>
          <w:szCs w:val="32"/>
        </w:rPr>
        <w:t>第五条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电费收入按照国家、自治区现行标准收缴。如需修改自治区权限内征收标准的，由自治区发展改革委另行制定。</w:t>
      </w:r>
      <w:r>
        <w:rPr>
          <w:rFonts w:hint="eastAsia" w:ascii="仿宋_GB2312" w:hAnsi="Times New Roman" w:eastAsia="仿宋_GB2312"/>
          <w:sz w:val="32"/>
          <w:szCs w:val="32"/>
        </w:rPr>
        <w:tab/>
      </w:r>
    </w:p>
    <w:p>
      <w:pPr>
        <w:spacing w:line="580" w:lineRule="exact"/>
        <w:ind w:firstLine="643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sz w:val="32"/>
          <w:szCs w:val="32"/>
        </w:rPr>
        <w:t>第六条</w:t>
      </w: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电费收入由自治区电网企业负责组织收缴，根据自治区工业和信息化厅或发展改革委甄别公布的企业（生产设备）名单，及自治区发展改革委公布的加价标准，按照企业（生产设备）生产用电量（含市场化交易电量）收取加价电费。</w:t>
      </w:r>
      <w:r>
        <w:rPr>
          <w:rFonts w:hint="eastAsia" w:ascii="仿宋_GB2312" w:hAnsi="Times New Roman" w:eastAsia="仿宋_GB2312"/>
          <w:sz w:val="32"/>
          <w:szCs w:val="32"/>
        </w:rPr>
        <w:t>各级供电企业按照执行差别化电价企业名单，在每月电费收入收缴完成后，将实收的电费收入于次月10日前（遇法定节假日可延长至15日前）足额上缴自治区电网企业，自治区电网企业扣除法定自留部分后将剩余部分于当月20日前足额上缴自治区本级国库。</w:t>
      </w:r>
    </w:p>
    <w:p>
      <w:pPr>
        <w:spacing w:line="580" w:lineRule="exact"/>
        <w:ind w:firstLine="643" w:firstLineChars="200"/>
        <w:rPr>
          <w:rFonts w:hint="eastAsia"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sz w:val="32"/>
          <w:szCs w:val="32"/>
        </w:rPr>
        <w:t>第七条</w:t>
      </w:r>
      <w:r>
        <w:rPr>
          <w:rFonts w:hint="eastAsia" w:ascii="仿宋_GB2312" w:hAnsi="Times New Roman" w:eastAsia="仿宋_GB2312"/>
          <w:sz w:val="32"/>
          <w:szCs w:val="32"/>
        </w:rPr>
        <w:t xml:space="preserve"> 电费收入纳入自治区一般公共预算统筹管理。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 xml:space="preserve"> </w:t>
      </w:r>
    </w:p>
    <w:p>
      <w:pPr>
        <w:spacing w:line="580" w:lineRule="exact"/>
        <w:ind w:firstLine="643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sz w:val="32"/>
          <w:szCs w:val="32"/>
        </w:rPr>
        <w:t>第八条</w:t>
      </w:r>
      <w:r>
        <w:rPr>
          <w:rFonts w:hint="eastAsia" w:ascii="仿宋_GB2312" w:hAnsi="Times New Roman" w:eastAsia="仿宋_GB2312"/>
          <w:sz w:val="32"/>
          <w:szCs w:val="32"/>
        </w:rPr>
        <w:t xml:space="preserve"> 自治区电网企业要严格执行国家及自治区差别化电价管理政策，对拒缴、不缴、迟缴等违规行为按规定惩处，确保电费收入按时足额收缴。</w:t>
      </w:r>
    </w:p>
    <w:p>
      <w:pPr>
        <w:spacing w:line="580" w:lineRule="exact"/>
        <w:ind w:firstLine="643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sz w:val="32"/>
          <w:szCs w:val="32"/>
        </w:rPr>
        <w:t>第九条</w:t>
      </w:r>
      <w:r>
        <w:rPr>
          <w:rFonts w:hint="eastAsia" w:ascii="仿宋_GB2312" w:hAnsi="Times New Roman" w:eastAsia="仿宋_GB2312"/>
          <w:sz w:val="32"/>
          <w:szCs w:val="32"/>
        </w:rPr>
        <w:t xml:space="preserve"> 自治区电网企业要建立差别化电价年度收缴台账，详细列示应缴金额、实缴金额及收缴依据，于每年3月31日前向自治区财政厅、发展改革委、工业和信息化厅报送上一年度台账。</w:t>
      </w:r>
    </w:p>
    <w:p>
      <w:pPr>
        <w:spacing w:line="580" w:lineRule="exact"/>
        <w:ind w:firstLine="643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sz w:val="32"/>
          <w:szCs w:val="32"/>
        </w:rPr>
        <w:t>第十条</w:t>
      </w:r>
      <w:r>
        <w:rPr>
          <w:rFonts w:hint="eastAsia" w:ascii="仿宋_GB2312" w:hAnsi="Times New Roman" w:eastAsia="仿宋_GB2312"/>
          <w:sz w:val="32"/>
          <w:szCs w:val="32"/>
        </w:rPr>
        <w:t xml:space="preserve"> 除国家和自治区明确出台的减免政策外，任何地方和单位部门不得随意减征、免征、缓征电费收入。</w:t>
      </w:r>
    </w:p>
    <w:p>
      <w:pPr>
        <w:spacing w:line="580" w:lineRule="exact"/>
        <w:ind w:firstLine="643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sz w:val="32"/>
          <w:szCs w:val="32"/>
        </w:rPr>
        <w:t>第十一条</w:t>
      </w:r>
      <w:r>
        <w:rPr>
          <w:rFonts w:hint="eastAsia" w:ascii="仿宋_GB2312" w:hAnsi="Times New Roman" w:eastAsia="仿宋_GB2312"/>
          <w:sz w:val="32"/>
          <w:szCs w:val="32"/>
        </w:rPr>
        <w:t xml:space="preserve"> 任何单位和个人不得截留、挤占和挪用电费收入，对违反本办法规定的，按照《财政违法行为处罚处分条例》（国务院令第427号）等有关规定依法处理。构成犯罪的，依法追究刑事责任。</w:t>
      </w:r>
    </w:p>
    <w:p>
      <w:pPr>
        <w:spacing w:line="580" w:lineRule="exact"/>
        <w:ind w:firstLine="643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sz w:val="32"/>
          <w:szCs w:val="32"/>
        </w:rPr>
        <w:t>第十二条</w:t>
      </w:r>
      <w:r>
        <w:rPr>
          <w:rFonts w:hint="eastAsia" w:ascii="仿宋_GB2312" w:hAnsi="Times New Roman" w:eastAsia="仿宋_GB2312"/>
          <w:sz w:val="32"/>
          <w:szCs w:val="32"/>
        </w:rPr>
        <w:t xml:space="preserve"> 本办法由自治区财政厅、发展改革委、工业和信息化厅按职能职责分别负责解释。</w:t>
      </w:r>
    </w:p>
    <w:p>
      <w:pPr>
        <w:spacing w:line="580" w:lineRule="exact"/>
        <w:ind w:firstLine="643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sz w:val="32"/>
          <w:szCs w:val="32"/>
        </w:rPr>
        <w:t>第十三条</w:t>
      </w:r>
      <w:r>
        <w:rPr>
          <w:rFonts w:hint="eastAsia" w:ascii="仿宋_GB2312" w:hAnsi="Times New Roman" w:eastAsia="仿宋_GB2312"/>
          <w:sz w:val="32"/>
          <w:szCs w:val="32"/>
        </w:rPr>
        <w:t xml:space="preserve"> 本办法自发布之日起30日后施行，执行过程中如遇国家政策调整，从其规定。</w:t>
      </w:r>
    </w:p>
    <w:p>
      <w:pPr>
        <w:bidi w:val="0"/>
        <w:jc w:val="center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????">
    <w:altName w:val="DejaVu Math TeX Gyr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2YjE5ODg3MjJlMGViN2M4NjBmNTcwMThjOGM2NDcifQ=="/>
  </w:docVars>
  <w:rsids>
    <w:rsidRoot w:val="2E3D60C8"/>
    <w:rsid w:val="2E3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tmlPre"/>
    <w:basedOn w:val="1"/>
    <w:uiPriority w:val="0"/>
    <w:pPr>
      <w:widowControl/>
      <w:suppressAutoHyphens/>
      <w:jc w:val="left"/>
    </w:pPr>
    <w:rPr>
      <w:rFonts w:ascii="??" w:hAnsi="??" w:eastAsia="Times New Roman"/>
      <w:kern w:val="0"/>
      <w:sz w:val="24"/>
      <w:szCs w:val="24"/>
    </w:rPr>
  </w:style>
  <w:style w:type="character" w:customStyle="1" w:styleId="5">
    <w:name w:val="NormalCharacter"/>
    <w:uiPriority w:val="0"/>
    <w:rPr>
      <w:rFonts w:hint="default" w:ascii="Calibri" w:hAnsi="Calibri" w:eastAsia="Times New Roman"/>
      <w:kern w:val="2"/>
      <w:sz w:val="24"/>
      <w:lang w:val="en-US" w:eastAsia="zh-CN"/>
    </w:rPr>
  </w:style>
  <w:style w:type="paragraph" w:customStyle="1" w:styleId="6">
    <w:name w:val="BodyText1I2"/>
    <w:basedOn w:val="1"/>
    <w:next w:val="1"/>
    <w:qFormat/>
    <w:uiPriority w:val="0"/>
    <w:pPr>
      <w:widowControl/>
      <w:suppressAutoHyphens/>
      <w:spacing w:after="120"/>
      <w:ind w:firstLine="40"/>
    </w:pPr>
    <w:rPr>
      <w:rFonts w:ascii="仿宋_GB2312" w:hAnsi="仿宋_GB2312" w:eastAsia="仿宋"/>
      <w:color w:val="00000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2022-07-08T06:27:00Z</dcterms:created>
  <dc:creator>刘佳璐</dc:creator>
  <cp:lastModifiedBy>刘佳璐</cp:lastModifiedBy>
  <dcterms:modified xsi:type="dcterms:W3CDTF">2022-07-08T06:28:54Z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90AD1678C64B4A5E96C2424646702AAD</vt:lpwstr>
  </property>
</Properties>
</file>