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5"/>
        <w:ind w:left="0"/>
        <w:rPr>
          <w:rFonts w:ascii="Times New Roman"/>
          <w:sz w:val="23"/>
        </w:rPr>
      </w:pPr>
    </w:p>
    <w:p>
      <w:pPr>
        <w:spacing w:before="38" w:line="328" w:lineRule="auto"/>
        <w:ind w:left="2604" w:right="1654" w:hanging="384"/>
        <w:jc w:val="left"/>
        <w:rPr>
          <w:b/>
          <w:sz w:val="44"/>
        </w:rPr>
      </w:pPr>
      <w:r>
        <w:rPr>
          <w:b/>
          <w:w w:val="95"/>
          <w:sz w:val="44"/>
        </w:rPr>
        <w:t xml:space="preserve">赤峰市文化和旅游局(本级) </w:t>
      </w:r>
      <w:r>
        <w:rPr>
          <w:b/>
          <w:sz w:val="44"/>
        </w:rPr>
        <w:t>2021 年度决算公开报告</w:t>
      </w:r>
    </w:p>
    <w:p>
      <w:pPr>
        <w:spacing w:after="0" w:line="328" w:lineRule="auto"/>
        <w:jc w:val="left"/>
        <w:rPr>
          <w:sz w:val="44"/>
        </w:rPr>
        <w:sectPr>
          <w:type w:val="continuous"/>
          <w:pgSz w:w="12240" w:h="15840"/>
          <w:pgMar w:top="1500" w:right="1520" w:bottom="280" w:left="1560" w:header="720" w:footer="720" w:gutter="0"/>
        </w:sectPr>
      </w:pPr>
    </w:p>
    <w:p>
      <w:pPr>
        <w:pStyle w:val="3"/>
        <w:spacing w:before="8"/>
        <w:ind w:left="0"/>
        <w:rPr>
          <w:b/>
          <w:sz w:val="29"/>
        </w:rPr>
      </w:pPr>
    </w:p>
    <w:p>
      <w:pPr>
        <w:spacing w:before="38"/>
        <w:ind w:left="1305" w:right="743" w:firstLine="0"/>
        <w:jc w:val="center"/>
        <w:rPr>
          <w:b/>
          <w:sz w:val="44"/>
        </w:rPr>
      </w:pPr>
      <w:r>
        <w:rPr>
          <w:b/>
          <w:sz w:val="44"/>
        </w:rPr>
        <w:t>目录</w:t>
      </w:r>
    </w:p>
    <w:p>
      <w:pPr>
        <w:pStyle w:val="3"/>
        <w:ind w:left="0"/>
        <w:rPr>
          <w:b/>
          <w:sz w:val="20"/>
        </w:rPr>
      </w:pPr>
    </w:p>
    <w:p>
      <w:pPr>
        <w:pStyle w:val="3"/>
        <w:ind w:left="0"/>
        <w:rPr>
          <w:b/>
          <w:sz w:val="20"/>
        </w:rPr>
      </w:pPr>
    </w:p>
    <w:p>
      <w:pPr>
        <w:pStyle w:val="3"/>
        <w:spacing w:before="1"/>
        <w:ind w:left="0"/>
        <w:rPr>
          <w:b/>
          <w:sz w:val="22"/>
        </w:rPr>
      </w:pPr>
    </w:p>
    <w:p>
      <w:pPr>
        <w:pStyle w:val="2"/>
        <w:spacing w:before="54"/>
        <w:rPr>
          <w:rFonts w:hint="eastAsia" w:ascii="黑体" w:eastAsia="黑体"/>
        </w:rPr>
      </w:pPr>
      <w:r>
        <w:rPr>
          <w:rFonts w:hint="eastAsia" w:ascii="黑体" w:eastAsia="黑体"/>
        </w:rPr>
        <w:t>第一部分 部门基本情况</w:t>
      </w:r>
    </w:p>
    <w:p>
      <w:pPr>
        <w:pStyle w:val="3"/>
        <w:spacing w:before="11"/>
        <w:ind w:left="0"/>
        <w:rPr>
          <w:rFonts w:ascii="黑体"/>
          <w:b/>
          <w:sz w:val="28"/>
        </w:rPr>
      </w:pPr>
    </w:p>
    <w:p>
      <w:pPr>
        <w:pStyle w:val="3"/>
        <w:spacing w:before="1"/>
        <w:ind w:left="840"/>
      </w:pPr>
      <w:r>
        <w:t>一、主要职能职责</w:t>
      </w:r>
    </w:p>
    <w:p>
      <w:pPr>
        <w:pStyle w:val="3"/>
        <w:spacing w:before="11"/>
        <w:ind w:left="0"/>
        <w:rPr>
          <w:sz w:val="28"/>
        </w:rPr>
      </w:pPr>
    </w:p>
    <w:p>
      <w:pPr>
        <w:pStyle w:val="3"/>
        <w:ind w:left="840"/>
      </w:pPr>
      <w:r>
        <w:t>二、部门（单位）机构设置及决算单位构成情况</w:t>
      </w:r>
    </w:p>
    <w:p>
      <w:pPr>
        <w:pStyle w:val="3"/>
        <w:spacing w:before="11"/>
        <w:ind w:left="0"/>
        <w:rPr>
          <w:sz w:val="28"/>
        </w:rPr>
      </w:pPr>
    </w:p>
    <w:p>
      <w:pPr>
        <w:pStyle w:val="2"/>
        <w:rPr>
          <w:rFonts w:hint="eastAsia" w:ascii="黑体" w:eastAsia="黑体"/>
        </w:rPr>
      </w:pPr>
      <w:r>
        <w:rPr>
          <w:rFonts w:hint="eastAsia" w:ascii="黑体" w:eastAsia="黑体"/>
        </w:rPr>
        <w:t>第二部分 2021 年度部门决算情况说明</w:t>
      </w:r>
    </w:p>
    <w:p>
      <w:pPr>
        <w:pStyle w:val="3"/>
        <w:spacing w:before="11"/>
        <w:ind w:left="0"/>
        <w:rPr>
          <w:rFonts w:ascii="黑体"/>
          <w:b/>
          <w:sz w:val="28"/>
        </w:rPr>
      </w:pPr>
    </w:p>
    <w:p>
      <w:pPr>
        <w:pStyle w:val="3"/>
        <w:ind w:left="840"/>
      </w:pPr>
      <w:r>
        <w:t>一、关于 2021 年度预算执行情况分析</w:t>
      </w:r>
    </w:p>
    <w:p>
      <w:pPr>
        <w:pStyle w:val="3"/>
        <w:spacing w:before="11"/>
        <w:ind w:left="0"/>
        <w:rPr>
          <w:sz w:val="28"/>
        </w:rPr>
      </w:pPr>
    </w:p>
    <w:p>
      <w:pPr>
        <w:pStyle w:val="3"/>
        <w:spacing w:before="1"/>
        <w:ind w:left="840"/>
      </w:pPr>
      <w:r>
        <w:t>二、关于 2021 年度决算情况说明</w:t>
      </w:r>
    </w:p>
    <w:p>
      <w:pPr>
        <w:pStyle w:val="3"/>
        <w:spacing w:before="11"/>
        <w:ind w:left="0"/>
        <w:rPr>
          <w:sz w:val="28"/>
        </w:rPr>
      </w:pPr>
    </w:p>
    <w:p>
      <w:pPr>
        <w:pStyle w:val="3"/>
        <w:ind w:left="840"/>
      </w:pPr>
      <w:r>
        <w:t>（一）关于收支情况总体说明</w:t>
      </w:r>
    </w:p>
    <w:p>
      <w:pPr>
        <w:pStyle w:val="3"/>
        <w:spacing w:before="11"/>
        <w:ind w:left="0"/>
        <w:rPr>
          <w:sz w:val="28"/>
        </w:rPr>
      </w:pPr>
    </w:p>
    <w:p>
      <w:pPr>
        <w:pStyle w:val="3"/>
        <w:ind w:left="840"/>
      </w:pPr>
      <w:r>
        <w:t>（二）</w:t>
      </w:r>
      <w:r>
        <w:rPr>
          <w:spacing w:val="-29"/>
        </w:rPr>
        <w:t xml:space="preserve">关于 </w:t>
      </w:r>
      <w:r>
        <w:t>2021</w:t>
      </w:r>
      <w:r>
        <w:rPr>
          <w:spacing w:val="-10"/>
        </w:rPr>
        <w:t xml:space="preserve"> 年度收入决算情况说明</w:t>
      </w:r>
    </w:p>
    <w:p>
      <w:pPr>
        <w:pStyle w:val="3"/>
        <w:spacing w:before="11"/>
        <w:ind w:left="0"/>
        <w:rPr>
          <w:sz w:val="28"/>
        </w:rPr>
      </w:pPr>
    </w:p>
    <w:p>
      <w:pPr>
        <w:pStyle w:val="3"/>
        <w:ind w:left="840"/>
      </w:pPr>
      <w:r>
        <w:t>（三）</w:t>
      </w:r>
      <w:r>
        <w:rPr>
          <w:spacing w:val="-29"/>
        </w:rPr>
        <w:t xml:space="preserve">关于 </w:t>
      </w:r>
      <w:r>
        <w:t>2021</w:t>
      </w:r>
      <w:r>
        <w:rPr>
          <w:spacing w:val="-10"/>
        </w:rPr>
        <w:t xml:space="preserve"> 年度支出决算情况说明</w:t>
      </w:r>
    </w:p>
    <w:p>
      <w:pPr>
        <w:pStyle w:val="3"/>
        <w:spacing w:before="11"/>
        <w:ind w:left="0"/>
        <w:rPr>
          <w:sz w:val="28"/>
        </w:rPr>
      </w:pPr>
    </w:p>
    <w:p>
      <w:pPr>
        <w:pStyle w:val="3"/>
        <w:spacing w:before="1"/>
        <w:ind w:left="840"/>
      </w:pPr>
      <w:r>
        <w:t>（四</w:t>
      </w:r>
      <w:r>
        <w:rPr>
          <w:spacing w:val="-120"/>
        </w:rPr>
        <w:t>）</w:t>
      </w:r>
      <w:r>
        <w:rPr>
          <w:spacing w:val="-27"/>
        </w:rPr>
        <w:t xml:space="preserve">关于 </w:t>
      </w:r>
      <w:r>
        <w:t>2021</w:t>
      </w:r>
      <w:r>
        <w:rPr>
          <w:spacing w:val="-10"/>
        </w:rPr>
        <w:t xml:space="preserve"> 年度财政拨款收入支出决算总体情况说明</w:t>
      </w:r>
    </w:p>
    <w:p>
      <w:pPr>
        <w:pStyle w:val="3"/>
        <w:spacing w:before="11"/>
        <w:ind w:left="0"/>
        <w:rPr>
          <w:sz w:val="28"/>
        </w:rPr>
      </w:pPr>
    </w:p>
    <w:p>
      <w:pPr>
        <w:pStyle w:val="3"/>
        <w:spacing w:line="338" w:lineRule="auto"/>
        <w:ind w:right="278" w:firstLine="600"/>
      </w:pPr>
      <w:r>
        <w:t>（五</w:t>
      </w:r>
      <w:r>
        <w:rPr>
          <w:spacing w:val="-120"/>
        </w:rPr>
        <w:t>）</w:t>
      </w:r>
      <w:r>
        <w:rPr>
          <w:spacing w:val="-29"/>
        </w:rPr>
        <w:t xml:space="preserve">关于 </w:t>
      </w:r>
      <w:r>
        <w:t>2021</w:t>
      </w:r>
      <w:r>
        <w:rPr>
          <w:spacing w:val="-10"/>
        </w:rPr>
        <w:t xml:space="preserve"> 年度一般公共预算财政拨款支出决算情况说明</w:t>
      </w:r>
    </w:p>
    <w:p>
      <w:pPr>
        <w:pStyle w:val="3"/>
        <w:spacing w:before="202" w:line="340" w:lineRule="auto"/>
        <w:ind w:right="278" w:firstLine="600"/>
      </w:pPr>
      <w:r>
        <w:t>（六</w:t>
      </w:r>
      <w:r>
        <w:rPr>
          <w:spacing w:val="-120"/>
        </w:rPr>
        <w:t>）</w:t>
      </w:r>
      <w:r>
        <w:rPr>
          <w:spacing w:val="-29"/>
        </w:rPr>
        <w:t xml:space="preserve">关于 </w:t>
      </w:r>
      <w:r>
        <w:t>2021</w:t>
      </w:r>
      <w:r>
        <w:rPr>
          <w:spacing w:val="-10"/>
        </w:rPr>
        <w:t xml:space="preserve"> 年度一般公共预算财政拨款基本支出决算情况说明</w:t>
      </w:r>
    </w:p>
    <w:p>
      <w:pPr>
        <w:spacing w:after="0" w:line="340" w:lineRule="auto"/>
        <w:sectPr>
          <w:pgSz w:w="12240" w:h="15840"/>
          <w:pgMar w:top="1500" w:right="1520" w:bottom="280" w:left="1560" w:header="720" w:footer="720" w:gutter="0"/>
        </w:sectPr>
      </w:pPr>
    </w:p>
    <w:p>
      <w:pPr>
        <w:pStyle w:val="3"/>
        <w:spacing w:before="108"/>
        <w:ind w:left="840"/>
      </w:pPr>
      <w:r>
        <w:t>（七</w:t>
      </w:r>
      <w:r>
        <w:rPr>
          <w:spacing w:val="-84"/>
        </w:rPr>
        <w:t>）</w:t>
      </w:r>
      <w:r>
        <w:rPr>
          <w:spacing w:val="-27"/>
        </w:rPr>
        <w:t xml:space="preserve">关于 </w:t>
      </w:r>
      <w:r>
        <w:t>2021</w:t>
      </w:r>
      <w:r>
        <w:rPr>
          <w:spacing w:val="-13"/>
        </w:rPr>
        <w:t xml:space="preserve"> 年度财政拨款</w:t>
      </w:r>
      <w:r>
        <w:rPr>
          <w:rFonts w:ascii="Times New Roman" w:hAnsi="Times New Roman" w:eastAsia="Times New Roman"/>
        </w:rPr>
        <w:t>“</w:t>
      </w:r>
      <w:r>
        <w:t>三公</w:t>
      </w:r>
      <w:r>
        <w:rPr>
          <w:rFonts w:ascii="Times New Roman" w:hAnsi="Times New Roman" w:eastAsia="Times New Roman"/>
        </w:rPr>
        <w:t>”</w:t>
      </w:r>
      <w:r>
        <w:t>经费支出决算情况说</w:t>
      </w:r>
    </w:p>
    <w:p>
      <w:pPr>
        <w:pStyle w:val="3"/>
        <w:spacing w:before="171"/>
      </w:pPr>
      <w:r>
        <w:rPr>
          <w:w w:val="99"/>
        </w:rPr>
        <w:t>明</w:t>
      </w:r>
    </w:p>
    <w:p>
      <w:pPr>
        <w:pStyle w:val="3"/>
        <w:spacing w:before="11"/>
        <w:ind w:left="0"/>
        <w:rPr>
          <w:sz w:val="23"/>
        </w:rPr>
      </w:pPr>
    </w:p>
    <w:p>
      <w:pPr>
        <w:pStyle w:val="3"/>
        <w:spacing w:before="64"/>
        <w:ind w:left="1305" w:right="1616"/>
        <w:jc w:val="center"/>
      </w:pPr>
      <w:r>
        <w:rPr>
          <w:w w:val="95"/>
        </w:rPr>
        <w:t>1、财政拨款</w:t>
      </w:r>
      <w:r>
        <w:rPr>
          <w:rFonts w:ascii="Times New Roman" w:hAnsi="Times New Roman" w:eastAsia="Times New Roman"/>
          <w:w w:val="95"/>
        </w:rPr>
        <w:t>“</w:t>
      </w:r>
      <w:r>
        <w:rPr>
          <w:w w:val="95"/>
        </w:rPr>
        <w:t>三公</w:t>
      </w:r>
      <w:r>
        <w:rPr>
          <w:rFonts w:ascii="Times New Roman" w:hAnsi="Times New Roman" w:eastAsia="Times New Roman"/>
          <w:w w:val="95"/>
        </w:rPr>
        <w:t>”</w:t>
      </w:r>
      <w:r>
        <w:rPr>
          <w:w w:val="95"/>
        </w:rPr>
        <w:t>经费支出决算总体情况说明</w:t>
      </w:r>
    </w:p>
    <w:p>
      <w:pPr>
        <w:pStyle w:val="3"/>
        <w:spacing w:before="11"/>
        <w:ind w:left="0"/>
        <w:rPr>
          <w:sz w:val="28"/>
        </w:rPr>
      </w:pPr>
    </w:p>
    <w:p>
      <w:pPr>
        <w:pStyle w:val="3"/>
        <w:ind w:left="1305" w:right="1616"/>
        <w:jc w:val="center"/>
      </w:pPr>
      <w:r>
        <w:rPr>
          <w:w w:val="95"/>
        </w:rPr>
        <w:t>2、财政拨款</w:t>
      </w:r>
      <w:r>
        <w:rPr>
          <w:rFonts w:ascii="Times New Roman" w:hAnsi="Times New Roman" w:eastAsia="Times New Roman"/>
          <w:w w:val="95"/>
        </w:rPr>
        <w:t>“</w:t>
      </w:r>
      <w:r>
        <w:rPr>
          <w:w w:val="95"/>
        </w:rPr>
        <w:t>三公</w:t>
      </w:r>
      <w:r>
        <w:rPr>
          <w:rFonts w:ascii="Times New Roman" w:hAnsi="Times New Roman" w:eastAsia="Times New Roman"/>
          <w:w w:val="95"/>
        </w:rPr>
        <w:t>”</w:t>
      </w:r>
      <w:r>
        <w:rPr>
          <w:w w:val="95"/>
        </w:rPr>
        <w:t>经费支出决算具体情况说明</w:t>
      </w:r>
    </w:p>
    <w:p>
      <w:pPr>
        <w:pStyle w:val="3"/>
        <w:spacing w:before="11"/>
        <w:ind w:left="0"/>
        <w:rPr>
          <w:sz w:val="28"/>
        </w:rPr>
      </w:pPr>
    </w:p>
    <w:p>
      <w:pPr>
        <w:pStyle w:val="3"/>
        <w:spacing w:before="1" w:line="338" w:lineRule="auto"/>
        <w:ind w:right="278" w:firstLine="600"/>
      </w:pPr>
      <w:r>
        <w:t>（八</w:t>
      </w:r>
      <w:r>
        <w:rPr>
          <w:spacing w:val="-120"/>
        </w:rPr>
        <w:t>）</w:t>
      </w:r>
      <w:r>
        <w:rPr>
          <w:spacing w:val="-29"/>
        </w:rPr>
        <w:t xml:space="preserve">关于 </w:t>
      </w:r>
      <w:r>
        <w:t>2021</w:t>
      </w:r>
      <w:r>
        <w:rPr>
          <w:spacing w:val="-10"/>
        </w:rPr>
        <w:t xml:space="preserve"> 年度政府性基金预算财政拨款支出决算情况说明</w:t>
      </w:r>
    </w:p>
    <w:p>
      <w:pPr>
        <w:pStyle w:val="3"/>
        <w:spacing w:before="202"/>
        <w:ind w:left="840"/>
      </w:pPr>
      <w:r>
        <w:t>（九</w:t>
      </w:r>
      <w:r>
        <w:rPr>
          <w:spacing w:val="-120"/>
        </w:rPr>
        <w:t>）</w:t>
      </w:r>
      <w:r>
        <w:rPr>
          <w:spacing w:val="-27"/>
        </w:rPr>
        <w:t xml:space="preserve">关于 </w:t>
      </w:r>
      <w:r>
        <w:t>2021</w:t>
      </w:r>
      <w:r>
        <w:rPr>
          <w:spacing w:val="-10"/>
        </w:rPr>
        <w:t xml:space="preserve"> 年度国有资本经营预算支出决算情况说明</w:t>
      </w:r>
    </w:p>
    <w:p>
      <w:pPr>
        <w:pStyle w:val="3"/>
        <w:spacing w:before="11"/>
        <w:ind w:left="0"/>
        <w:rPr>
          <w:sz w:val="28"/>
        </w:rPr>
      </w:pPr>
    </w:p>
    <w:p>
      <w:pPr>
        <w:pStyle w:val="3"/>
        <w:ind w:left="840"/>
      </w:pPr>
      <w:r>
        <w:t>（十）关于 2021 年度项目支出决算情况说明</w:t>
      </w:r>
    </w:p>
    <w:p>
      <w:pPr>
        <w:pStyle w:val="3"/>
        <w:spacing w:before="11"/>
        <w:ind w:left="0"/>
        <w:rPr>
          <w:sz w:val="28"/>
        </w:rPr>
      </w:pPr>
    </w:p>
    <w:p>
      <w:pPr>
        <w:pStyle w:val="3"/>
        <w:ind w:left="840"/>
      </w:pPr>
      <w:r>
        <w:t>（十一）政府采购支出情况</w:t>
      </w:r>
    </w:p>
    <w:p>
      <w:pPr>
        <w:pStyle w:val="3"/>
        <w:spacing w:before="11"/>
        <w:ind w:left="0"/>
        <w:rPr>
          <w:sz w:val="28"/>
        </w:rPr>
      </w:pPr>
    </w:p>
    <w:p>
      <w:pPr>
        <w:pStyle w:val="3"/>
        <w:ind w:left="840"/>
      </w:pPr>
      <w:r>
        <w:t>（十二）机关运行经费支出情况</w:t>
      </w:r>
    </w:p>
    <w:p>
      <w:pPr>
        <w:pStyle w:val="3"/>
        <w:spacing w:before="12"/>
        <w:ind w:left="0"/>
        <w:rPr>
          <w:sz w:val="28"/>
        </w:rPr>
      </w:pPr>
    </w:p>
    <w:p>
      <w:pPr>
        <w:pStyle w:val="3"/>
        <w:ind w:left="840"/>
      </w:pPr>
      <w:r>
        <w:t>（十三）国有资产占用情况</w:t>
      </w:r>
    </w:p>
    <w:p>
      <w:pPr>
        <w:pStyle w:val="3"/>
        <w:spacing w:before="11"/>
        <w:ind w:left="0"/>
        <w:rPr>
          <w:sz w:val="28"/>
        </w:rPr>
      </w:pPr>
    </w:p>
    <w:p>
      <w:pPr>
        <w:pStyle w:val="3"/>
        <w:ind w:left="840"/>
      </w:pPr>
      <w:r>
        <w:t>三、预算绩效评价工作开展情况</w:t>
      </w:r>
    </w:p>
    <w:p>
      <w:pPr>
        <w:pStyle w:val="3"/>
        <w:spacing w:before="248"/>
        <w:ind w:left="840"/>
      </w:pPr>
      <w:r>
        <w:t>（一）预算绩效管理工作开展情况</w:t>
      </w:r>
    </w:p>
    <w:p>
      <w:pPr>
        <w:pStyle w:val="3"/>
        <w:spacing w:before="170"/>
        <w:ind w:left="840"/>
      </w:pPr>
      <w:r>
        <w:t>（二）部门决算中项目绩效自评结果</w:t>
      </w:r>
    </w:p>
    <w:p>
      <w:pPr>
        <w:pStyle w:val="3"/>
        <w:spacing w:before="11"/>
        <w:ind w:left="0"/>
        <w:rPr>
          <w:sz w:val="22"/>
        </w:rPr>
      </w:pPr>
    </w:p>
    <w:p>
      <w:pPr>
        <w:pStyle w:val="3"/>
        <w:spacing w:before="1"/>
        <w:ind w:left="840"/>
      </w:pPr>
      <w:r>
        <w:t>（三）部门评价项目绩效评价结果</w:t>
      </w:r>
    </w:p>
    <w:p>
      <w:pPr>
        <w:pStyle w:val="3"/>
        <w:ind w:left="0"/>
      </w:pPr>
    </w:p>
    <w:p>
      <w:pPr>
        <w:pStyle w:val="3"/>
        <w:ind w:left="0"/>
      </w:pPr>
    </w:p>
    <w:p>
      <w:pPr>
        <w:pStyle w:val="3"/>
        <w:spacing w:before="9"/>
        <w:ind w:left="0"/>
        <w:rPr>
          <w:sz w:val="25"/>
        </w:rPr>
      </w:pPr>
    </w:p>
    <w:p>
      <w:pPr>
        <w:pStyle w:val="2"/>
        <w:rPr>
          <w:rFonts w:hint="eastAsia" w:ascii="黑体" w:eastAsia="黑体"/>
        </w:rPr>
      </w:pPr>
      <w:r>
        <w:rPr>
          <w:rFonts w:hint="eastAsia" w:ascii="黑体" w:eastAsia="黑体"/>
        </w:rPr>
        <w:t>第三部分 名词解释</w:t>
      </w:r>
    </w:p>
    <w:p>
      <w:pPr>
        <w:spacing w:after="0"/>
        <w:rPr>
          <w:rFonts w:hint="eastAsia" w:ascii="黑体" w:eastAsia="黑体"/>
        </w:rPr>
        <w:sectPr>
          <w:pgSz w:w="12240" w:h="15840"/>
          <w:pgMar w:top="1500" w:right="1520" w:bottom="280" w:left="1560" w:header="720" w:footer="720" w:gutter="0"/>
        </w:sectPr>
      </w:pPr>
    </w:p>
    <w:p>
      <w:pPr>
        <w:spacing w:before="108" w:line="456" w:lineRule="auto"/>
        <w:ind w:left="840" w:right="2023" w:firstLine="0"/>
        <w:jc w:val="left"/>
        <w:rPr>
          <w:rFonts w:hint="eastAsia" w:ascii="黑体" w:eastAsia="黑体"/>
          <w:b/>
          <w:sz w:val="32"/>
        </w:rPr>
      </w:pPr>
      <w:r>
        <w:rPr>
          <w:rFonts w:hint="eastAsia" w:ascii="黑体" w:eastAsia="黑体"/>
          <w:b/>
          <w:sz w:val="32"/>
        </w:rPr>
        <w:t>第四部分 决算公开联系方式及信息反馈渠道第五部分 部门决算公开表</w:t>
      </w:r>
    </w:p>
    <w:p>
      <w:pPr>
        <w:pStyle w:val="3"/>
        <w:spacing w:before="2" w:line="456" w:lineRule="auto"/>
        <w:ind w:left="840" w:right="5119"/>
      </w:pPr>
      <w:r>
        <w:rPr>
          <w:spacing w:val="-2"/>
        </w:rPr>
        <w:t>一、收入支出决算总表</w:t>
      </w:r>
      <w:r>
        <w:t>二、收入决算表</w:t>
      </w:r>
    </w:p>
    <w:p>
      <w:pPr>
        <w:pStyle w:val="3"/>
        <w:spacing w:before="2"/>
        <w:ind w:left="840"/>
      </w:pPr>
      <w:r>
        <w:rPr>
          <w:w w:val="95"/>
        </w:rPr>
        <w:t>三、支出决算表</w:t>
      </w:r>
    </w:p>
    <w:p>
      <w:pPr>
        <w:pStyle w:val="3"/>
        <w:spacing w:before="11"/>
        <w:ind w:left="0"/>
        <w:rPr>
          <w:sz w:val="28"/>
        </w:rPr>
      </w:pPr>
    </w:p>
    <w:p>
      <w:pPr>
        <w:pStyle w:val="3"/>
        <w:spacing w:line="456" w:lineRule="auto"/>
        <w:ind w:left="840" w:right="3839"/>
      </w:pPr>
      <w:r>
        <w:t>四、财政拨款收入支出决算总表五、项目收入支出决算表</w:t>
      </w:r>
    </w:p>
    <w:p>
      <w:pPr>
        <w:pStyle w:val="3"/>
        <w:spacing w:before="2"/>
        <w:ind w:left="840"/>
      </w:pPr>
      <w:r>
        <w:t>六、一般公共预算财政拨款支出决算表</w:t>
      </w:r>
    </w:p>
    <w:p>
      <w:pPr>
        <w:pStyle w:val="3"/>
        <w:spacing w:before="11"/>
        <w:ind w:left="0"/>
        <w:rPr>
          <w:sz w:val="28"/>
        </w:rPr>
      </w:pPr>
    </w:p>
    <w:p>
      <w:pPr>
        <w:pStyle w:val="3"/>
        <w:spacing w:line="456" w:lineRule="auto"/>
        <w:ind w:left="840" w:right="1598"/>
      </w:pPr>
      <w:r>
        <w:rPr>
          <w:spacing w:val="-1"/>
        </w:rPr>
        <w:t>七、一般公共预算财政拨款基本支出决算明细表</w:t>
      </w:r>
      <w:r>
        <w:t xml:space="preserve">八、政府性基金预算财政拨款收入支出决算表 </w:t>
      </w:r>
      <w:r>
        <w:rPr>
          <w:spacing w:val="-1"/>
        </w:rPr>
        <w:t>九、国有资本经营预算财政拨款收入支出决算表</w:t>
      </w:r>
      <w:r>
        <w:t>十、财政拨款</w:t>
      </w:r>
      <w:r>
        <w:rPr>
          <w:rFonts w:ascii="Times New Roman" w:hAnsi="Times New Roman" w:eastAsia="Times New Roman"/>
        </w:rPr>
        <w:t>“</w:t>
      </w:r>
      <w:r>
        <w:t>三公</w:t>
      </w:r>
      <w:r>
        <w:rPr>
          <w:rFonts w:ascii="Times New Roman" w:hAnsi="Times New Roman" w:eastAsia="Times New Roman"/>
        </w:rPr>
        <w:t>”</w:t>
      </w:r>
      <w:r>
        <w:t>经费支出决算表</w:t>
      </w:r>
    </w:p>
    <w:p>
      <w:pPr>
        <w:pStyle w:val="3"/>
        <w:spacing w:before="4" w:line="340" w:lineRule="auto"/>
        <w:ind w:right="319" w:firstLine="600"/>
      </w:pPr>
      <w:r>
        <w:t>十一、机关运行经费支出、国有资产占用情况及政府采购支出信息表</w:t>
      </w:r>
    </w:p>
    <w:p>
      <w:pPr>
        <w:pStyle w:val="3"/>
        <w:ind w:left="0"/>
      </w:pPr>
    </w:p>
    <w:p>
      <w:pPr>
        <w:pStyle w:val="3"/>
        <w:spacing w:before="8"/>
        <w:ind w:left="0"/>
        <w:rPr>
          <w:sz w:val="44"/>
        </w:rPr>
      </w:pPr>
    </w:p>
    <w:p>
      <w:pPr>
        <w:spacing w:before="0" w:line="456" w:lineRule="auto"/>
        <w:ind w:left="840" w:right="4912" w:firstLine="0"/>
        <w:jc w:val="left"/>
        <w:rPr>
          <w:sz w:val="32"/>
        </w:rPr>
      </w:pPr>
      <w:r>
        <w:rPr>
          <w:b/>
          <w:sz w:val="32"/>
        </w:rPr>
        <w:t>第一部分 部门基本情况</w:t>
      </w:r>
      <w:r>
        <w:rPr>
          <w:sz w:val="32"/>
        </w:rPr>
        <w:t>一、主要职能职责</w:t>
      </w:r>
    </w:p>
    <w:p>
      <w:pPr>
        <w:spacing w:after="0" w:line="456" w:lineRule="auto"/>
        <w:jc w:val="left"/>
        <w:rPr>
          <w:sz w:val="32"/>
        </w:rPr>
        <w:sectPr>
          <w:pgSz w:w="12240" w:h="15840"/>
          <w:pgMar w:top="1500" w:right="1520" w:bottom="280" w:left="1560" w:header="720" w:footer="720" w:gutter="0"/>
        </w:sectPr>
      </w:pPr>
    </w:p>
    <w:p>
      <w:pPr>
        <w:pStyle w:val="3"/>
        <w:spacing w:before="69"/>
        <w:ind w:left="880"/>
        <w:rPr>
          <w:rFonts w:hint="eastAsia" w:ascii="楷体" w:eastAsia="楷体"/>
        </w:rPr>
      </w:pPr>
      <w:r>
        <w:rPr>
          <w:rFonts w:hint="eastAsia" w:ascii="楷体" w:eastAsia="楷体"/>
        </w:rPr>
        <w:t>（一）部门职能</w:t>
      </w:r>
    </w:p>
    <w:p>
      <w:pPr>
        <w:pStyle w:val="3"/>
        <w:spacing w:before="150" w:line="326" w:lineRule="auto"/>
        <w:ind w:right="278" w:firstLine="640"/>
      </w:pPr>
      <w:r>
        <w:rPr>
          <w:w w:val="95"/>
        </w:rPr>
        <w:t xml:space="preserve">赤峰市文化和旅游局是赤峰市人民政府主管文化文物和旅 </w:t>
      </w:r>
      <w:r>
        <w:t>游管理的综合经济部门。</w:t>
      </w:r>
    </w:p>
    <w:p>
      <w:pPr>
        <w:pStyle w:val="3"/>
        <w:spacing w:before="5"/>
        <w:ind w:left="880"/>
        <w:rPr>
          <w:rFonts w:hint="eastAsia" w:ascii="楷体" w:eastAsia="楷体"/>
        </w:rPr>
      </w:pPr>
      <w:r>
        <w:rPr>
          <w:rFonts w:hint="eastAsia" w:ascii="楷体" w:eastAsia="楷体"/>
          <w:w w:val="95"/>
        </w:rPr>
        <w:t>（二）部门主要职责</w:t>
      </w:r>
    </w:p>
    <w:p>
      <w:pPr>
        <w:pStyle w:val="3"/>
        <w:spacing w:before="150" w:line="326" w:lineRule="auto"/>
        <w:ind w:left="559" w:right="278" w:firstLine="640"/>
      </w:pPr>
      <w:r>
        <w:rPr>
          <w:rFonts w:ascii="Times New Roman" w:eastAsia="Times New Roman"/>
          <w:w w:val="95"/>
        </w:rPr>
        <w:t>1</w:t>
      </w:r>
      <w:r>
        <w:rPr>
          <w:spacing w:val="-15"/>
          <w:w w:val="95"/>
        </w:rPr>
        <w:t xml:space="preserve">、研究拟订全市文化和旅游政策措施，起草文化旅游有 </w:t>
      </w:r>
      <w:r>
        <w:rPr>
          <w:spacing w:val="-15"/>
        </w:rPr>
        <w:t>关地方性法规、规章草案。</w:t>
      </w:r>
    </w:p>
    <w:p>
      <w:pPr>
        <w:pStyle w:val="3"/>
        <w:spacing w:before="5" w:line="326" w:lineRule="auto"/>
        <w:ind w:left="559" w:right="278"/>
        <w:jc w:val="both"/>
      </w:pPr>
      <w:r>
        <w:rPr>
          <w:rFonts w:ascii="Arial" w:hAnsi="Arial" w:eastAsia="Arial"/>
          <w:w w:val="95"/>
        </w:rPr>
        <w:t>  </w:t>
      </w:r>
      <w:r>
        <w:rPr>
          <w:rFonts w:ascii="Times New Roman" w:hAnsi="Times New Roman" w:eastAsia="Times New Roman"/>
          <w:w w:val="95"/>
        </w:rPr>
        <w:t>2</w:t>
      </w:r>
      <w:r>
        <w:rPr>
          <w:spacing w:val="-14"/>
          <w:w w:val="95"/>
        </w:rPr>
        <w:t xml:space="preserve">、统筹规划全市文化事业、文化产业和旅游业发展，拟 订发展规划并组织实施，推进文化和旅游融合发展，推进文 </w:t>
      </w:r>
      <w:r>
        <w:rPr>
          <w:spacing w:val="-14"/>
        </w:rPr>
        <w:t>化和旅游体制机制改革。</w:t>
      </w:r>
    </w:p>
    <w:p>
      <w:pPr>
        <w:pStyle w:val="3"/>
        <w:spacing w:before="7" w:line="328" w:lineRule="auto"/>
        <w:ind w:left="559" w:right="117"/>
      </w:pPr>
      <w:r>
        <w:rPr>
          <w:rFonts w:ascii="Arial" w:hAnsi="Arial" w:eastAsia="Arial"/>
          <w:w w:val="95"/>
        </w:rPr>
        <w:t>  </w:t>
      </w:r>
      <w:r>
        <w:rPr>
          <w:rFonts w:ascii="Times New Roman" w:hAnsi="Times New Roman" w:eastAsia="Times New Roman"/>
          <w:w w:val="95"/>
        </w:rPr>
        <w:t>3</w:t>
      </w:r>
      <w:r>
        <w:rPr>
          <w:w w:val="95"/>
        </w:rPr>
        <w:t xml:space="preserve">、管理全市性重大文化活动，指导重点文化设施建设， </w:t>
      </w:r>
      <w:r>
        <w:t>组织赤峰旅游整体形象推广，促进文化产业和旅游产业对外</w:t>
      </w:r>
      <w:r>
        <w:rPr>
          <w:spacing w:val="-12"/>
          <w:w w:val="95"/>
        </w:rPr>
        <w:t xml:space="preserve">合作和市场推广，制定旅游市场开发战略并组织实施，指导、 </w:t>
      </w:r>
      <w:r>
        <w:rPr>
          <w:spacing w:val="-12"/>
        </w:rPr>
        <w:t>推进全域旅游和四季旅游。</w:t>
      </w:r>
    </w:p>
    <w:p>
      <w:pPr>
        <w:pStyle w:val="3"/>
        <w:spacing w:line="328" w:lineRule="auto"/>
        <w:ind w:left="559" w:right="119"/>
      </w:pPr>
      <w:r>
        <w:rPr>
          <w:rFonts w:ascii="Arial" w:hAnsi="Arial" w:eastAsia="Arial"/>
        </w:rPr>
        <w:t>  </w:t>
      </w:r>
      <w:r>
        <w:rPr>
          <w:rFonts w:ascii="Times New Roman" w:hAnsi="Times New Roman" w:eastAsia="Times New Roman"/>
        </w:rPr>
        <w:t>4</w:t>
      </w:r>
      <w:r>
        <w:rPr>
          <w:spacing w:val="-14"/>
        </w:rPr>
        <w:t>、指导、管理文艺事业，指导艺术创作生产，扶持体现</w:t>
      </w:r>
      <w:r>
        <w:rPr>
          <w:spacing w:val="-18"/>
          <w:w w:val="95"/>
        </w:rPr>
        <w:t xml:space="preserve">社会主义核心价值观、具有导向性代表性示范性的文艺作品， </w:t>
      </w:r>
      <w:r>
        <w:rPr>
          <w:spacing w:val="-18"/>
        </w:rPr>
        <w:t>推动各门类艺术、各艺术品种发展。指导并推动全市乌兰牧骑事业发展。</w:t>
      </w:r>
    </w:p>
    <w:p>
      <w:pPr>
        <w:pStyle w:val="3"/>
        <w:spacing w:line="328" w:lineRule="auto"/>
        <w:ind w:left="559" w:right="278"/>
        <w:jc w:val="both"/>
      </w:pPr>
      <w:r>
        <w:rPr>
          <w:rFonts w:ascii="Arial" w:hAnsi="Arial" w:eastAsia="Arial"/>
          <w:w w:val="95"/>
        </w:rPr>
        <w:t>  </w:t>
      </w:r>
      <w:r>
        <w:rPr>
          <w:rFonts w:ascii="Times New Roman" w:hAnsi="Times New Roman" w:eastAsia="Times New Roman"/>
          <w:w w:val="95"/>
        </w:rPr>
        <w:t>5</w:t>
      </w:r>
      <w:r>
        <w:rPr>
          <w:spacing w:val="-14"/>
          <w:w w:val="95"/>
        </w:rPr>
        <w:t xml:space="preserve">、负责公共文化事业发展，推进现代公共文化服务体系 建设和旅游公共服务建设，深入实施文化惠民工程，统筹推 </w:t>
      </w:r>
      <w:r>
        <w:rPr>
          <w:spacing w:val="-14"/>
        </w:rPr>
        <w:t>进基本公共文化服务标准化、均等化。</w:t>
      </w:r>
    </w:p>
    <w:p>
      <w:pPr>
        <w:pStyle w:val="3"/>
        <w:spacing w:line="328" w:lineRule="auto"/>
        <w:ind w:left="559" w:right="280"/>
      </w:pPr>
      <w:r>
        <w:rPr>
          <w:rFonts w:ascii="Arial" w:hAnsi="Arial" w:eastAsia="Arial"/>
          <w:w w:val="95"/>
        </w:rPr>
        <w:t>  </w:t>
      </w:r>
      <w:r>
        <w:rPr>
          <w:rFonts w:ascii="Times New Roman" w:hAnsi="Times New Roman" w:eastAsia="Times New Roman"/>
          <w:w w:val="95"/>
        </w:rPr>
        <w:t>6</w:t>
      </w:r>
      <w:r>
        <w:rPr>
          <w:spacing w:val="-14"/>
          <w:w w:val="95"/>
        </w:rPr>
        <w:t xml:space="preserve">、负责非物质文化遗产保护，推动非物质文化遗产的保 </w:t>
      </w:r>
      <w:r>
        <w:rPr>
          <w:spacing w:val="-14"/>
        </w:rPr>
        <w:t>护、传承、普及、弘扬，组织实施传统工艺振兴计划。</w:t>
      </w:r>
    </w:p>
    <w:p>
      <w:pPr>
        <w:pStyle w:val="3"/>
        <w:spacing w:line="407" w:lineRule="exact"/>
        <w:ind w:left="559"/>
      </w:pPr>
      <w:r>
        <w:rPr>
          <w:rFonts w:ascii="Arial" w:hAnsi="Arial" w:eastAsia="Arial"/>
        </w:rPr>
        <w:t>  </w:t>
      </w:r>
      <w:r>
        <w:rPr>
          <w:rFonts w:ascii="Times New Roman" w:hAnsi="Times New Roman" w:eastAsia="Times New Roman"/>
        </w:rPr>
        <w:t>7</w:t>
      </w:r>
      <w:r>
        <w:t>、指导和协调全市文物保护、考古发掘、资源调查、日</w:t>
      </w:r>
    </w:p>
    <w:p>
      <w:pPr>
        <w:spacing w:after="0" w:line="407" w:lineRule="exact"/>
        <w:sectPr>
          <w:pgSz w:w="12240" w:h="15840"/>
          <w:pgMar w:top="1500" w:right="1520" w:bottom="280" w:left="1560" w:header="720" w:footer="720" w:gutter="0"/>
        </w:sectPr>
      </w:pPr>
    </w:p>
    <w:p>
      <w:pPr>
        <w:pStyle w:val="3"/>
        <w:spacing w:before="69"/>
        <w:ind w:left="559"/>
      </w:pPr>
      <w:r>
        <w:rPr>
          <w:w w:val="95"/>
        </w:rPr>
        <w:t>常监管和博物馆管理等工作。</w:t>
      </w:r>
    </w:p>
    <w:p>
      <w:pPr>
        <w:pStyle w:val="3"/>
        <w:spacing w:before="150" w:line="326" w:lineRule="auto"/>
        <w:ind w:left="559" w:right="278"/>
      </w:pPr>
      <w:r>
        <w:rPr>
          <w:rFonts w:ascii="Arial" w:hAnsi="Arial" w:eastAsia="Arial"/>
          <w:w w:val="95"/>
        </w:rPr>
        <w:t>  </w:t>
      </w:r>
      <w:r>
        <w:rPr>
          <w:rFonts w:ascii="Times New Roman" w:hAnsi="Times New Roman" w:eastAsia="Times New Roman"/>
          <w:w w:val="95"/>
        </w:rPr>
        <w:t>8</w:t>
      </w:r>
      <w:r>
        <w:rPr>
          <w:spacing w:val="-14"/>
          <w:w w:val="95"/>
        </w:rPr>
        <w:t xml:space="preserve">、指导、推进文化和旅游科技创新发展，推进文化和旅 </w:t>
      </w:r>
      <w:r>
        <w:rPr>
          <w:spacing w:val="-14"/>
        </w:rPr>
        <w:t>游行业信息化、标准化建设。</w:t>
      </w:r>
    </w:p>
    <w:p>
      <w:pPr>
        <w:pStyle w:val="3"/>
        <w:spacing w:before="5" w:line="326" w:lineRule="auto"/>
        <w:ind w:left="559" w:right="278"/>
        <w:jc w:val="both"/>
      </w:pPr>
      <w:r>
        <w:rPr>
          <w:rFonts w:ascii="Arial" w:hAnsi="Arial" w:eastAsia="Arial"/>
          <w:w w:val="95"/>
        </w:rPr>
        <w:t>  </w:t>
      </w:r>
      <w:r>
        <w:rPr>
          <w:rFonts w:ascii="Times New Roman" w:hAnsi="Times New Roman" w:eastAsia="Times New Roman"/>
          <w:w w:val="95"/>
        </w:rPr>
        <w:t>9</w:t>
      </w:r>
      <w:r>
        <w:rPr>
          <w:spacing w:val="-15"/>
          <w:w w:val="95"/>
        </w:rPr>
        <w:t xml:space="preserve">、统筹规划文化产业和旅游产业，组织实施文化和旅游 资源普查、挖掘、保护和利用工作，促进文化产业和旅游产 </w:t>
      </w:r>
      <w:r>
        <w:rPr>
          <w:spacing w:val="-15"/>
        </w:rPr>
        <w:t>业发展。</w:t>
      </w:r>
    </w:p>
    <w:p>
      <w:pPr>
        <w:pStyle w:val="3"/>
        <w:spacing w:before="7" w:line="326" w:lineRule="auto"/>
        <w:ind w:left="559" w:right="117"/>
        <w:jc w:val="both"/>
      </w:pPr>
      <w:r>
        <w:rPr>
          <w:rFonts w:ascii="Arial" w:hAnsi="Arial" w:eastAsia="Arial"/>
          <w:w w:val="95"/>
        </w:rPr>
        <w:t>  </w:t>
      </w:r>
      <w:r>
        <w:rPr>
          <w:rFonts w:ascii="Times New Roman" w:hAnsi="Times New Roman" w:eastAsia="Times New Roman"/>
          <w:w w:val="95"/>
        </w:rPr>
        <w:t>10</w:t>
      </w:r>
      <w:r>
        <w:rPr>
          <w:spacing w:val="-14"/>
          <w:w w:val="95"/>
        </w:rPr>
        <w:t xml:space="preserve">、指导文化和旅游市场发展，对文化和旅游安全生产、 </w:t>
      </w:r>
      <w:r>
        <w:rPr>
          <w:spacing w:val="-18"/>
          <w:w w:val="95"/>
        </w:rPr>
        <w:t xml:space="preserve">市场经营进行行业监管，推进文化和旅游行业信用体系建设， </w:t>
      </w:r>
      <w:r>
        <w:rPr>
          <w:spacing w:val="-18"/>
        </w:rPr>
        <w:t>依法规范文化和旅游市场。</w:t>
      </w:r>
    </w:p>
    <w:p>
      <w:pPr>
        <w:pStyle w:val="3"/>
        <w:spacing w:before="8" w:line="326" w:lineRule="auto"/>
        <w:ind w:left="559" w:right="278"/>
        <w:jc w:val="both"/>
      </w:pPr>
      <w:r>
        <w:rPr>
          <w:rFonts w:ascii="Arial" w:hAnsi="Arial" w:eastAsia="Arial"/>
          <w:spacing w:val="-3"/>
        </w:rPr>
        <w:t>  </w:t>
      </w:r>
      <w:r>
        <w:rPr>
          <w:rFonts w:ascii="Times New Roman" w:hAnsi="Times New Roman" w:eastAsia="Times New Roman"/>
          <w:spacing w:val="-3"/>
        </w:rPr>
        <w:t>11</w:t>
      </w:r>
      <w:r>
        <w:t>、负责指导、监管全市文化、文物和旅游综合执法工</w:t>
      </w:r>
      <w:r>
        <w:rPr>
          <w:w w:val="95"/>
        </w:rPr>
        <w:t xml:space="preserve">作。负责文化场所、文物工程、文化活动、旅游景区及旅游 </w:t>
      </w:r>
      <w:r>
        <w:t>项目和设施的安全监管。</w:t>
      </w:r>
    </w:p>
    <w:p>
      <w:pPr>
        <w:pStyle w:val="3"/>
        <w:spacing w:before="7" w:line="326" w:lineRule="auto"/>
        <w:ind w:left="559" w:right="278"/>
        <w:jc w:val="both"/>
      </w:pPr>
      <w:r>
        <w:rPr>
          <w:rFonts w:ascii="Arial" w:hAnsi="Arial" w:eastAsia="Arial"/>
          <w:w w:val="95"/>
        </w:rPr>
        <w:t>  </w:t>
      </w:r>
      <w:r>
        <w:rPr>
          <w:rFonts w:ascii="Times New Roman" w:hAnsi="Times New Roman" w:eastAsia="Times New Roman"/>
          <w:w w:val="95"/>
        </w:rPr>
        <w:t>12</w:t>
      </w:r>
      <w:r>
        <w:rPr>
          <w:w w:val="95"/>
        </w:rPr>
        <w:t xml:space="preserve">、指导、管理文化和旅游对外及对港澳台交流、合作 和宣传、推广工作，组织大型文化和旅游对外及对港澳台交 </w:t>
      </w:r>
      <w:r>
        <w:t>流活动，负责区域交流合作工作，推动赤峰文化走出去。</w:t>
      </w:r>
    </w:p>
    <w:p>
      <w:pPr>
        <w:pStyle w:val="3"/>
        <w:spacing w:before="7"/>
        <w:ind w:left="559"/>
      </w:pPr>
      <w:r>
        <w:rPr>
          <w:rFonts w:ascii="Arial" w:hAnsi="Arial" w:eastAsia="Arial"/>
        </w:rPr>
        <w:t>  </w:t>
      </w:r>
      <w:r>
        <w:rPr>
          <w:rFonts w:ascii="Times New Roman" w:hAnsi="Times New Roman" w:eastAsia="Times New Roman"/>
        </w:rPr>
        <w:t>13</w:t>
      </w:r>
      <w:r>
        <w:t>、完成市委、市政府交办的其他任务。</w:t>
      </w:r>
    </w:p>
    <w:p>
      <w:pPr>
        <w:pStyle w:val="3"/>
        <w:spacing w:before="288"/>
        <w:ind w:left="840"/>
      </w:pPr>
      <w:r>
        <w:t>二、部门（单位）机构设置及决算单位构成情况</w:t>
      </w:r>
    </w:p>
    <w:p>
      <w:pPr>
        <w:pStyle w:val="7"/>
        <w:numPr>
          <w:ilvl w:val="0"/>
          <w:numId w:val="1"/>
        </w:numPr>
        <w:tabs>
          <w:tab w:val="left" w:pos="1203"/>
        </w:tabs>
        <w:spacing w:before="231" w:after="0" w:line="326" w:lineRule="auto"/>
        <w:ind w:left="400" w:right="278" w:firstLine="480"/>
        <w:jc w:val="left"/>
        <w:rPr>
          <w:sz w:val="32"/>
        </w:rPr>
      </w:pPr>
      <w:r>
        <w:rPr>
          <w:w w:val="95"/>
          <w:sz w:val="32"/>
        </w:rPr>
        <w:t xml:space="preserve">根据部门（单位）职责分工，本部门（单位）内设机构 </w:t>
      </w:r>
      <w:r>
        <w:rPr>
          <w:sz w:val="32"/>
        </w:rPr>
        <w:t>包括独立预算单位共有 1</w:t>
      </w:r>
      <w:r>
        <w:rPr>
          <w:spacing w:val="-5"/>
          <w:sz w:val="32"/>
        </w:rPr>
        <w:t xml:space="preserve"> 家，其中：财政拨款的行政单位 </w:t>
      </w:r>
      <w:r>
        <w:rPr>
          <w:sz w:val="32"/>
        </w:rPr>
        <w:t>1</w:t>
      </w:r>
    </w:p>
    <w:p>
      <w:pPr>
        <w:pStyle w:val="3"/>
        <w:spacing w:before="6"/>
        <w:ind w:left="400"/>
      </w:pPr>
      <w:r>
        <w:t xml:space="preserve">家，参照公务员法管理的事业单位为 </w:t>
      </w:r>
      <w:r>
        <w:rPr>
          <w:rFonts w:ascii="Times New Roman" w:eastAsia="Times New Roman"/>
        </w:rPr>
        <w:t xml:space="preserve">0 </w:t>
      </w:r>
      <w:r>
        <w:t>家，公益一类事业单位</w:t>
      </w:r>
    </w:p>
    <w:p>
      <w:pPr>
        <w:pStyle w:val="3"/>
        <w:spacing w:before="149"/>
        <w:ind w:left="400"/>
      </w:pPr>
      <w:r>
        <w:t xml:space="preserve">为 </w:t>
      </w:r>
      <w:r>
        <w:rPr>
          <w:rFonts w:ascii="Times New Roman" w:eastAsia="Times New Roman"/>
        </w:rPr>
        <w:t xml:space="preserve">0 </w:t>
      </w:r>
      <w:r>
        <w:t xml:space="preserve">家，公益二类事业单位 </w:t>
      </w:r>
      <w:r>
        <w:rPr>
          <w:rFonts w:ascii="Times New Roman" w:eastAsia="Times New Roman"/>
        </w:rPr>
        <w:t xml:space="preserve">0 </w:t>
      </w:r>
      <w:r>
        <w:t>家。</w:t>
      </w:r>
    </w:p>
    <w:p>
      <w:pPr>
        <w:spacing w:after="0"/>
        <w:sectPr>
          <w:pgSz w:w="12240" w:h="15840"/>
          <w:pgMar w:top="1500" w:right="1520" w:bottom="280" w:left="1560" w:header="720" w:footer="720" w:gutter="0"/>
        </w:sectPr>
      </w:pPr>
    </w:p>
    <w:p>
      <w:pPr>
        <w:pStyle w:val="7"/>
        <w:numPr>
          <w:ilvl w:val="0"/>
          <w:numId w:val="1"/>
        </w:numPr>
        <w:tabs>
          <w:tab w:val="left" w:pos="1162"/>
        </w:tabs>
        <w:spacing w:before="108" w:after="0" w:line="240" w:lineRule="auto"/>
        <w:ind w:left="1161" w:right="0" w:hanging="322"/>
        <w:jc w:val="left"/>
        <w:rPr>
          <w:sz w:val="32"/>
        </w:rPr>
      </w:pPr>
      <w:r>
        <w:rPr>
          <w:spacing w:val="-16"/>
          <w:sz w:val="32"/>
        </w:rPr>
        <w:t xml:space="preserve">从决算单位构成看，纳入本部门 </w:t>
      </w:r>
      <w:r>
        <w:rPr>
          <w:sz w:val="32"/>
        </w:rPr>
        <w:t>2021</w:t>
      </w:r>
      <w:r>
        <w:rPr>
          <w:spacing w:val="-11"/>
          <w:sz w:val="32"/>
        </w:rPr>
        <w:t xml:space="preserve"> 年度部门汇总决算</w:t>
      </w:r>
    </w:p>
    <w:p>
      <w:pPr>
        <w:pStyle w:val="3"/>
        <w:spacing w:before="171"/>
      </w:pPr>
      <w:r>
        <w:t>编制范围的预算单位共计 1 家，详细情况见表：</w:t>
      </w:r>
    </w:p>
    <w:p>
      <w:pPr>
        <w:pStyle w:val="3"/>
        <w:spacing w:before="11"/>
        <w:ind w:left="0"/>
        <w:rPr>
          <w:sz w:val="7"/>
        </w:rPr>
      </w:pPr>
    </w:p>
    <w:tbl>
      <w:tblPr>
        <w:tblStyle w:val="4"/>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1"/>
        <w:gridCol w:w="74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101" w:type="dxa"/>
          </w:tcPr>
          <w:p>
            <w:pPr>
              <w:pStyle w:val="8"/>
              <w:spacing w:before="4"/>
              <w:ind w:left="4"/>
              <w:rPr>
                <w:sz w:val="32"/>
              </w:rPr>
            </w:pPr>
            <w:r>
              <w:rPr>
                <w:sz w:val="32"/>
              </w:rPr>
              <w:t>序号</w:t>
            </w:r>
          </w:p>
        </w:tc>
        <w:tc>
          <w:tcPr>
            <w:tcW w:w="7422" w:type="dxa"/>
          </w:tcPr>
          <w:p>
            <w:pPr>
              <w:pStyle w:val="8"/>
              <w:spacing w:before="4"/>
              <w:ind w:left="5"/>
              <w:rPr>
                <w:sz w:val="32"/>
              </w:rPr>
            </w:pPr>
            <w:r>
              <w:rPr>
                <w:sz w:val="32"/>
              </w:rPr>
              <w:t>单位名称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1101" w:type="dxa"/>
          </w:tcPr>
          <w:p>
            <w:pPr>
              <w:pStyle w:val="8"/>
              <w:spacing w:line="393" w:lineRule="exact"/>
              <w:rPr>
                <w:sz w:val="32"/>
              </w:rPr>
            </w:pPr>
            <w:r>
              <w:rPr>
                <w:w w:val="99"/>
                <w:sz w:val="32"/>
              </w:rPr>
              <w:t>1</w:t>
            </w:r>
          </w:p>
        </w:tc>
        <w:tc>
          <w:tcPr>
            <w:tcW w:w="7422" w:type="dxa"/>
          </w:tcPr>
          <w:p>
            <w:pPr>
              <w:pStyle w:val="8"/>
              <w:spacing w:line="393" w:lineRule="exact"/>
              <w:rPr>
                <w:sz w:val="32"/>
              </w:rPr>
            </w:pPr>
            <w:r>
              <w:rPr>
                <w:sz w:val="32"/>
              </w:rPr>
              <w:t>赤峰市文化和旅游局（本级）</w:t>
            </w:r>
          </w:p>
        </w:tc>
      </w:tr>
    </w:tbl>
    <w:p>
      <w:pPr>
        <w:pStyle w:val="2"/>
        <w:spacing w:before="268"/>
        <w:rPr>
          <w:rFonts w:hint="eastAsia" w:ascii="仿宋" w:eastAsia="仿宋"/>
        </w:rPr>
      </w:pPr>
      <w:r>
        <w:rPr>
          <w:rFonts w:hint="eastAsia" w:ascii="仿宋" w:eastAsia="仿宋"/>
        </w:rPr>
        <w:t>第二部分 2021 年度部门决算情况说明</w:t>
      </w:r>
    </w:p>
    <w:p>
      <w:pPr>
        <w:pStyle w:val="3"/>
        <w:spacing w:before="11"/>
        <w:ind w:left="0"/>
        <w:rPr>
          <w:b/>
          <w:sz w:val="28"/>
        </w:rPr>
      </w:pPr>
    </w:p>
    <w:p>
      <w:pPr>
        <w:spacing w:before="1"/>
        <w:ind w:left="840" w:right="0" w:firstLine="0"/>
        <w:jc w:val="left"/>
        <w:rPr>
          <w:b/>
          <w:sz w:val="32"/>
        </w:rPr>
      </w:pPr>
      <w:r>
        <w:rPr>
          <w:b/>
          <w:sz w:val="32"/>
        </w:rPr>
        <w:t>一、关于 2021 年度预算执行情况分析</w:t>
      </w:r>
    </w:p>
    <w:p>
      <w:pPr>
        <w:pStyle w:val="3"/>
        <w:spacing w:before="11"/>
        <w:ind w:left="0"/>
        <w:rPr>
          <w:b/>
          <w:sz w:val="28"/>
        </w:rPr>
      </w:pPr>
    </w:p>
    <w:p>
      <w:pPr>
        <w:pStyle w:val="3"/>
        <w:spacing w:line="338" w:lineRule="auto"/>
        <w:ind w:right="278" w:firstLine="600"/>
        <w:jc w:val="both"/>
      </w:pPr>
      <w:r>
        <w:t>2021</w:t>
      </w:r>
      <w:r>
        <w:rPr>
          <w:spacing w:val="-17"/>
        </w:rPr>
        <w:t xml:space="preserve"> 年度收入、支出决算总计 </w:t>
      </w:r>
      <w:r>
        <w:t>14,936.76</w:t>
      </w:r>
      <w:r>
        <w:rPr>
          <w:spacing w:val="-15"/>
        </w:rPr>
        <w:t xml:space="preserve"> 万元。与年初预</w:t>
      </w:r>
      <w:r>
        <w:rPr>
          <w:spacing w:val="-16"/>
        </w:rPr>
        <w:t xml:space="preserve">算相比，收、支总计增加 </w:t>
      </w:r>
      <w:r>
        <w:t>13,940.77</w:t>
      </w:r>
      <w:r>
        <w:rPr>
          <w:spacing w:val="-31"/>
        </w:rPr>
        <w:t xml:space="preserve"> 万元，增长 </w:t>
      </w:r>
      <w:r>
        <w:t>1,399.7%，变</w:t>
      </w:r>
      <w:r>
        <w:rPr>
          <w:w w:val="95"/>
        </w:rPr>
        <w:t xml:space="preserve">动原因：本年度因我局承担文化和旅游相关业务支出，还承担 赤峰博物馆（南馆）日常经费和项目经费支出，此外，还有本 年度契丹辽博物馆（二期）前期手续费、市图书馆综合体前期 手续费、市文博大厦维修费等费用也有所增加，另外包含以前 </w:t>
      </w:r>
      <w:r>
        <w:rPr>
          <w:spacing w:val="-16"/>
        </w:rPr>
        <w:t xml:space="preserve">年度结转 </w:t>
      </w:r>
      <w:r>
        <w:t>6939.33</w:t>
      </w:r>
      <w:r>
        <w:rPr>
          <w:spacing w:val="-21"/>
        </w:rPr>
        <w:t xml:space="preserve"> 万元。</w:t>
      </w:r>
    </w:p>
    <w:p>
      <w:pPr>
        <w:pStyle w:val="3"/>
        <w:spacing w:before="213" w:line="338" w:lineRule="auto"/>
        <w:ind w:right="239" w:firstLine="600"/>
        <w:jc w:val="both"/>
      </w:pPr>
      <w:r>
        <w:t>2021</w:t>
      </w:r>
      <w:r>
        <w:rPr>
          <w:spacing w:val="-15"/>
        </w:rPr>
        <w:t xml:space="preserve"> 年度财政拨款收入、支出决算总计 </w:t>
      </w:r>
      <w:r>
        <w:t>14,928.28</w:t>
      </w:r>
      <w:r>
        <w:rPr>
          <w:spacing w:val="-21"/>
        </w:rPr>
        <w:t xml:space="preserve"> 万元。</w:t>
      </w:r>
      <w:r>
        <w:rPr>
          <w:spacing w:val="18"/>
        </w:rPr>
        <w:t xml:space="preserve">与年初预算相比， 收、支总计增加 </w:t>
      </w:r>
      <w:r>
        <w:t>13,932.3</w:t>
      </w:r>
      <w:r>
        <w:rPr>
          <w:spacing w:val="-8"/>
        </w:rPr>
        <w:t xml:space="preserve"> 万元， 增长1,398.85</w:t>
      </w:r>
      <w:r>
        <w:rPr>
          <w:spacing w:val="-11"/>
        </w:rPr>
        <w:t>%，变动原因：因本年度我单位增加了文博大厦维修支出近一千五百万元，及本年度契丹辽二期项目、图书馆新馆前期费用等支出增加；另：本年度我单位各类财政拨款项目资金到位较为及时，项目实施进度提高，部分上级转移支付资金到位并实施完成，同时基本支出中人员工资、社保费等较年初有</w:t>
      </w:r>
      <w:r>
        <w:rPr>
          <w:spacing w:val="-16"/>
        </w:rPr>
        <w:t xml:space="preserve">所增加。另外包含以前年度结转 </w:t>
      </w:r>
      <w:r>
        <w:t>6939.33</w:t>
      </w:r>
      <w:r>
        <w:rPr>
          <w:spacing w:val="-21"/>
        </w:rPr>
        <w:t xml:space="preserve"> 万元。</w:t>
      </w:r>
    </w:p>
    <w:p>
      <w:pPr>
        <w:spacing w:after="0" w:line="338" w:lineRule="auto"/>
        <w:jc w:val="both"/>
        <w:sectPr>
          <w:pgSz w:w="12240" w:h="15840"/>
          <w:pgMar w:top="1500" w:right="1520" w:bottom="280" w:left="1560" w:header="720" w:footer="720" w:gutter="0"/>
        </w:sectPr>
      </w:pPr>
    </w:p>
    <w:p>
      <w:pPr>
        <w:pStyle w:val="2"/>
        <w:spacing w:before="108"/>
        <w:rPr>
          <w:rFonts w:hint="eastAsia" w:ascii="仿宋" w:eastAsia="仿宋"/>
        </w:rPr>
      </w:pPr>
      <w:r>
        <w:rPr>
          <w:rFonts w:hint="eastAsia" w:ascii="仿宋" w:eastAsia="仿宋"/>
        </w:rPr>
        <w:t>二、关于 2021 年度决算情况说明</w:t>
      </w:r>
    </w:p>
    <w:p>
      <w:pPr>
        <w:pStyle w:val="3"/>
        <w:spacing w:before="11"/>
        <w:ind w:left="0"/>
        <w:rPr>
          <w:b/>
          <w:sz w:val="28"/>
        </w:rPr>
      </w:pPr>
    </w:p>
    <w:p>
      <w:pPr>
        <w:spacing w:before="0"/>
        <w:ind w:left="840" w:right="0" w:firstLine="0"/>
        <w:jc w:val="left"/>
        <w:rPr>
          <w:rFonts w:hint="eastAsia" w:ascii="楷体" w:eastAsia="楷体"/>
          <w:b/>
          <w:sz w:val="32"/>
        </w:rPr>
      </w:pPr>
      <w:r>
        <w:rPr>
          <w:rFonts w:hint="eastAsia" w:ascii="楷体" w:eastAsia="楷体"/>
          <w:b/>
          <w:sz w:val="32"/>
        </w:rPr>
        <w:t>（一）关于收支情况总体说明</w:t>
      </w:r>
    </w:p>
    <w:p>
      <w:pPr>
        <w:pStyle w:val="3"/>
        <w:spacing w:before="207" w:line="364" w:lineRule="auto"/>
        <w:ind w:right="280" w:firstLine="600"/>
      </w:pPr>
      <w:r>
        <w:t>2021</w:t>
      </w:r>
      <w:r>
        <w:rPr>
          <w:spacing w:val="-9"/>
        </w:rPr>
        <w:t xml:space="preserve"> 年度收入、支出决算总计 </w:t>
      </w:r>
      <w:r>
        <w:t>14，936.74</w:t>
      </w:r>
      <w:r>
        <w:rPr>
          <w:spacing w:val="-8"/>
        </w:rPr>
        <w:t xml:space="preserve"> 万元。与上年</w:t>
      </w:r>
      <w:r>
        <w:rPr>
          <w:spacing w:val="-15"/>
        </w:rPr>
        <w:t xml:space="preserve">相比，收、支总计各增加 </w:t>
      </w:r>
      <w:r>
        <w:t>737.55</w:t>
      </w:r>
      <w:r>
        <w:rPr>
          <w:spacing w:val="-25"/>
        </w:rPr>
        <w:t xml:space="preserve"> 万元，增长 </w:t>
      </w:r>
      <w:r>
        <w:t>5.19%</w:t>
      </w:r>
      <w:r>
        <w:rPr>
          <w:rFonts w:ascii="Times New Roman" w:eastAsia="Times New Roman"/>
        </w:rPr>
        <w:t>.</w:t>
      </w:r>
      <w:r>
        <w:t>其中:</w:t>
      </w:r>
    </w:p>
    <w:p>
      <w:pPr>
        <w:pStyle w:val="7"/>
        <w:numPr>
          <w:ilvl w:val="0"/>
          <w:numId w:val="2"/>
        </w:numPr>
        <w:tabs>
          <w:tab w:val="left" w:pos="1323"/>
        </w:tabs>
        <w:spacing w:before="201" w:after="0" w:line="240" w:lineRule="auto"/>
        <w:ind w:left="1322" w:right="0" w:hanging="483"/>
        <w:jc w:val="left"/>
        <w:rPr>
          <w:sz w:val="32"/>
        </w:rPr>
      </w:pPr>
      <w:r>
        <w:rPr>
          <w:spacing w:val="-12"/>
          <w:sz w:val="32"/>
        </w:rPr>
        <w:t xml:space="preserve">收入决算总计 </w:t>
      </w:r>
      <w:r>
        <w:rPr>
          <w:sz w:val="32"/>
        </w:rPr>
        <w:t>14，936.74</w:t>
      </w:r>
      <w:r>
        <w:rPr>
          <w:spacing w:val="-13"/>
          <w:sz w:val="32"/>
        </w:rPr>
        <w:t xml:space="preserve"> 万元。包括:</w:t>
      </w:r>
    </w:p>
    <w:p>
      <w:pPr>
        <w:pStyle w:val="3"/>
        <w:spacing w:before="3"/>
        <w:ind w:left="0"/>
      </w:pPr>
    </w:p>
    <w:p>
      <w:pPr>
        <w:pStyle w:val="7"/>
        <w:numPr>
          <w:ilvl w:val="0"/>
          <w:numId w:val="3"/>
        </w:numPr>
        <w:tabs>
          <w:tab w:val="left" w:pos="1208"/>
        </w:tabs>
        <w:spacing w:before="0" w:after="0" w:line="364" w:lineRule="auto"/>
        <w:ind w:left="240" w:right="119" w:firstLine="600"/>
        <w:jc w:val="left"/>
        <w:rPr>
          <w:sz w:val="32"/>
        </w:rPr>
      </w:pPr>
      <w:r>
        <w:rPr>
          <w:spacing w:val="27"/>
          <w:sz w:val="32"/>
        </w:rPr>
        <w:t xml:space="preserve">本年收入合计 </w:t>
      </w:r>
      <w:r>
        <w:rPr>
          <w:sz w:val="32"/>
        </w:rPr>
        <w:t>7,997.43</w:t>
      </w:r>
      <w:r>
        <w:rPr>
          <w:spacing w:val="17"/>
          <w:sz w:val="32"/>
        </w:rPr>
        <w:t xml:space="preserve"> 万元。与上年相比， 增加2,495.62</w:t>
      </w:r>
      <w:r>
        <w:rPr>
          <w:spacing w:val="-30"/>
          <w:sz w:val="32"/>
        </w:rPr>
        <w:t xml:space="preserve"> 万元，增长 </w:t>
      </w:r>
      <w:r>
        <w:rPr>
          <w:spacing w:val="-6"/>
          <w:sz w:val="32"/>
        </w:rPr>
        <w:t>31.21</w:t>
      </w:r>
      <w:r>
        <w:rPr>
          <w:spacing w:val="-10"/>
          <w:sz w:val="32"/>
        </w:rPr>
        <w:t>%，变动原因: 一是因本年度我单位增加了文博大厦维修支出近一千五百万元，及本年度契丹辽二期项目、市图书馆综合体前期费用等支出增加；二是本年度我</w:t>
      </w:r>
      <w:r>
        <w:rPr>
          <w:spacing w:val="-18"/>
          <w:w w:val="95"/>
          <w:sz w:val="32"/>
        </w:rPr>
        <w:t xml:space="preserve">单位各类财政拨款项目资金到位较为及时，项目实施进度提高， </w:t>
      </w:r>
      <w:r>
        <w:rPr>
          <w:spacing w:val="-18"/>
          <w:sz w:val="32"/>
        </w:rPr>
        <w:t>部分上级转移支付资金到位并实施完成；三是基本支出中人员工资、社保费等较年初有所增加。</w:t>
      </w:r>
    </w:p>
    <w:p>
      <w:pPr>
        <w:pStyle w:val="7"/>
        <w:numPr>
          <w:ilvl w:val="0"/>
          <w:numId w:val="3"/>
        </w:numPr>
        <w:tabs>
          <w:tab w:val="left" w:pos="1047"/>
        </w:tabs>
        <w:spacing w:before="207" w:after="0" w:line="364" w:lineRule="auto"/>
        <w:ind w:left="240" w:right="279" w:firstLine="480"/>
        <w:jc w:val="left"/>
        <w:rPr>
          <w:sz w:val="32"/>
        </w:rPr>
      </w:pPr>
      <w:r>
        <w:rPr>
          <w:spacing w:val="-3"/>
          <w:sz w:val="32"/>
        </w:rPr>
        <w:t xml:space="preserve">使用非财政拨款结余 </w:t>
      </w:r>
      <w:r>
        <w:rPr>
          <w:rFonts w:ascii="Times New Roman" w:eastAsia="Times New Roman"/>
          <w:sz w:val="32"/>
        </w:rPr>
        <w:t>0</w:t>
      </w:r>
      <w:r>
        <w:rPr>
          <w:rFonts w:ascii="Times New Roman" w:eastAsia="Times New Roman"/>
          <w:spacing w:val="71"/>
          <w:sz w:val="32"/>
        </w:rPr>
        <w:t xml:space="preserve"> </w:t>
      </w:r>
      <w:r>
        <w:rPr>
          <w:spacing w:val="7"/>
          <w:sz w:val="32"/>
        </w:rPr>
        <w:t>万元</w:t>
      </w:r>
      <w:r>
        <w:rPr>
          <w:rFonts w:ascii="Times New Roman" w:eastAsia="Times New Roman"/>
          <w:spacing w:val="6"/>
          <w:sz w:val="32"/>
        </w:rPr>
        <w:t>.</w:t>
      </w:r>
      <w:r>
        <w:rPr>
          <w:spacing w:val="6"/>
          <w:sz w:val="32"/>
        </w:rPr>
        <w:t>与上年相比，增加(减少)</w:t>
      </w:r>
      <w:r>
        <w:rPr>
          <w:sz w:val="32"/>
        </w:rPr>
        <w:t>0 万元，增长(减少)0%。</w:t>
      </w:r>
    </w:p>
    <w:p>
      <w:pPr>
        <w:pStyle w:val="7"/>
        <w:numPr>
          <w:ilvl w:val="0"/>
          <w:numId w:val="3"/>
        </w:numPr>
        <w:tabs>
          <w:tab w:val="left" w:pos="1162"/>
        </w:tabs>
        <w:spacing w:before="201" w:after="0" w:line="240" w:lineRule="auto"/>
        <w:ind w:left="1161" w:right="0" w:hanging="322"/>
        <w:jc w:val="left"/>
        <w:rPr>
          <w:sz w:val="32"/>
        </w:rPr>
      </w:pPr>
      <w:r>
        <w:rPr>
          <w:spacing w:val="-11"/>
          <w:sz w:val="32"/>
        </w:rPr>
        <w:t xml:space="preserve">年初结转和结余 </w:t>
      </w:r>
      <w:r>
        <w:rPr>
          <w:sz w:val="32"/>
        </w:rPr>
        <w:t>6，939.33</w:t>
      </w:r>
      <w:r>
        <w:rPr>
          <w:spacing w:val="-17"/>
          <w:sz w:val="32"/>
        </w:rPr>
        <w:t xml:space="preserve"> 万元。与上年相比，减少 </w:t>
      </w:r>
      <w:r>
        <w:rPr>
          <w:sz w:val="32"/>
        </w:rPr>
        <w:t>1，</w:t>
      </w:r>
    </w:p>
    <w:p>
      <w:pPr>
        <w:pStyle w:val="3"/>
        <w:spacing w:before="214" w:line="364" w:lineRule="auto"/>
        <w:ind w:right="280"/>
      </w:pPr>
      <w:r>
        <w:t>758.07</w:t>
      </w:r>
      <w:r>
        <w:rPr>
          <w:spacing w:val="-27"/>
        </w:rPr>
        <w:t xml:space="preserve"> 万元，减少,</w:t>
      </w:r>
      <w:r>
        <w:rPr>
          <w:spacing w:val="-11"/>
        </w:rPr>
        <w:t>25.33</w:t>
      </w:r>
      <w:r>
        <w:rPr>
          <w:spacing w:val="-5"/>
        </w:rPr>
        <w:t>%，变动原因:</w:t>
      </w:r>
      <w:r>
        <w:t>2020</w:t>
      </w:r>
      <w:r>
        <w:rPr>
          <w:spacing w:val="-11"/>
        </w:rPr>
        <w:t xml:space="preserve"> 年度用于其他文化和旅游支出。</w:t>
      </w:r>
    </w:p>
    <w:p>
      <w:pPr>
        <w:pStyle w:val="7"/>
        <w:numPr>
          <w:ilvl w:val="0"/>
          <w:numId w:val="2"/>
        </w:numPr>
        <w:tabs>
          <w:tab w:val="left" w:pos="1323"/>
        </w:tabs>
        <w:spacing w:before="201" w:after="0" w:line="240" w:lineRule="auto"/>
        <w:ind w:left="1322" w:right="0" w:hanging="483"/>
        <w:jc w:val="left"/>
        <w:rPr>
          <w:sz w:val="32"/>
        </w:rPr>
      </w:pPr>
      <w:r>
        <w:rPr>
          <w:spacing w:val="-12"/>
          <w:sz w:val="32"/>
        </w:rPr>
        <w:t xml:space="preserve">支出决算总计 </w:t>
      </w:r>
      <w:r>
        <w:rPr>
          <w:sz w:val="32"/>
        </w:rPr>
        <w:t>8，047.46</w:t>
      </w:r>
      <w:r>
        <w:rPr>
          <w:spacing w:val="-13"/>
          <w:sz w:val="32"/>
        </w:rPr>
        <w:t xml:space="preserve"> 万元。包括:</w:t>
      </w:r>
    </w:p>
    <w:p>
      <w:pPr>
        <w:spacing w:after="0" w:line="240" w:lineRule="auto"/>
        <w:jc w:val="left"/>
        <w:rPr>
          <w:sz w:val="32"/>
        </w:rPr>
        <w:sectPr>
          <w:pgSz w:w="12240" w:h="15840"/>
          <w:pgMar w:top="1500" w:right="1520" w:bottom="280" w:left="1560" w:header="720" w:footer="720" w:gutter="0"/>
        </w:sectPr>
      </w:pPr>
    </w:p>
    <w:p>
      <w:pPr>
        <w:pStyle w:val="7"/>
        <w:numPr>
          <w:ilvl w:val="0"/>
          <w:numId w:val="4"/>
        </w:numPr>
        <w:tabs>
          <w:tab w:val="left" w:pos="1162"/>
        </w:tabs>
        <w:spacing w:before="25" w:after="0" w:line="240" w:lineRule="auto"/>
        <w:ind w:left="1161" w:right="0" w:hanging="322"/>
        <w:jc w:val="both"/>
        <w:rPr>
          <w:sz w:val="32"/>
        </w:rPr>
      </w:pPr>
      <w:r>
        <w:rPr>
          <w:spacing w:val="-9"/>
          <w:sz w:val="32"/>
        </w:rPr>
        <w:t xml:space="preserve">本年支出决算合计 </w:t>
      </w:r>
      <w:r>
        <w:rPr>
          <w:sz w:val="32"/>
        </w:rPr>
        <w:t>8，047.46</w:t>
      </w:r>
      <w:r>
        <w:rPr>
          <w:spacing w:val="-10"/>
          <w:sz w:val="32"/>
        </w:rPr>
        <w:t xml:space="preserve"> 万元。与上年相比，减少</w:t>
      </w:r>
    </w:p>
    <w:p>
      <w:pPr>
        <w:pStyle w:val="3"/>
        <w:spacing w:before="214" w:line="364" w:lineRule="auto"/>
        <w:ind w:right="278"/>
        <w:jc w:val="both"/>
      </w:pPr>
      <w:r>
        <w:t>787.58</w:t>
      </w:r>
      <w:r>
        <w:rPr>
          <w:spacing w:val="-25"/>
        </w:rPr>
        <w:t xml:space="preserve"> 万元，增长 </w:t>
      </w:r>
      <w:r>
        <w:t>9.78</w:t>
      </w:r>
      <w:r>
        <w:rPr>
          <w:spacing w:val="-1"/>
        </w:rPr>
        <w:t>%，变动原因: 一是因本年度我单位增</w:t>
      </w:r>
      <w:r>
        <w:rPr>
          <w:spacing w:val="-1"/>
          <w:w w:val="95"/>
        </w:rPr>
        <w:t xml:space="preserve">加了文博大厦维修支出近一千五百万元，及本年度契丹辽二期 项目、市图书馆综合体前期费用等支出增加；二是本年度我单 位各类财政拨款项目资金到位较为及时，项目实施进度提高， 部分上级转移支付资金到位并实施完成；三是基本支出中人员 </w:t>
      </w:r>
      <w:r>
        <w:rPr>
          <w:spacing w:val="-1"/>
        </w:rPr>
        <w:t>工资、社保费等较年初有所增加。</w:t>
      </w:r>
    </w:p>
    <w:p>
      <w:pPr>
        <w:pStyle w:val="7"/>
        <w:numPr>
          <w:ilvl w:val="0"/>
          <w:numId w:val="4"/>
        </w:numPr>
        <w:tabs>
          <w:tab w:val="left" w:pos="1162"/>
        </w:tabs>
        <w:spacing w:before="204" w:after="0" w:line="364" w:lineRule="auto"/>
        <w:ind w:left="240" w:right="278" w:firstLine="600"/>
        <w:jc w:val="both"/>
        <w:rPr>
          <w:sz w:val="32"/>
        </w:rPr>
      </w:pPr>
      <w:r>
        <w:rPr>
          <w:spacing w:val="-17"/>
          <w:sz w:val="32"/>
        </w:rPr>
        <w:t xml:space="preserve">结余分配 </w:t>
      </w:r>
      <w:r>
        <w:rPr>
          <w:rFonts w:ascii="Times New Roman" w:eastAsia="Times New Roman"/>
          <w:sz w:val="32"/>
        </w:rPr>
        <w:t>0</w:t>
      </w:r>
      <w:r>
        <w:rPr>
          <w:rFonts w:ascii="Times New Roman" w:eastAsia="Times New Roman"/>
          <w:spacing w:val="-2"/>
          <w:sz w:val="32"/>
        </w:rPr>
        <w:t xml:space="preserve"> </w:t>
      </w:r>
      <w:r>
        <w:rPr>
          <w:spacing w:val="-23"/>
          <w:sz w:val="32"/>
        </w:rPr>
        <w:t xml:space="preserve">万元。结余分配事项: </w:t>
      </w:r>
      <w:r>
        <w:rPr>
          <w:sz w:val="32"/>
        </w:rPr>
        <w:t>0</w:t>
      </w:r>
      <w:r>
        <w:rPr>
          <w:spacing w:val="-23"/>
          <w:sz w:val="32"/>
        </w:rPr>
        <w:t xml:space="preserve"> 与上年相比，增加(减少)0</w:t>
      </w:r>
      <w:r>
        <w:rPr>
          <w:spacing w:val="-10"/>
          <w:sz w:val="32"/>
        </w:rPr>
        <w:t xml:space="preserve"> 万元，增长(减少)</w:t>
      </w:r>
      <w:r>
        <w:rPr>
          <w:sz w:val="32"/>
        </w:rPr>
        <w:t>0%。</w:t>
      </w:r>
    </w:p>
    <w:p>
      <w:pPr>
        <w:pStyle w:val="7"/>
        <w:numPr>
          <w:ilvl w:val="0"/>
          <w:numId w:val="4"/>
        </w:numPr>
        <w:tabs>
          <w:tab w:val="left" w:pos="1330"/>
        </w:tabs>
        <w:spacing w:before="200" w:after="0" w:line="240" w:lineRule="auto"/>
        <w:ind w:left="1329" w:right="0" w:hanging="490"/>
        <w:jc w:val="both"/>
        <w:rPr>
          <w:sz w:val="32"/>
        </w:rPr>
      </w:pPr>
      <w:r>
        <w:rPr>
          <w:spacing w:val="-4"/>
          <w:sz w:val="32"/>
        </w:rPr>
        <w:t xml:space="preserve">年初结转和结余 </w:t>
      </w:r>
      <w:r>
        <w:rPr>
          <w:spacing w:val="2"/>
          <w:sz w:val="32"/>
        </w:rPr>
        <w:t>6，889.29</w:t>
      </w:r>
      <w:r>
        <w:rPr>
          <w:sz w:val="32"/>
        </w:rPr>
        <w:t xml:space="preserve"> 万元。与上年相比，减少</w:t>
      </w:r>
    </w:p>
    <w:p>
      <w:pPr>
        <w:pStyle w:val="7"/>
        <w:numPr>
          <w:ilvl w:val="1"/>
          <w:numId w:val="5"/>
        </w:numPr>
        <w:tabs>
          <w:tab w:val="left" w:pos="1121"/>
        </w:tabs>
        <w:spacing w:before="214" w:after="0" w:line="364" w:lineRule="auto"/>
        <w:ind w:left="240" w:right="280" w:firstLine="0"/>
        <w:jc w:val="both"/>
        <w:rPr>
          <w:sz w:val="32"/>
        </w:rPr>
      </w:pPr>
      <w:r>
        <w:rPr>
          <w:spacing w:val="-16"/>
          <w:sz w:val="32"/>
        </w:rPr>
        <w:t xml:space="preserve">万元，减少 </w:t>
      </w:r>
      <w:r>
        <w:rPr>
          <w:sz w:val="32"/>
        </w:rPr>
        <w:t>7.26%，变动原因:使用年初结转和结余资金支付用于几笔项目经费。</w:t>
      </w:r>
    </w:p>
    <w:p>
      <w:pPr>
        <w:pStyle w:val="2"/>
        <w:spacing w:before="204"/>
        <w:jc w:val="both"/>
      </w:pPr>
      <w:r>
        <w:t>（二）关于 2021 年度收入决算情况说明</w:t>
      </w:r>
    </w:p>
    <w:p>
      <w:pPr>
        <w:pStyle w:val="3"/>
        <w:spacing w:before="1"/>
        <w:ind w:left="0"/>
        <w:rPr>
          <w:rFonts w:ascii="楷体"/>
          <w:b/>
          <w:sz w:val="34"/>
        </w:rPr>
      </w:pPr>
    </w:p>
    <w:p>
      <w:pPr>
        <w:pStyle w:val="3"/>
        <w:spacing w:line="328" w:lineRule="auto"/>
        <w:ind w:right="278" w:firstLine="640"/>
        <w:jc w:val="both"/>
      </w:pPr>
      <w:r>
        <w:rPr>
          <w:spacing w:val="-21"/>
        </w:rPr>
        <w:t xml:space="preserve">本部门 </w:t>
      </w:r>
      <w:r>
        <w:t>2021</w:t>
      </w:r>
      <w:r>
        <w:rPr>
          <w:spacing w:val="-22"/>
        </w:rPr>
        <w:t xml:space="preserve"> 年度收入合计 </w:t>
      </w:r>
      <w:r>
        <w:t>7,997.43</w:t>
      </w:r>
      <w:r>
        <w:rPr>
          <w:spacing w:val="-10"/>
        </w:rPr>
        <w:t xml:space="preserve"> 万元，其中：财政拨</w:t>
      </w:r>
      <w:r>
        <w:rPr>
          <w:spacing w:val="-29"/>
        </w:rPr>
        <w:t xml:space="preserve">款收入 </w:t>
      </w:r>
      <w:r>
        <w:t>7,996.45</w:t>
      </w:r>
      <w:r>
        <w:rPr>
          <w:spacing w:val="-28"/>
        </w:rPr>
        <w:t xml:space="preserve"> 万元，占 </w:t>
      </w:r>
      <w:r>
        <w:t>99.99</w:t>
      </w:r>
      <w:r>
        <w:rPr>
          <w:spacing w:val="-12"/>
        </w:rPr>
        <w:t xml:space="preserve">%；事业收入 </w:t>
      </w:r>
      <w:r>
        <w:rPr>
          <w:rFonts w:ascii="Times New Roman" w:eastAsia="Times New Roman"/>
        </w:rPr>
        <w:t xml:space="preserve">0 </w:t>
      </w:r>
      <w:r>
        <w:rPr>
          <w:spacing w:val="-17"/>
        </w:rPr>
        <w:t xml:space="preserve">万元，占 </w:t>
      </w:r>
      <w:r>
        <w:rPr>
          <w:rFonts w:ascii="Times New Roman" w:eastAsia="Times New Roman"/>
        </w:rPr>
        <w:t>0</w:t>
      </w:r>
      <w:r>
        <w:t xml:space="preserve">%； </w:t>
      </w:r>
      <w:r>
        <w:rPr>
          <w:spacing w:val="-16"/>
        </w:rPr>
        <w:t xml:space="preserve">经营收入 </w:t>
      </w:r>
      <w:r>
        <w:rPr>
          <w:rFonts w:ascii="Times New Roman" w:eastAsia="Times New Roman"/>
        </w:rPr>
        <w:t xml:space="preserve">0 </w:t>
      </w:r>
      <w:r>
        <w:rPr>
          <w:spacing w:val="-17"/>
        </w:rPr>
        <w:t xml:space="preserve">万元，占 </w:t>
      </w:r>
      <w:r>
        <w:rPr>
          <w:rFonts w:ascii="Times New Roman" w:eastAsia="Times New Roman"/>
        </w:rPr>
        <w:t>0</w:t>
      </w:r>
      <w:r>
        <w:rPr>
          <w:spacing w:val="-12"/>
        </w:rPr>
        <w:t xml:space="preserve">%；其他收入 </w:t>
      </w:r>
      <w:r>
        <w:t>0.98</w:t>
      </w:r>
      <w:r>
        <w:rPr>
          <w:spacing w:val="-28"/>
        </w:rPr>
        <w:t xml:space="preserve"> 万元，占 </w:t>
      </w:r>
      <w:r>
        <w:t>0.01%。</w:t>
      </w:r>
    </w:p>
    <w:p>
      <w:pPr>
        <w:pStyle w:val="3"/>
        <w:spacing w:line="405" w:lineRule="exact"/>
        <w:ind w:left="880"/>
        <w:jc w:val="both"/>
      </w:pPr>
      <w:r>
        <w:t>图 1：收入决算图</w:t>
      </w:r>
    </w:p>
    <w:p>
      <w:pPr>
        <w:spacing w:after="0" w:line="405" w:lineRule="exact"/>
        <w:jc w:val="both"/>
        <w:sectPr>
          <w:pgSz w:w="12240" w:h="15840"/>
          <w:pgMar w:top="1420" w:right="1520" w:bottom="280" w:left="1560" w:header="720" w:footer="720" w:gutter="0"/>
        </w:sectPr>
      </w:pPr>
    </w:p>
    <w:p>
      <w:pPr>
        <w:pStyle w:val="3"/>
        <w:ind w:left="898"/>
        <w:rPr>
          <w:sz w:val="20"/>
        </w:rPr>
      </w:pPr>
      <w:r>
        <w:rPr>
          <w:sz w:val="20"/>
        </w:rPr>
        <w:drawing>
          <wp:inline distT="0" distB="0" distL="0" distR="0">
            <wp:extent cx="4992370" cy="27635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4992987" cy="2763774"/>
                    </a:xfrm>
                    <a:prstGeom prst="rect">
                      <a:avLst/>
                    </a:prstGeom>
                  </pic:spPr>
                </pic:pic>
              </a:graphicData>
            </a:graphic>
          </wp:inline>
        </w:drawing>
      </w:r>
    </w:p>
    <w:p>
      <w:pPr>
        <w:pStyle w:val="2"/>
        <w:spacing w:before="48"/>
      </w:pPr>
      <w:r>
        <w:t>（三）关于 2021 年度支出决算情况说明</w:t>
      </w:r>
    </w:p>
    <w:p>
      <w:pPr>
        <w:pStyle w:val="3"/>
        <w:spacing w:before="270" w:line="340" w:lineRule="auto"/>
        <w:ind w:right="117" w:firstLine="600"/>
      </w:pPr>
      <w:r>
        <w:rPr>
          <w:spacing w:val="-19"/>
        </w:rPr>
        <w:t xml:space="preserve">本部门 </w:t>
      </w:r>
      <w:r>
        <w:t>2021</w:t>
      </w:r>
      <w:r>
        <w:rPr>
          <w:spacing w:val="-21"/>
        </w:rPr>
        <w:t xml:space="preserve"> 年度支出合计 </w:t>
      </w:r>
      <w:r>
        <w:t>8,047.46</w:t>
      </w:r>
      <w:r>
        <w:rPr>
          <w:spacing w:val="-9"/>
        </w:rPr>
        <w:t xml:space="preserve"> 万元，其中：基本支</w:t>
      </w:r>
      <w:r>
        <w:rPr>
          <w:spacing w:val="53"/>
          <w:w w:val="99"/>
        </w:rPr>
        <w:t>出</w:t>
      </w:r>
      <w:r>
        <w:rPr>
          <w:spacing w:val="1"/>
          <w:w w:val="99"/>
        </w:rPr>
        <w:t>88</w:t>
      </w:r>
      <w:r>
        <w:rPr>
          <w:spacing w:val="-2"/>
          <w:w w:val="99"/>
        </w:rPr>
        <w:t>4</w:t>
      </w:r>
      <w:r>
        <w:rPr>
          <w:spacing w:val="1"/>
          <w:w w:val="99"/>
        </w:rPr>
        <w:t>.0</w:t>
      </w:r>
      <w:r>
        <w:rPr>
          <w:w w:val="99"/>
        </w:rPr>
        <w:t>5</w:t>
      </w:r>
      <w:r>
        <w:rPr>
          <w:spacing w:val="-109"/>
        </w:rPr>
        <w:t xml:space="preserve"> </w:t>
      </w:r>
      <w:r>
        <w:rPr>
          <w:spacing w:val="-26"/>
          <w:w w:val="99"/>
        </w:rPr>
        <w:t>万元，占</w:t>
      </w:r>
      <w:r>
        <w:rPr>
          <w:spacing w:val="1"/>
          <w:w w:val="99"/>
        </w:rPr>
        <w:t>1</w:t>
      </w:r>
      <w:r>
        <w:rPr>
          <w:spacing w:val="-2"/>
          <w:w w:val="99"/>
        </w:rPr>
        <w:t>0</w:t>
      </w:r>
      <w:r>
        <w:rPr>
          <w:spacing w:val="1"/>
          <w:w w:val="99"/>
        </w:rPr>
        <w:t>.9</w:t>
      </w:r>
      <w:r>
        <w:rPr>
          <w:spacing w:val="-2"/>
          <w:w w:val="99"/>
        </w:rPr>
        <w:t>9</w:t>
      </w:r>
      <w:r>
        <w:rPr>
          <w:spacing w:val="-18"/>
          <w:w w:val="99"/>
        </w:rPr>
        <w:t>%；项目支出</w:t>
      </w:r>
      <w:r>
        <w:rPr>
          <w:spacing w:val="1"/>
          <w:w w:val="99"/>
        </w:rPr>
        <w:t>7,</w:t>
      </w:r>
      <w:r>
        <w:rPr>
          <w:spacing w:val="-2"/>
          <w:w w:val="99"/>
        </w:rPr>
        <w:t>1</w:t>
      </w:r>
      <w:r>
        <w:rPr>
          <w:spacing w:val="1"/>
          <w:w w:val="99"/>
        </w:rPr>
        <w:t>63</w:t>
      </w:r>
      <w:r>
        <w:rPr>
          <w:spacing w:val="-2"/>
          <w:w w:val="99"/>
        </w:rPr>
        <w:t>.</w:t>
      </w:r>
      <w:r>
        <w:rPr>
          <w:spacing w:val="1"/>
          <w:w w:val="99"/>
        </w:rPr>
        <w:t>4</w:t>
      </w:r>
      <w:r>
        <w:rPr>
          <w:w w:val="99"/>
        </w:rPr>
        <w:t>1</w:t>
      </w:r>
      <w:r>
        <w:rPr>
          <w:spacing w:val="-106"/>
        </w:rPr>
        <w:t xml:space="preserve"> </w:t>
      </w:r>
      <w:r>
        <w:rPr>
          <w:spacing w:val="-26"/>
          <w:w w:val="99"/>
        </w:rPr>
        <w:t>万元，占</w:t>
      </w:r>
      <w:r>
        <w:rPr>
          <w:spacing w:val="1"/>
          <w:w w:val="99"/>
        </w:rPr>
        <w:t>89</w:t>
      </w:r>
      <w:r>
        <w:rPr>
          <w:spacing w:val="-2"/>
          <w:w w:val="99"/>
        </w:rPr>
        <w:t>.</w:t>
      </w:r>
      <w:r>
        <w:rPr>
          <w:spacing w:val="1"/>
          <w:w w:val="99"/>
        </w:rPr>
        <w:t>01</w:t>
      </w:r>
      <w:r>
        <w:rPr>
          <w:spacing w:val="-1"/>
          <w:w w:val="99"/>
        </w:rPr>
        <w:t>%；</w:t>
      </w:r>
      <w:r>
        <w:rPr>
          <w:spacing w:val="-17"/>
        </w:rPr>
        <w:t xml:space="preserve">经营支出 </w:t>
      </w:r>
      <w:r>
        <w:rPr>
          <w:rFonts w:ascii="Times New Roman" w:eastAsia="Times New Roman"/>
        </w:rPr>
        <w:t xml:space="preserve">0 </w:t>
      </w:r>
      <w:r>
        <w:rPr>
          <w:spacing w:val="-17"/>
        </w:rPr>
        <w:t xml:space="preserve">万元，占 </w:t>
      </w:r>
      <w:r>
        <w:rPr>
          <w:rFonts w:ascii="Times New Roman" w:eastAsia="Times New Roman"/>
        </w:rPr>
        <w:t>0</w:t>
      </w:r>
      <w:r>
        <w:t>%。</w:t>
      </w:r>
    </w:p>
    <w:p>
      <w:pPr>
        <w:pStyle w:val="3"/>
        <w:spacing w:before="55"/>
        <w:ind w:left="880"/>
      </w:pPr>
      <w:r>
        <w:t>图 2：支出决算图</w:t>
      </w:r>
    </w:p>
    <w:p>
      <w:pPr>
        <w:pStyle w:val="3"/>
        <w:ind w:left="0"/>
        <w:rPr>
          <w:sz w:val="20"/>
        </w:rPr>
      </w:pPr>
    </w:p>
    <w:p>
      <w:pPr>
        <w:pStyle w:val="3"/>
        <w:ind w:left="0"/>
        <w:rPr>
          <w:sz w:val="20"/>
        </w:rPr>
      </w:pPr>
    </w:p>
    <w:p>
      <w:pPr>
        <w:pStyle w:val="3"/>
        <w:spacing w:before="3"/>
        <w:ind w:left="0"/>
        <w:rPr>
          <w:sz w:val="15"/>
        </w:rPr>
      </w:pPr>
      <w:r>
        <w:drawing>
          <wp:anchor distT="0" distB="0" distL="0" distR="0" simplePos="0" relativeHeight="0" behindDoc="0" locked="0" layoutInCell="1" allowOverlap="1">
            <wp:simplePos x="0" y="0"/>
            <wp:positionH relativeFrom="page">
              <wp:posOffset>1182370</wp:posOffset>
            </wp:positionH>
            <wp:positionV relativeFrom="paragraph">
              <wp:posOffset>148590</wp:posOffset>
            </wp:positionV>
            <wp:extent cx="4027170" cy="257238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5" cstate="print"/>
                    <a:stretch>
                      <a:fillRect/>
                    </a:stretch>
                  </pic:blipFill>
                  <pic:spPr>
                    <a:xfrm>
                      <a:off x="0" y="0"/>
                      <a:ext cx="4027098" cy="2572321"/>
                    </a:xfrm>
                    <a:prstGeom prst="rect">
                      <a:avLst/>
                    </a:prstGeom>
                  </pic:spPr>
                </pic:pic>
              </a:graphicData>
            </a:graphic>
          </wp:anchor>
        </w:drawing>
      </w:r>
    </w:p>
    <w:p>
      <w:pPr>
        <w:spacing w:after="0"/>
        <w:rPr>
          <w:sz w:val="15"/>
        </w:rPr>
        <w:sectPr>
          <w:pgSz w:w="12240" w:h="15840"/>
          <w:pgMar w:top="1500" w:right="1520" w:bottom="280" w:left="1560" w:header="720" w:footer="720" w:gutter="0"/>
        </w:sectPr>
      </w:pPr>
    </w:p>
    <w:p>
      <w:pPr>
        <w:pStyle w:val="2"/>
        <w:spacing w:before="108"/>
        <w:ind w:left="559"/>
      </w:pPr>
      <w:r>
        <w:t>（四）关于 2021 年度财政拨款收入支出决算总体情况说明</w:t>
      </w:r>
    </w:p>
    <w:p>
      <w:pPr>
        <w:pStyle w:val="3"/>
        <w:spacing w:before="11"/>
        <w:ind w:left="0"/>
        <w:rPr>
          <w:rFonts w:ascii="楷体"/>
          <w:b/>
          <w:sz w:val="28"/>
        </w:rPr>
      </w:pPr>
    </w:p>
    <w:p>
      <w:pPr>
        <w:pStyle w:val="3"/>
        <w:spacing w:line="340" w:lineRule="auto"/>
        <w:ind w:right="119" w:firstLine="640"/>
        <w:jc w:val="both"/>
      </w:pPr>
      <w:r>
        <w:rPr>
          <w:spacing w:val="13"/>
        </w:rPr>
        <w:t>本部门</w:t>
      </w:r>
      <w:r>
        <w:t>2021</w:t>
      </w:r>
      <w:r>
        <w:rPr>
          <w:spacing w:val="-10"/>
        </w:rPr>
        <w:t xml:space="preserve"> 年度财政拨款收入总计</w:t>
      </w:r>
      <w:r>
        <w:t>14,928.28</w:t>
      </w:r>
      <w:r>
        <w:rPr>
          <w:spacing w:val="-42"/>
        </w:rPr>
        <w:t xml:space="preserve"> 万元，其中： </w:t>
      </w:r>
      <w:r>
        <w:rPr>
          <w:spacing w:val="-47"/>
        </w:rPr>
        <w:t xml:space="preserve">年初结转和结余 </w:t>
      </w:r>
      <w:r>
        <w:t>6,931.83</w:t>
      </w:r>
      <w:r>
        <w:rPr>
          <w:spacing w:val="-29"/>
        </w:rPr>
        <w:t xml:space="preserve"> 万元；支出总计 </w:t>
      </w:r>
      <w:r>
        <w:t>14,928.28</w:t>
      </w:r>
      <w:r>
        <w:rPr>
          <w:spacing w:val="-33"/>
        </w:rPr>
        <w:t xml:space="preserve"> 万元，其</w:t>
      </w:r>
    </w:p>
    <w:p>
      <w:pPr>
        <w:pStyle w:val="3"/>
        <w:spacing w:line="338" w:lineRule="auto"/>
        <w:ind w:right="278"/>
        <w:jc w:val="both"/>
      </w:pPr>
      <w:r>
        <w:rPr>
          <w:spacing w:val="-9"/>
        </w:rPr>
        <w:t xml:space="preserve">中：年末结转和结余 </w:t>
      </w:r>
      <w:r>
        <w:t>6,880.93</w:t>
      </w:r>
      <w:r>
        <w:rPr>
          <w:spacing w:val="-28"/>
        </w:rPr>
        <w:t xml:space="preserve"> 万元。与 </w:t>
      </w:r>
      <w:r>
        <w:t>2020</w:t>
      </w:r>
      <w:r>
        <w:rPr>
          <w:spacing w:val="-12"/>
        </w:rPr>
        <w:t xml:space="preserve"> 年度相比，收入</w:t>
      </w:r>
      <w:r>
        <w:rPr>
          <w:spacing w:val="-23"/>
        </w:rPr>
        <w:t xml:space="preserve">支出总计增加 </w:t>
      </w:r>
      <w:r>
        <w:t>743.18</w:t>
      </w:r>
      <w:r>
        <w:rPr>
          <w:spacing w:val="-30"/>
        </w:rPr>
        <w:t xml:space="preserve"> 万元，增长 </w:t>
      </w:r>
      <w:r>
        <w:t>5.24%</w:t>
      </w:r>
      <w:r>
        <w:rPr>
          <w:spacing w:val="-8"/>
        </w:rPr>
        <w:t>。主要原因：一是因本</w:t>
      </w:r>
      <w:r>
        <w:rPr>
          <w:spacing w:val="-8"/>
          <w:w w:val="95"/>
        </w:rPr>
        <w:t xml:space="preserve">年度我单位增加了文博大厦维修支出近一千五百万元，及本年 度契丹辽二期项目、市图书馆综合体前期费用等支出增加；二 是本年度我单位各类财政拨款项目资金到位较为及时，项目实 施进度提高，部分上级转移支付资金到位并实施完成；三是基 </w:t>
      </w:r>
      <w:r>
        <w:rPr>
          <w:spacing w:val="-8"/>
        </w:rPr>
        <w:t>本支出中人员工资、社保费等较年初有所增加。</w:t>
      </w:r>
    </w:p>
    <w:p>
      <w:pPr>
        <w:pStyle w:val="2"/>
        <w:spacing w:before="208" w:line="340" w:lineRule="auto"/>
        <w:ind w:left="240" w:right="271" w:firstLine="600"/>
        <w:jc w:val="both"/>
      </w:pPr>
      <w:r>
        <w:t>（五</w:t>
      </w:r>
      <w:r>
        <w:rPr>
          <w:spacing w:val="-127"/>
        </w:rPr>
        <w:t>）</w:t>
      </w:r>
      <w:r>
        <w:rPr>
          <w:spacing w:val="-32"/>
        </w:rPr>
        <w:t xml:space="preserve">关于 </w:t>
      </w:r>
      <w:r>
        <w:t>2021</w:t>
      </w:r>
      <w:r>
        <w:rPr>
          <w:spacing w:val="-11"/>
        </w:rPr>
        <w:t xml:space="preserve"> 年度一般公共预算财政拨款支出决算情况说明</w:t>
      </w:r>
    </w:p>
    <w:p>
      <w:pPr>
        <w:pStyle w:val="3"/>
        <w:spacing w:before="197" w:line="338" w:lineRule="auto"/>
        <w:ind w:right="278" w:firstLine="600"/>
        <w:jc w:val="both"/>
      </w:pPr>
      <w:r>
        <w:rPr>
          <w:spacing w:val="23"/>
        </w:rPr>
        <w:t xml:space="preserve">本部门 </w:t>
      </w:r>
      <w:r>
        <w:t>2021</w:t>
      </w:r>
      <w:r>
        <w:rPr>
          <w:spacing w:val="48"/>
        </w:rPr>
        <w:t xml:space="preserve"> 年度一般公共预算财政拨款支出合计8,047.35</w:t>
      </w:r>
      <w:r>
        <w:rPr>
          <w:spacing w:val="-17"/>
        </w:rPr>
        <w:t xml:space="preserve"> 万元，其中：基本支出 </w:t>
      </w:r>
      <w:r>
        <w:t>884.05</w:t>
      </w:r>
      <w:r>
        <w:rPr>
          <w:spacing w:val="-29"/>
        </w:rPr>
        <w:t xml:space="preserve"> 万元，占 </w:t>
      </w:r>
      <w:r>
        <w:t>10.99%；项</w:t>
      </w:r>
      <w:r>
        <w:rPr>
          <w:spacing w:val="-21"/>
        </w:rPr>
        <w:t xml:space="preserve">目支出 </w:t>
      </w:r>
      <w:r>
        <w:t>7,163.29</w:t>
      </w:r>
      <w:r>
        <w:rPr>
          <w:spacing w:val="-28"/>
        </w:rPr>
        <w:t xml:space="preserve"> 万元，占 </w:t>
      </w:r>
      <w:r>
        <w:t>89.01%。</w:t>
      </w:r>
    </w:p>
    <w:p>
      <w:pPr>
        <w:pStyle w:val="3"/>
        <w:spacing w:before="205" w:line="340" w:lineRule="auto"/>
        <w:ind w:right="278" w:firstLine="600"/>
        <w:jc w:val="both"/>
      </w:pPr>
      <w:r>
        <w:rPr>
          <w:spacing w:val="-7"/>
        </w:rPr>
        <w:t xml:space="preserve">一般公共预算财政拨款支出 </w:t>
      </w:r>
      <w:r>
        <w:t>8,047.35</w:t>
      </w:r>
      <w:r>
        <w:rPr>
          <w:spacing w:val="-22"/>
        </w:rPr>
        <w:t xml:space="preserve"> 万元。与年初预算相</w:t>
      </w:r>
      <w:r>
        <w:rPr>
          <w:spacing w:val="-33"/>
        </w:rPr>
        <w:t xml:space="preserve">比，增加 </w:t>
      </w:r>
      <w:r>
        <w:t>7,051.36</w:t>
      </w:r>
      <w:r>
        <w:rPr>
          <w:spacing w:val="-34"/>
        </w:rPr>
        <w:t xml:space="preserve"> 万元，增长 </w:t>
      </w:r>
      <w:r>
        <w:t>707.98%</w:t>
      </w:r>
      <w:r>
        <w:rPr>
          <w:rFonts w:ascii="Times New Roman" w:eastAsia="Times New Roman"/>
        </w:rPr>
        <w:t>,</w:t>
      </w:r>
      <w:r>
        <w:rPr>
          <w:spacing w:val="-8"/>
        </w:rPr>
        <w:t>变动原因：本年度我单</w:t>
      </w:r>
      <w:r>
        <w:rPr>
          <w:spacing w:val="-8"/>
          <w:w w:val="95"/>
        </w:rPr>
        <w:t xml:space="preserve">位各类项目资金到位较为及时，项目实施进度提高，部分上级 转移支付资金到位并实施完成，同时基本支出中人员工资、社 </w:t>
      </w:r>
      <w:r>
        <w:rPr>
          <w:spacing w:val="-8"/>
        </w:rPr>
        <w:t>保费等较年初有所增加。其中：</w:t>
      </w:r>
    </w:p>
    <w:p>
      <w:pPr>
        <w:spacing w:after="0" w:line="340" w:lineRule="auto"/>
        <w:jc w:val="both"/>
        <w:sectPr>
          <w:pgSz w:w="12240" w:h="15840"/>
          <w:pgMar w:top="1500" w:right="1520" w:bottom="280" w:left="1560" w:header="720" w:footer="720" w:gutter="0"/>
        </w:sectPr>
      </w:pPr>
    </w:p>
    <w:p>
      <w:pPr>
        <w:pStyle w:val="3"/>
        <w:spacing w:before="69"/>
        <w:ind w:left="880"/>
        <w:rPr>
          <w:rFonts w:hint="eastAsia" w:ascii="楷体" w:eastAsia="楷体"/>
        </w:rPr>
      </w:pPr>
      <w:r>
        <w:rPr>
          <w:rFonts w:hint="eastAsia" w:ascii="楷体" w:eastAsia="楷体"/>
        </w:rPr>
        <w:t>（一）一般公共服务（类）</w:t>
      </w:r>
    </w:p>
    <w:p>
      <w:pPr>
        <w:pStyle w:val="7"/>
        <w:numPr>
          <w:ilvl w:val="2"/>
          <w:numId w:val="5"/>
        </w:numPr>
        <w:tabs>
          <w:tab w:val="left" w:pos="1360"/>
        </w:tabs>
        <w:spacing w:before="150" w:after="0" w:line="328" w:lineRule="auto"/>
        <w:ind w:left="240" w:right="278" w:firstLine="640"/>
        <w:jc w:val="both"/>
        <w:rPr>
          <w:sz w:val="32"/>
        </w:rPr>
      </w:pPr>
      <w:r>
        <w:rPr>
          <w:spacing w:val="-6"/>
          <w:w w:val="99"/>
          <w:sz w:val="32"/>
        </w:rPr>
        <w:t>商贸事务</w:t>
      </w:r>
      <w:r>
        <w:rPr>
          <w:w w:val="99"/>
          <w:sz w:val="32"/>
        </w:rPr>
        <w:t>（</w:t>
      </w:r>
      <w:r>
        <w:rPr>
          <w:spacing w:val="2"/>
          <w:w w:val="99"/>
          <w:sz w:val="32"/>
        </w:rPr>
        <w:t>款</w:t>
      </w:r>
      <w:r>
        <w:rPr>
          <w:w w:val="99"/>
          <w:sz w:val="32"/>
        </w:rPr>
        <w:t>）</w:t>
      </w:r>
      <w:r>
        <w:rPr>
          <w:spacing w:val="-28"/>
          <w:sz w:val="32"/>
        </w:rPr>
        <w:t xml:space="preserve"> </w:t>
      </w:r>
      <w:r>
        <w:rPr>
          <w:spacing w:val="-6"/>
          <w:w w:val="99"/>
          <w:sz w:val="32"/>
        </w:rPr>
        <w:t>招商引资</w:t>
      </w:r>
      <w:r>
        <w:rPr>
          <w:w w:val="99"/>
          <w:sz w:val="32"/>
        </w:rPr>
        <w:t>（项</w:t>
      </w:r>
      <w:r>
        <w:rPr>
          <w:spacing w:val="-159"/>
          <w:w w:val="99"/>
          <w:sz w:val="32"/>
        </w:rPr>
        <w:t>）</w:t>
      </w:r>
      <w:r>
        <w:rPr>
          <w:spacing w:val="-5"/>
          <w:w w:val="99"/>
          <w:sz w:val="32"/>
        </w:rPr>
        <w:t>：年初预算</w:t>
      </w:r>
      <w:r>
        <w:rPr>
          <w:spacing w:val="-81"/>
          <w:sz w:val="32"/>
        </w:rPr>
        <w:t xml:space="preserve"> </w:t>
      </w:r>
      <w:r>
        <w:rPr>
          <w:rFonts w:ascii="Times New Roman" w:eastAsia="Times New Roman"/>
          <w:w w:val="99"/>
          <w:sz w:val="32"/>
        </w:rPr>
        <w:t>0</w:t>
      </w:r>
      <w:r>
        <w:rPr>
          <w:rFonts w:ascii="Times New Roman" w:eastAsia="Times New Roman"/>
          <w:sz w:val="32"/>
        </w:rPr>
        <w:t xml:space="preserve"> </w:t>
      </w:r>
      <w:r>
        <w:rPr>
          <w:spacing w:val="-9"/>
          <w:w w:val="99"/>
          <w:sz w:val="32"/>
        </w:rPr>
        <w:t>万元，</w:t>
      </w:r>
      <w:r>
        <w:rPr>
          <w:spacing w:val="-16"/>
          <w:sz w:val="32"/>
        </w:rPr>
        <w:t xml:space="preserve">决算支出 </w:t>
      </w:r>
      <w:r>
        <w:rPr>
          <w:sz w:val="32"/>
        </w:rPr>
        <w:t>8.94</w:t>
      </w:r>
      <w:r>
        <w:rPr>
          <w:spacing w:val="-13"/>
          <w:sz w:val="32"/>
        </w:rPr>
        <w:t xml:space="preserve"> 万元，完成年初预算的 </w:t>
      </w:r>
      <w:r>
        <w:rPr>
          <w:sz w:val="32"/>
        </w:rPr>
        <w:t>100</w:t>
      </w:r>
      <w:r>
        <w:rPr>
          <w:spacing w:val="1"/>
          <w:sz w:val="32"/>
        </w:rPr>
        <w:t>%。决算数与年初预</w:t>
      </w:r>
      <w:r>
        <w:rPr>
          <w:w w:val="95"/>
          <w:sz w:val="32"/>
        </w:rPr>
        <w:t xml:space="preserve">算数的差异原因：本项目资金为市本级财政拨付的招商引资专 </w:t>
      </w:r>
      <w:r>
        <w:rPr>
          <w:sz w:val="32"/>
        </w:rPr>
        <w:t>项资金，未在本年市本级年初预算口径内。</w:t>
      </w:r>
    </w:p>
    <w:p>
      <w:pPr>
        <w:pStyle w:val="7"/>
        <w:numPr>
          <w:ilvl w:val="2"/>
          <w:numId w:val="5"/>
        </w:numPr>
        <w:tabs>
          <w:tab w:val="left" w:pos="1360"/>
        </w:tabs>
        <w:spacing w:before="0" w:after="0" w:line="328" w:lineRule="auto"/>
        <w:ind w:left="240" w:right="117" w:firstLine="640"/>
        <w:jc w:val="left"/>
        <w:rPr>
          <w:sz w:val="32"/>
        </w:rPr>
      </w:pPr>
      <w:r>
        <w:rPr>
          <w:spacing w:val="-8"/>
          <w:sz w:val="32"/>
        </w:rPr>
        <w:t>商贸事务</w:t>
      </w:r>
      <w:r>
        <w:rPr>
          <w:sz w:val="32"/>
        </w:rPr>
        <w:t>（款</w:t>
      </w:r>
      <w:r>
        <w:rPr>
          <w:spacing w:val="-31"/>
          <w:sz w:val="32"/>
        </w:rPr>
        <w:t>）</w:t>
      </w:r>
      <w:r>
        <w:rPr>
          <w:spacing w:val="-4"/>
          <w:sz w:val="32"/>
        </w:rPr>
        <w:t>其他一般公共服务支出</w:t>
      </w:r>
      <w:r>
        <w:rPr>
          <w:sz w:val="32"/>
        </w:rPr>
        <w:t>（款</w:t>
      </w:r>
      <w:r>
        <w:rPr>
          <w:spacing w:val="-31"/>
          <w:sz w:val="32"/>
        </w:rPr>
        <w:t>）</w:t>
      </w:r>
      <w:r>
        <w:rPr>
          <w:sz w:val="32"/>
        </w:rPr>
        <w:t>其他一般</w:t>
      </w:r>
      <w:r>
        <w:rPr>
          <w:spacing w:val="-9"/>
          <w:sz w:val="32"/>
        </w:rPr>
        <w:t>公共服务支出</w:t>
      </w:r>
      <w:r>
        <w:rPr>
          <w:sz w:val="32"/>
        </w:rPr>
        <w:t>（项</w:t>
      </w:r>
      <w:r>
        <w:rPr>
          <w:spacing w:val="-107"/>
          <w:sz w:val="32"/>
        </w:rPr>
        <w:t>）</w:t>
      </w:r>
      <w:r>
        <w:rPr>
          <w:spacing w:val="-32"/>
          <w:sz w:val="32"/>
        </w:rPr>
        <w:t xml:space="preserve">：年初预算 </w:t>
      </w:r>
      <w:r>
        <w:rPr>
          <w:rFonts w:ascii="Times New Roman" w:eastAsia="Times New Roman"/>
          <w:sz w:val="32"/>
        </w:rPr>
        <w:t>0</w:t>
      </w:r>
      <w:r>
        <w:rPr>
          <w:rFonts w:ascii="Times New Roman" w:eastAsia="Times New Roman"/>
          <w:spacing w:val="-3"/>
          <w:sz w:val="32"/>
        </w:rPr>
        <w:t xml:space="preserve"> </w:t>
      </w:r>
      <w:r>
        <w:rPr>
          <w:spacing w:val="-19"/>
          <w:sz w:val="32"/>
        </w:rPr>
        <w:t xml:space="preserve">万元，决算支出 </w:t>
      </w:r>
      <w:r>
        <w:rPr>
          <w:sz w:val="32"/>
        </w:rPr>
        <w:t>358.63</w:t>
      </w:r>
      <w:r>
        <w:rPr>
          <w:spacing w:val="-21"/>
          <w:sz w:val="32"/>
        </w:rPr>
        <w:t xml:space="preserve"> 万元， </w:t>
      </w:r>
      <w:r>
        <w:rPr>
          <w:spacing w:val="-29"/>
          <w:sz w:val="32"/>
        </w:rPr>
        <w:t xml:space="preserve">完成年初预算的 </w:t>
      </w:r>
      <w:r>
        <w:rPr>
          <w:sz w:val="32"/>
        </w:rPr>
        <w:t>100</w:t>
      </w:r>
      <w:r>
        <w:rPr>
          <w:spacing w:val="-9"/>
          <w:sz w:val="32"/>
        </w:rPr>
        <w:t>%。决算数与年初预算数的差异原因：此项资金为</w:t>
      </w:r>
      <w:r>
        <w:rPr>
          <w:rFonts w:hint="eastAsia"/>
          <w:spacing w:val="-9"/>
          <w:sz w:val="32"/>
          <w:lang w:val="en-US" w:eastAsia="zh-CN"/>
        </w:rPr>
        <w:t>AK</w:t>
      </w:r>
      <w:r>
        <w:rPr>
          <w:spacing w:val="-9"/>
          <w:sz w:val="32"/>
        </w:rPr>
        <w:t>替代工程专项资金，未在本年市本级年初预算口径内。按照相关要求我局已进行分次付费，本年度付款金额已完成。</w:t>
      </w:r>
    </w:p>
    <w:p>
      <w:pPr>
        <w:pStyle w:val="3"/>
        <w:spacing w:line="392" w:lineRule="exact"/>
        <w:ind w:left="880"/>
        <w:rPr>
          <w:rFonts w:hint="eastAsia" w:ascii="楷体" w:eastAsia="楷体"/>
        </w:rPr>
      </w:pPr>
      <w:r>
        <w:rPr>
          <w:rFonts w:hint="eastAsia" w:ascii="楷体" w:eastAsia="楷体"/>
        </w:rPr>
        <w:t>（二）文化旅游体育与传媒（类）</w:t>
      </w:r>
    </w:p>
    <w:p>
      <w:pPr>
        <w:pStyle w:val="3"/>
        <w:spacing w:before="151" w:line="328" w:lineRule="auto"/>
        <w:ind w:right="278" w:firstLine="640"/>
        <w:jc w:val="both"/>
      </w:pPr>
      <w:r>
        <w:rPr>
          <w:spacing w:val="8"/>
          <w:w w:val="99"/>
        </w:rPr>
        <w:t>1</w:t>
      </w:r>
      <w:r>
        <w:rPr>
          <w:spacing w:val="11"/>
          <w:w w:val="99"/>
        </w:rPr>
        <w:t>．文化和旅游</w:t>
      </w:r>
      <w:r>
        <w:rPr>
          <w:spacing w:val="12"/>
          <w:w w:val="99"/>
        </w:rPr>
        <w:t>（款）</w:t>
      </w:r>
      <w:r>
        <w:rPr>
          <w:spacing w:val="11"/>
          <w:w w:val="99"/>
        </w:rPr>
        <w:t>行政运行</w:t>
      </w:r>
      <w:r>
        <w:rPr>
          <w:spacing w:val="12"/>
          <w:w w:val="99"/>
        </w:rPr>
        <w:t>（</w:t>
      </w:r>
      <w:r>
        <w:rPr>
          <w:spacing w:val="14"/>
          <w:w w:val="99"/>
        </w:rPr>
        <w:t>项</w:t>
      </w:r>
      <w:r>
        <w:rPr>
          <w:spacing w:val="-149"/>
          <w:w w:val="99"/>
        </w:rPr>
        <w:t>）</w:t>
      </w:r>
      <w:r>
        <w:rPr>
          <w:spacing w:val="9"/>
          <w:w w:val="99"/>
        </w:rPr>
        <w:t>：年初预算</w:t>
      </w:r>
      <w:r>
        <w:rPr>
          <w:spacing w:val="-69"/>
        </w:rPr>
        <w:t xml:space="preserve"> </w:t>
      </w:r>
      <w:r>
        <w:rPr>
          <w:spacing w:val="1"/>
          <w:w w:val="99"/>
        </w:rPr>
        <w:t>70</w:t>
      </w:r>
      <w:r>
        <w:rPr>
          <w:spacing w:val="-2"/>
          <w:w w:val="99"/>
        </w:rPr>
        <w:t>0</w:t>
      </w:r>
      <w:r>
        <w:rPr>
          <w:spacing w:val="1"/>
          <w:w w:val="99"/>
        </w:rPr>
        <w:t>.</w:t>
      </w:r>
      <w:r>
        <w:rPr>
          <w:spacing w:val="-2"/>
          <w:w w:val="99"/>
        </w:rPr>
        <w:t>3</w:t>
      </w:r>
      <w:r>
        <w:rPr>
          <w:w w:val="99"/>
        </w:rPr>
        <w:t>2</w:t>
      </w:r>
      <w:r>
        <w:rPr>
          <w:spacing w:val="-16"/>
        </w:rPr>
        <w:t xml:space="preserve">万元，决算支出 </w:t>
      </w:r>
      <w:r>
        <w:t>703.24</w:t>
      </w:r>
      <w:r>
        <w:rPr>
          <w:spacing w:val="-19"/>
        </w:rPr>
        <w:t xml:space="preserve"> 万元，完成年初预算的 </w:t>
      </w:r>
      <w:r>
        <w:t>100.42</w:t>
      </w:r>
      <w:r>
        <w:rPr>
          <w:spacing w:val="-8"/>
        </w:rPr>
        <w:t>%。决算</w:t>
      </w:r>
      <w:r>
        <w:rPr>
          <w:spacing w:val="-8"/>
          <w:w w:val="95"/>
        </w:rPr>
        <w:t xml:space="preserve">数与年初预算数的差异原因：本年度新考录人员增加，各项保 </w:t>
      </w:r>
      <w:r>
        <w:rPr>
          <w:spacing w:val="-8"/>
        </w:rPr>
        <w:t>险公积金相比年初预算有所增加。</w:t>
      </w:r>
    </w:p>
    <w:p>
      <w:pPr>
        <w:pStyle w:val="3"/>
        <w:spacing w:line="328" w:lineRule="auto"/>
        <w:ind w:right="278" w:firstLine="640"/>
        <w:jc w:val="both"/>
      </w:pPr>
      <w:r>
        <w:rPr>
          <w:spacing w:val="-2"/>
          <w:w w:val="99"/>
        </w:rPr>
        <w:t>2</w:t>
      </w:r>
      <w:r>
        <w:rPr>
          <w:w w:val="99"/>
        </w:rPr>
        <w:t>、文化和旅游（</w:t>
      </w:r>
      <w:r>
        <w:rPr>
          <w:spacing w:val="2"/>
          <w:w w:val="99"/>
        </w:rPr>
        <w:t>款</w:t>
      </w:r>
      <w:r>
        <w:rPr>
          <w:w w:val="99"/>
        </w:rPr>
        <w:t>）图书馆（</w:t>
      </w:r>
      <w:r>
        <w:rPr>
          <w:spacing w:val="2"/>
          <w:w w:val="99"/>
        </w:rPr>
        <w:t>项</w:t>
      </w:r>
      <w:r>
        <w:rPr>
          <w:spacing w:val="-159"/>
          <w:w w:val="99"/>
        </w:rPr>
        <w:t>）</w:t>
      </w:r>
      <w:r>
        <w:rPr>
          <w:w w:val="99"/>
        </w:rPr>
        <w:t>：年初预算</w:t>
      </w:r>
      <w:r>
        <w:rPr>
          <w:spacing w:val="-79"/>
        </w:rPr>
        <w:t xml:space="preserve"> </w:t>
      </w:r>
      <w:r>
        <w:rPr>
          <w:rFonts w:ascii="Times New Roman" w:eastAsia="Times New Roman"/>
          <w:w w:val="99"/>
        </w:rPr>
        <w:t>0</w:t>
      </w:r>
      <w:r>
        <w:rPr>
          <w:rFonts w:ascii="Times New Roman" w:eastAsia="Times New Roman"/>
        </w:rPr>
        <w:t xml:space="preserve"> </w:t>
      </w:r>
      <w:r>
        <w:rPr>
          <w:w w:val="99"/>
        </w:rPr>
        <w:t>万元，决</w:t>
      </w:r>
      <w:r>
        <w:rPr>
          <w:spacing w:val="-22"/>
        </w:rPr>
        <w:t xml:space="preserve">算支出 </w:t>
      </w:r>
      <w:r>
        <w:t>95.23</w:t>
      </w:r>
      <w:r>
        <w:rPr>
          <w:spacing w:val="-20"/>
        </w:rPr>
        <w:t xml:space="preserve"> 万元，完成年初预算的 </w:t>
      </w:r>
      <w:r>
        <w:t>100</w:t>
      </w:r>
      <w:r>
        <w:rPr>
          <w:spacing w:val="-7"/>
        </w:rPr>
        <w:t>%。决算数与年初预算</w:t>
      </w:r>
      <w:r>
        <w:rPr>
          <w:spacing w:val="-7"/>
          <w:w w:val="95"/>
        </w:rPr>
        <w:t xml:space="preserve">数的差异原因：此项经费为本年度市图书馆综合体前期费用， </w:t>
      </w:r>
      <w:r>
        <w:rPr>
          <w:spacing w:val="-7"/>
        </w:rPr>
        <w:t>是以前年度结转资金，未在本年市本级年初预算口径内。</w:t>
      </w:r>
    </w:p>
    <w:p>
      <w:pPr>
        <w:pStyle w:val="3"/>
        <w:spacing w:line="328" w:lineRule="auto"/>
        <w:ind w:right="278" w:firstLine="640"/>
        <w:jc w:val="both"/>
      </w:pPr>
      <w:r>
        <w:rPr>
          <w:spacing w:val="-2"/>
          <w:w w:val="99"/>
        </w:rPr>
        <w:t>3</w:t>
      </w:r>
      <w:r>
        <w:rPr>
          <w:w w:val="99"/>
        </w:rPr>
        <w:t>、文化和旅游（</w:t>
      </w:r>
      <w:r>
        <w:rPr>
          <w:spacing w:val="2"/>
          <w:w w:val="99"/>
        </w:rPr>
        <w:t>款</w:t>
      </w:r>
      <w:r>
        <w:rPr>
          <w:w w:val="99"/>
        </w:rPr>
        <w:t>）文化活动</w:t>
      </w:r>
      <w:r>
        <w:rPr>
          <w:spacing w:val="2"/>
          <w:w w:val="99"/>
        </w:rPr>
        <w:t>（</w:t>
      </w:r>
      <w:r>
        <w:rPr>
          <w:w w:val="99"/>
        </w:rPr>
        <w:t>项</w:t>
      </w:r>
      <w:r>
        <w:rPr>
          <w:spacing w:val="-159"/>
          <w:w w:val="99"/>
        </w:rPr>
        <w:t>）</w:t>
      </w:r>
      <w:r>
        <w:rPr>
          <w:w w:val="99"/>
        </w:rPr>
        <w:t>：年初预算</w:t>
      </w:r>
      <w:r>
        <w:rPr>
          <w:spacing w:val="-79"/>
        </w:rPr>
        <w:t xml:space="preserve"> </w:t>
      </w:r>
      <w:r>
        <w:rPr>
          <w:rFonts w:ascii="Times New Roman" w:eastAsia="Times New Roman"/>
          <w:w w:val="99"/>
        </w:rPr>
        <w:t>0</w:t>
      </w:r>
      <w:r>
        <w:rPr>
          <w:rFonts w:ascii="Times New Roman" w:eastAsia="Times New Roman"/>
        </w:rPr>
        <w:t xml:space="preserve"> </w:t>
      </w:r>
      <w:r>
        <w:rPr>
          <w:w w:val="99"/>
        </w:rPr>
        <w:t>万元，</w:t>
      </w:r>
      <w:r>
        <w:rPr>
          <w:spacing w:val="-15"/>
        </w:rPr>
        <w:t xml:space="preserve">决算支出 </w:t>
      </w:r>
      <w:r>
        <w:t>146.93</w:t>
      </w:r>
      <w:r>
        <w:rPr>
          <w:spacing w:val="-14"/>
        </w:rPr>
        <w:t xml:space="preserve"> 万元，完成年初预算的 </w:t>
      </w:r>
      <w:r>
        <w:t>100</w:t>
      </w:r>
      <w:r>
        <w:rPr>
          <w:spacing w:val="1"/>
        </w:rPr>
        <w:t>%。决算数与年初</w:t>
      </w:r>
      <w:r>
        <w:rPr>
          <w:spacing w:val="1"/>
          <w:w w:val="95"/>
        </w:rPr>
        <w:t>预算数的差异原因：本项经费为本年度第十五届红山文化节专</w:t>
      </w:r>
    </w:p>
    <w:p>
      <w:pPr>
        <w:spacing w:after="0" w:line="328" w:lineRule="auto"/>
        <w:jc w:val="both"/>
        <w:sectPr>
          <w:pgSz w:w="12240" w:h="15840"/>
          <w:pgMar w:top="1500" w:right="1520" w:bottom="280" w:left="1560" w:header="720" w:footer="720" w:gutter="0"/>
        </w:sectPr>
      </w:pPr>
    </w:p>
    <w:p>
      <w:pPr>
        <w:pStyle w:val="3"/>
        <w:spacing w:before="69"/>
        <w:jc w:val="both"/>
      </w:pPr>
      <w:r>
        <w:rPr>
          <w:spacing w:val="-17"/>
        </w:rPr>
        <w:t xml:space="preserve">项经费，未在本年市本级年初预算口径内。但 </w:t>
      </w:r>
      <w:r>
        <w:t>2021</w:t>
      </w:r>
      <w:r>
        <w:rPr>
          <w:spacing w:val="-15"/>
        </w:rPr>
        <w:t xml:space="preserve"> 年因疫情原</w:t>
      </w:r>
    </w:p>
    <w:p>
      <w:pPr>
        <w:pStyle w:val="3"/>
        <w:spacing w:before="150" w:line="328" w:lineRule="auto"/>
        <w:ind w:right="119"/>
        <w:jc w:val="both"/>
      </w:pPr>
      <w:r>
        <w:rPr>
          <w:spacing w:val="-12"/>
        </w:rPr>
        <w:t>因，</w:t>
      </w:r>
      <w:r>
        <w:rPr>
          <w:spacing w:val="-24"/>
        </w:rPr>
        <w:t>2021</w:t>
      </w:r>
      <w:r>
        <w:rPr>
          <w:spacing w:val="-56"/>
        </w:rPr>
        <w:t xml:space="preserve"> 年 </w:t>
      </w:r>
      <w:r>
        <w:t>8</w:t>
      </w:r>
      <w:r>
        <w:rPr>
          <w:spacing w:val="-56"/>
        </w:rPr>
        <w:t xml:space="preserve"> 月 </w:t>
      </w:r>
      <w:r>
        <w:t>5</w:t>
      </w:r>
      <w:r>
        <w:rPr>
          <w:spacing w:val="-15"/>
        </w:rPr>
        <w:t xml:space="preserve"> 日经请示市政府同意，市文旅局召开党组会， </w:t>
      </w:r>
      <w:r>
        <w:rPr>
          <w:spacing w:val="-19"/>
          <w:w w:val="95"/>
        </w:rPr>
        <w:t>决定紧急取消举办第十五届红山文化旅游节</w:t>
      </w:r>
      <w:r>
        <w:rPr>
          <w:w w:val="95"/>
        </w:rPr>
        <w:t>（</w:t>
      </w:r>
      <w:r>
        <w:rPr>
          <w:spacing w:val="-16"/>
          <w:w w:val="95"/>
        </w:rPr>
        <w:t>赤文旅发【</w:t>
      </w:r>
      <w:r>
        <w:rPr>
          <w:w w:val="95"/>
        </w:rPr>
        <w:t>2021】</w:t>
      </w:r>
      <w:r>
        <w:rPr>
          <w:spacing w:val="1"/>
          <w:w w:val="99"/>
        </w:rPr>
        <w:t>12</w:t>
      </w:r>
      <w:r>
        <w:rPr>
          <w:w w:val="99"/>
        </w:rPr>
        <w:t>8</w:t>
      </w:r>
      <w:r>
        <w:rPr>
          <w:spacing w:val="-82"/>
        </w:rPr>
        <w:t xml:space="preserve"> </w:t>
      </w:r>
      <w:r>
        <w:rPr>
          <w:spacing w:val="2"/>
          <w:w w:val="99"/>
        </w:rPr>
        <w:t>号</w:t>
      </w:r>
      <w:r>
        <w:rPr>
          <w:spacing w:val="-161"/>
          <w:w w:val="99"/>
        </w:rPr>
        <w:t>）</w:t>
      </w:r>
      <w:r>
        <w:rPr>
          <w:w w:val="99"/>
        </w:rPr>
        <w:t>，将</w:t>
      </w:r>
      <w:r>
        <w:rPr>
          <w:spacing w:val="-79"/>
        </w:rPr>
        <w:t xml:space="preserve"> </w:t>
      </w:r>
      <w:r>
        <w:rPr>
          <w:spacing w:val="1"/>
          <w:w w:val="99"/>
        </w:rPr>
        <w:t>20</w:t>
      </w:r>
      <w:r>
        <w:rPr>
          <w:spacing w:val="-2"/>
          <w:w w:val="99"/>
        </w:rPr>
        <w:t>2</w:t>
      </w:r>
      <w:r>
        <w:rPr>
          <w:w w:val="99"/>
        </w:rPr>
        <w:t>1</w:t>
      </w:r>
      <w:r>
        <w:rPr>
          <w:spacing w:val="-80"/>
        </w:rPr>
        <w:t xml:space="preserve"> </w:t>
      </w:r>
      <w:r>
        <w:rPr>
          <w:w w:val="99"/>
        </w:rPr>
        <w:t>年文旅节策划延期至</w:t>
      </w:r>
      <w:r>
        <w:rPr>
          <w:spacing w:val="-79"/>
        </w:rPr>
        <w:t xml:space="preserve"> </w:t>
      </w:r>
      <w:r>
        <w:rPr>
          <w:spacing w:val="1"/>
          <w:w w:val="99"/>
        </w:rPr>
        <w:t>2</w:t>
      </w:r>
      <w:r>
        <w:rPr>
          <w:spacing w:val="-2"/>
          <w:w w:val="99"/>
        </w:rPr>
        <w:t>0</w:t>
      </w:r>
      <w:r>
        <w:rPr>
          <w:spacing w:val="1"/>
          <w:w w:val="99"/>
        </w:rPr>
        <w:t>2</w:t>
      </w:r>
      <w:r>
        <w:rPr>
          <w:w w:val="99"/>
        </w:rPr>
        <w:t>2</w:t>
      </w:r>
      <w:r>
        <w:rPr>
          <w:spacing w:val="-80"/>
        </w:rPr>
        <w:t xml:space="preserve"> </w:t>
      </w:r>
      <w:r>
        <w:rPr>
          <w:w w:val="99"/>
        </w:rPr>
        <w:t>年实施。</w:t>
      </w:r>
    </w:p>
    <w:p>
      <w:pPr>
        <w:pStyle w:val="3"/>
        <w:spacing w:line="328" w:lineRule="auto"/>
        <w:ind w:right="278" w:firstLine="640"/>
        <w:jc w:val="both"/>
      </w:pPr>
      <w:r>
        <w:rPr>
          <w:spacing w:val="3"/>
          <w:w w:val="99"/>
        </w:rPr>
        <w:t>4</w:t>
      </w:r>
      <w:r>
        <w:rPr>
          <w:spacing w:val="2"/>
          <w:w w:val="99"/>
        </w:rPr>
        <w:t>、文化和旅游</w:t>
      </w:r>
      <w:r>
        <w:rPr>
          <w:spacing w:val="5"/>
          <w:w w:val="99"/>
        </w:rPr>
        <w:t>（</w:t>
      </w:r>
      <w:r>
        <w:rPr>
          <w:spacing w:val="2"/>
          <w:w w:val="99"/>
        </w:rPr>
        <w:t>款</w:t>
      </w:r>
      <w:r>
        <w:rPr>
          <w:spacing w:val="5"/>
          <w:w w:val="99"/>
        </w:rPr>
        <w:t>）</w:t>
      </w:r>
      <w:r>
        <w:rPr>
          <w:spacing w:val="2"/>
          <w:w w:val="99"/>
        </w:rPr>
        <w:t>文化创作和保护（项</w:t>
      </w:r>
      <w:r>
        <w:rPr>
          <w:spacing w:val="-154"/>
          <w:w w:val="99"/>
        </w:rPr>
        <w:t>）</w:t>
      </w:r>
      <w:r>
        <w:rPr>
          <w:spacing w:val="2"/>
          <w:w w:val="99"/>
        </w:rPr>
        <w:t>：年初预算</w:t>
      </w:r>
      <w:r>
        <w:rPr>
          <w:spacing w:val="-79"/>
        </w:rPr>
        <w:t xml:space="preserve"> </w:t>
      </w:r>
      <w:r>
        <w:rPr>
          <w:rFonts w:ascii="Times New Roman" w:eastAsia="Times New Roman"/>
          <w:w w:val="99"/>
        </w:rPr>
        <w:t>0</w:t>
      </w:r>
      <w:r>
        <w:rPr>
          <w:spacing w:val="-9"/>
        </w:rPr>
        <w:t xml:space="preserve">万元，决算支出 </w:t>
      </w:r>
      <w:r>
        <w:t>47</w:t>
      </w:r>
      <w:r>
        <w:rPr>
          <w:spacing w:val="-14"/>
        </w:rPr>
        <w:t xml:space="preserve"> 万元，完成年初预算的 </w:t>
      </w:r>
      <w:r>
        <w:t>100%。决算数与年</w:t>
      </w:r>
      <w:r>
        <w:rPr>
          <w:w w:val="95"/>
        </w:rPr>
        <w:t xml:space="preserve">初预算数的差异原因：本项目资金为本年度自治区文化创作和 保护项目专项资金，为自治区专业支付专项，未在本年市本级 </w:t>
      </w:r>
      <w:r>
        <w:t>年初预算口径内。</w:t>
      </w:r>
    </w:p>
    <w:p>
      <w:pPr>
        <w:pStyle w:val="3"/>
        <w:spacing w:line="328" w:lineRule="auto"/>
        <w:ind w:right="278" w:firstLine="640"/>
        <w:jc w:val="both"/>
      </w:pPr>
      <w:r>
        <w:rPr>
          <w:spacing w:val="-2"/>
          <w:w w:val="99"/>
        </w:rPr>
        <w:t>5</w:t>
      </w:r>
      <w:r>
        <w:rPr>
          <w:w w:val="99"/>
        </w:rPr>
        <w:t>、文化和旅游（</w:t>
      </w:r>
      <w:r>
        <w:rPr>
          <w:spacing w:val="2"/>
          <w:w w:val="99"/>
        </w:rPr>
        <w:t>款</w:t>
      </w:r>
      <w:r>
        <w:rPr>
          <w:w w:val="99"/>
        </w:rPr>
        <w:t>）旅游宣传</w:t>
      </w:r>
      <w:r>
        <w:rPr>
          <w:spacing w:val="2"/>
          <w:w w:val="99"/>
        </w:rPr>
        <w:t>（</w:t>
      </w:r>
      <w:r>
        <w:rPr>
          <w:w w:val="99"/>
        </w:rPr>
        <w:t>项</w:t>
      </w:r>
      <w:r>
        <w:rPr>
          <w:spacing w:val="-159"/>
          <w:w w:val="99"/>
        </w:rPr>
        <w:t>）</w:t>
      </w:r>
      <w:r>
        <w:rPr>
          <w:w w:val="99"/>
        </w:rPr>
        <w:t>：年初预算</w:t>
      </w:r>
      <w:r>
        <w:rPr>
          <w:spacing w:val="-79"/>
        </w:rPr>
        <w:t xml:space="preserve"> </w:t>
      </w:r>
      <w:r>
        <w:rPr>
          <w:spacing w:val="1"/>
          <w:w w:val="99"/>
        </w:rPr>
        <w:t>17</w:t>
      </w:r>
      <w:r>
        <w:rPr>
          <w:spacing w:val="-2"/>
          <w:w w:val="99"/>
        </w:rPr>
        <w:t>8</w:t>
      </w:r>
      <w:r>
        <w:rPr>
          <w:spacing w:val="1"/>
          <w:w w:val="99"/>
        </w:rPr>
        <w:t>.</w:t>
      </w:r>
      <w:r>
        <w:rPr>
          <w:w w:val="99"/>
        </w:rPr>
        <w:t>2</w:t>
      </w:r>
      <w:r>
        <w:rPr>
          <w:spacing w:val="-80"/>
        </w:rPr>
        <w:t xml:space="preserve"> </w:t>
      </w:r>
      <w:r>
        <w:rPr>
          <w:w w:val="99"/>
        </w:rPr>
        <w:t>万</w:t>
      </w:r>
      <w:r>
        <w:rPr>
          <w:spacing w:val="-9"/>
        </w:rPr>
        <w:t xml:space="preserve">元，决算支出 </w:t>
      </w:r>
      <w:r>
        <w:t>1163.05</w:t>
      </w:r>
      <w:r>
        <w:rPr>
          <w:spacing w:val="-12"/>
        </w:rPr>
        <w:t xml:space="preserve"> 万元，完成年初预算的 </w:t>
      </w:r>
      <w:r>
        <w:t>652.67</w:t>
      </w:r>
      <w:r>
        <w:rPr>
          <w:spacing w:val="-1"/>
        </w:rPr>
        <w:t>%。决算</w:t>
      </w:r>
      <w:r>
        <w:rPr>
          <w:w w:val="95"/>
        </w:rPr>
        <w:t xml:space="preserve">数与年初预算数的差异原因：我单位为文化和旅游局，本项经 费均用于旅游宣传，部分旅游宣传经费未列入年初预算，如耶 </w:t>
      </w:r>
      <w:r>
        <w:t>律小勇万里行等其他系列旅游宣传项目。</w:t>
      </w:r>
    </w:p>
    <w:p>
      <w:pPr>
        <w:pStyle w:val="3"/>
        <w:spacing w:line="328" w:lineRule="auto"/>
        <w:ind w:right="278" w:firstLine="640"/>
        <w:jc w:val="both"/>
      </w:pPr>
      <w:r>
        <w:rPr>
          <w:spacing w:val="3"/>
          <w:w w:val="99"/>
        </w:rPr>
        <w:t>6</w:t>
      </w:r>
      <w:r>
        <w:rPr>
          <w:spacing w:val="2"/>
          <w:w w:val="99"/>
        </w:rPr>
        <w:t>、文化和旅游</w:t>
      </w:r>
      <w:r>
        <w:rPr>
          <w:spacing w:val="5"/>
          <w:w w:val="99"/>
        </w:rPr>
        <w:t>（</w:t>
      </w:r>
      <w:r>
        <w:rPr>
          <w:spacing w:val="2"/>
          <w:w w:val="99"/>
        </w:rPr>
        <w:t>款</w:t>
      </w:r>
      <w:r>
        <w:rPr>
          <w:spacing w:val="5"/>
          <w:w w:val="99"/>
        </w:rPr>
        <w:t>）</w:t>
      </w:r>
      <w:r>
        <w:rPr>
          <w:spacing w:val="2"/>
          <w:w w:val="99"/>
        </w:rPr>
        <w:t>其他文化和旅游（项</w:t>
      </w:r>
      <w:r>
        <w:rPr>
          <w:spacing w:val="-154"/>
          <w:w w:val="99"/>
        </w:rPr>
        <w:t>）</w:t>
      </w:r>
      <w:r>
        <w:rPr>
          <w:spacing w:val="2"/>
          <w:w w:val="99"/>
        </w:rPr>
        <w:t>：年初预算</w:t>
      </w:r>
      <w:r>
        <w:rPr>
          <w:spacing w:val="-79"/>
        </w:rPr>
        <w:t xml:space="preserve"> </w:t>
      </w:r>
      <w:r>
        <w:rPr>
          <w:rFonts w:ascii="Times New Roman" w:eastAsia="Times New Roman"/>
          <w:w w:val="99"/>
        </w:rPr>
        <w:t>0</w:t>
      </w:r>
      <w:r>
        <w:rPr>
          <w:spacing w:val="-16"/>
        </w:rPr>
        <w:t xml:space="preserve">万元，决算支出 </w:t>
      </w:r>
      <w:r>
        <w:t>2831.87</w:t>
      </w:r>
      <w:r>
        <w:rPr>
          <w:spacing w:val="-19"/>
        </w:rPr>
        <w:t xml:space="preserve"> 万元，完成年初预算的 </w:t>
      </w:r>
      <w:r>
        <w:t>100</w:t>
      </w:r>
      <w:r>
        <w:rPr>
          <w:spacing w:val="-7"/>
        </w:rPr>
        <w:t>%。决算数</w:t>
      </w:r>
      <w:r>
        <w:rPr>
          <w:spacing w:val="-7"/>
          <w:w w:val="95"/>
        </w:rPr>
        <w:t xml:space="preserve">与年初预算数的差异原因：本年度我单位各类财政拨款项目资 金到位较为及时，项目实施进度提高，部分上级转移支付资金 </w:t>
      </w:r>
      <w:r>
        <w:rPr>
          <w:spacing w:val="-7"/>
        </w:rPr>
        <w:t>到位并实施完成。</w:t>
      </w:r>
    </w:p>
    <w:p>
      <w:pPr>
        <w:pStyle w:val="3"/>
        <w:spacing w:line="402" w:lineRule="exact"/>
        <w:ind w:left="880"/>
      </w:pPr>
      <w:r>
        <w:rPr>
          <w:spacing w:val="-2"/>
          <w:w w:val="99"/>
        </w:rPr>
        <w:t>7</w:t>
      </w:r>
      <w:r>
        <w:rPr>
          <w:w w:val="99"/>
        </w:rPr>
        <w:t>、文物（</w:t>
      </w:r>
      <w:r>
        <w:rPr>
          <w:spacing w:val="2"/>
          <w:w w:val="99"/>
        </w:rPr>
        <w:t>款</w:t>
      </w:r>
      <w:r>
        <w:rPr>
          <w:w w:val="99"/>
        </w:rPr>
        <w:t>）博物馆（</w:t>
      </w:r>
      <w:r>
        <w:rPr>
          <w:spacing w:val="2"/>
          <w:w w:val="99"/>
        </w:rPr>
        <w:t>项</w:t>
      </w:r>
      <w:r>
        <w:rPr>
          <w:spacing w:val="-159"/>
          <w:w w:val="99"/>
        </w:rPr>
        <w:t>）</w:t>
      </w:r>
      <w:r>
        <w:rPr>
          <w:w w:val="99"/>
        </w:rPr>
        <w:t>：年初预算</w:t>
      </w:r>
      <w:r>
        <w:rPr>
          <w:spacing w:val="-79"/>
        </w:rPr>
        <w:t xml:space="preserve"> </w:t>
      </w:r>
      <w:r>
        <w:rPr>
          <w:rFonts w:ascii="Times New Roman" w:eastAsia="Times New Roman"/>
          <w:w w:val="99"/>
        </w:rPr>
        <w:t>0</w:t>
      </w:r>
      <w:r>
        <w:rPr>
          <w:rFonts w:ascii="Times New Roman" w:eastAsia="Times New Roman"/>
        </w:rPr>
        <w:t xml:space="preserve"> </w:t>
      </w:r>
      <w:r>
        <w:rPr>
          <w:w w:val="99"/>
        </w:rPr>
        <w:t>万元，决算支出</w:t>
      </w:r>
    </w:p>
    <w:p>
      <w:pPr>
        <w:pStyle w:val="3"/>
        <w:spacing w:before="126" w:line="328" w:lineRule="auto"/>
        <w:ind w:right="119"/>
      </w:pPr>
      <w:r>
        <w:t>2018.58</w:t>
      </w:r>
      <w:r>
        <w:rPr>
          <w:spacing w:val="-17"/>
        </w:rPr>
        <w:t xml:space="preserve"> 万元，完成年初预算的 </w:t>
      </w:r>
      <w:r>
        <w:t>100%。决算数与年初预算数的</w:t>
      </w:r>
      <w:r>
        <w:rPr>
          <w:spacing w:val="-14"/>
          <w:w w:val="95"/>
        </w:rPr>
        <w:t xml:space="preserve">差异原因：本年度我单位各类财政拨款项目资金到位较为及时， </w:t>
      </w:r>
      <w:r>
        <w:rPr>
          <w:spacing w:val="-18"/>
          <w:w w:val="95"/>
        </w:rPr>
        <w:t>项目实施进度提高。除正常列入博物馆支出的日常项目经费外，</w:t>
      </w:r>
    </w:p>
    <w:p>
      <w:pPr>
        <w:spacing w:after="0" w:line="328" w:lineRule="auto"/>
        <w:sectPr>
          <w:pgSz w:w="12240" w:h="15840"/>
          <w:pgMar w:top="1500" w:right="1520" w:bottom="280" w:left="1560" w:header="720" w:footer="720" w:gutter="0"/>
        </w:sectPr>
      </w:pPr>
    </w:p>
    <w:p>
      <w:pPr>
        <w:pStyle w:val="3"/>
        <w:spacing w:before="69" w:line="326" w:lineRule="auto"/>
        <w:ind w:right="280"/>
        <w:jc w:val="both"/>
      </w:pPr>
      <w:r>
        <w:t>主要今年增加的如契丹辽博物馆人防易地建设费 1858.7 万元列入本科目。</w:t>
      </w:r>
    </w:p>
    <w:p>
      <w:pPr>
        <w:pStyle w:val="3"/>
        <w:spacing w:before="4" w:line="328" w:lineRule="auto"/>
        <w:ind w:right="119" w:firstLine="640"/>
        <w:jc w:val="both"/>
      </w:pPr>
      <w:r>
        <w:rPr>
          <w:spacing w:val="-2"/>
          <w:w w:val="99"/>
        </w:rPr>
        <w:t>8</w:t>
      </w:r>
      <w:r>
        <w:rPr>
          <w:w w:val="99"/>
        </w:rPr>
        <w:t>、文物（</w:t>
      </w:r>
      <w:r>
        <w:rPr>
          <w:spacing w:val="2"/>
          <w:w w:val="99"/>
        </w:rPr>
        <w:t>款</w:t>
      </w:r>
      <w:r>
        <w:rPr>
          <w:w w:val="99"/>
        </w:rPr>
        <w:t>）其他文物支出（</w:t>
      </w:r>
      <w:r>
        <w:rPr>
          <w:spacing w:val="2"/>
          <w:w w:val="99"/>
        </w:rPr>
        <w:t>项</w:t>
      </w:r>
      <w:r>
        <w:rPr>
          <w:spacing w:val="-159"/>
          <w:w w:val="99"/>
        </w:rPr>
        <w:t>）</w:t>
      </w:r>
      <w:r>
        <w:rPr>
          <w:w w:val="99"/>
        </w:rPr>
        <w:t>：年初预算</w:t>
      </w:r>
      <w:r>
        <w:rPr>
          <w:spacing w:val="-79"/>
        </w:rPr>
        <w:t xml:space="preserve"> </w:t>
      </w:r>
      <w:r>
        <w:rPr>
          <w:rFonts w:ascii="Times New Roman" w:eastAsia="Times New Roman"/>
          <w:w w:val="99"/>
        </w:rPr>
        <w:t>0</w:t>
      </w:r>
      <w:r>
        <w:rPr>
          <w:rFonts w:ascii="Times New Roman" w:eastAsia="Times New Roman"/>
        </w:rPr>
        <w:t xml:space="preserve"> </w:t>
      </w:r>
      <w:r>
        <w:rPr>
          <w:w w:val="99"/>
        </w:rPr>
        <w:t>万元，决</w:t>
      </w:r>
      <w:r>
        <w:rPr>
          <w:spacing w:val="-19"/>
        </w:rPr>
        <w:t xml:space="preserve">算支出 </w:t>
      </w:r>
      <w:r>
        <w:t>409.24</w:t>
      </w:r>
      <w:r>
        <w:rPr>
          <w:spacing w:val="-13"/>
        </w:rPr>
        <w:t xml:space="preserve"> 万元，完成年初预算的 </w:t>
      </w:r>
      <w:r>
        <w:t>100</w:t>
      </w:r>
      <w:r>
        <w:rPr>
          <w:spacing w:val="1"/>
        </w:rPr>
        <w:t>%。决算数与年初预算数的差异原因：本年度我单位各类财政拨款项目资金到位较</w:t>
      </w:r>
      <w:r>
        <w:rPr>
          <w:spacing w:val="-11"/>
        </w:rPr>
        <w:t xml:space="preserve">为及时，项目实施进度提高，主要包括赤峰博物馆 </w:t>
      </w:r>
      <w:r>
        <w:t>（南馆</w:t>
      </w:r>
      <w:r>
        <w:rPr>
          <w:spacing w:val="-39"/>
        </w:rPr>
        <w:t>）</w:t>
      </w:r>
      <w:r>
        <w:t>日</w:t>
      </w:r>
      <w:r>
        <w:rPr>
          <w:spacing w:val="-5"/>
          <w:w w:val="95"/>
        </w:rPr>
        <w:t>常经费及革命历史博物馆与赤峰博物馆</w:t>
      </w:r>
      <w:r>
        <w:rPr>
          <w:w w:val="95"/>
        </w:rPr>
        <w:t>（南馆</w:t>
      </w:r>
      <w:r>
        <w:rPr>
          <w:spacing w:val="-79"/>
          <w:w w:val="95"/>
        </w:rPr>
        <w:t>）</w:t>
      </w:r>
      <w:r>
        <w:rPr>
          <w:w w:val="95"/>
        </w:rPr>
        <w:t>文物征集费用。</w:t>
      </w:r>
    </w:p>
    <w:p>
      <w:pPr>
        <w:pStyle w:val="3"/>
        <w:spacing w:line="402" w:lineRule="exact"/>
        <w:ind w:left="880"/>
        <w:rPr>
          <w:rFonts w:hint="eastAsia" w:ascii="楷体" w:eastAsia="楷体"/>
        </w:rPr>
      </w:pPr>
      <w:r>
        <w:rPr>
          <w:rFonts w:hint="eastAsia" w:ascii="楷体" w:eastAsia="楷体"/>
        </w:rPr>
        <w:t>（三）社会保障和就业（类）</w:t>
      </w:r>
    </w:p>
    <w:p>
      <w:pPr>
        <w:pStyle w:val="7"/>
        <w:numPr>
          <w:ilvl w:val="0"/>
          <w:numId w:val="6"/>
        </w:numPr>
        <w:tabs>
          <w:tab w:val="left" w:pos="1203"/>
        </w:tabs>
        <w:spacing w:before="158" w:after="0" w:line="333" w:lineRule="auto"/>
        <w:ind w:left="240" w:right="278" w:firstLine="640"/>
        <w:jc w:val="both"/>
        <w:rPr>
          <w:sz w:val="32"/>
        </w:rPr>
      </w:pPr>
      <w:r>
        <w:rPr>
          <w:spacing w:val="-4"/>
          <w:w w:val="95"/>
          <w:sz w:val="32"/>
        </w:rPr>
        <w:t>行政事业单位养老支出</w:t>
      </w:r>
      <w:r>
        <w:rPr>
          <w:w w:val="95"/>
          <w:sz w:val="32"/>
        </w:rPr>
        <w:t>（款</w:t>
      </w:r>
      <w:r>
        <w:rPr>
          <w:spacing w:val="-39"/>
          <w:w w:val="95"/>
          <w:sz w:val="32"/>
        </w:rPr>
        <w:t>）</w:t>
      </w:r>
      <w:r>
        <w:rPr>
          <w:spacing w:val="-6"/>
          <w:w w:val="95"/>
          <w:sz w:val="32"/>
        </w:rPr>
        <w:t>行政单位离退休</w:t>
      </w:r>
      <w:r>
        <w:rPr>
          <w:w w:val="95"/>
          <w:sz w:val="32"/>
        </w:rPr>
        <w:t>（项</w:t>
      </w:r>
      <w:r>
        <w:rPr>
          <w:spacing w:val="-99"/>
          <w:w w:val="95"/>
          <w:sz w:val="32"/>
        </w:rPr>
        <w:t>）</w:t>
      </w:r>
      <w:r>
        <w:rPr>
          <w:spacing w:val="-50"/>
          <w:w w:val="95"/>
          <w:sz w:val="32"/>
        </w:rPr>
        <w:t xml:space="preserve">，年 </w:t>
      </w:r>
      <w:r>
        <w:rPr>
          <w:spacing w:val="-56"/>
          <w:sz w:val="32"/>
        </w:rPr>
        <w:t xml:space="preserve">初预算数为 </w:t>
      </w:r>
      <w:r>
        <w:rPr>
          <w:sz w:val="32"/>
        </w:rPr>
        <w:t>18.89</w:t>
      </w:r>
      <w:r>
        <w:rPr>
          <w:spacing w:val="-20"/>
          <w:sz w:val="32"/>
        </w:rPr>
        <w:t xml:space="preserve"> 万元，决算支出 </w:t>
      </w:r>
      <w:r>
        <w:rPr>
          <w:sz w:val="32"/>
        </w:rPr>
        <w:t>22.49</w:t>
      </w:r>
      <w:r>
        <w:rPr>
          <w:spacing w:val="-10"/>
          <w:sz w:val="32"/>
        </w:rPr>
        <w:t xml:space="preserve"> 万元，完成年初预算</w:t>
      </w:r>
      <w:r>
        <w:rPr>
          <w:spacing w:val="-45"/>
          <w:sz w:val="32"/>
        </w:rPr>
        <w:t xml:space="preserve">的 </w:t>
      </w:r>
      <w:r>
        <w:rPr>
          <w:sz w:val="32"/>
        </w:rPr>
        <w:t>118.5</w:t>
      </w:r>
      <w:r>
        <w:rPr>
          <w:spacing w:val="-8"/>
          <w:sz w:val="32"/>
        </w:rPr>
        <w:t xml:space="preserve">%。本年度退休人员为 </w:t>
      </w:r>
      <w:r>
        <w:rPr>
          <w:sz w:val="32"/>
        </w:rPr>
        <w:t>6</w:t>
      </w:r>
      <w:r>
        <w:rPr>
          <w:spacing w:val="-27"/>
          <w:sz w:val="32"/>
        </w:rPr>
        <w:t xml:space="preserve"> 人。</w:t>
      </w:r>
    </w:p>
    <w:p>
      <w:pPr>
        <w:pStyle w:val="7"/>
        <w:numPr>
          <w:ilvl w:val="0"/>
          <w:numId w:val="6"/>
        </w:numPr>
        <w:tabs>
          <w:tab w:val="left" w:pos="1203"/>
        </w:tabs>
        <w:spacing w:before="0" w:after="0" w:line="333" w:lineRule="auto"/>
        <w:ind w:left="240" w:right="276" w:firstLine="640"/>
        <w:jc w:val="both"/>
        <w:rPr>
          <w:sz w:val="32"/>
        </w:rPr>
      </w:pPr>
      <w:r>
        <w:rPr>
          <w:w w:val="95"/>
          <w:sz w:val="32"/>
        </w:rPr>
        <w:t>行政事业单位养老支出（款）机关事业单位基本养老保</w:t>
      </w:r>
      <w:r>
        <w:rPr>
          <w:w w:val="99"/>
          <w:sz w:val="32"/>
        </w:rPr>
        <w:t>险</w:t>
      </w:r>
      <w:r>
        <w:rPr>
          <w:spacing w:val="-6"/>
          <w:w w:val="99"/>
          <w:sz w:val="32"/>
        </w:rPr>
        <w:t>缴费支出</w:t>
      </w:r>
      <w:r>
        <w:rPr>
          <w:w w:val="99"/>
          <w:sz w:val="32"/>
        </w:rPr>
        <w:t>（项</w:t>
      </w:r>
      <w:r>
        <w:rPr>
          <w:spacing w:val="-159"/>
          <w:w w:val="99"/>
          <w:sz w:val="32"/>
        </w:rPr>
        <w:t>）</w:t>
      </w:r>
      <w:r>
        <w:rPr>
          <w:spacing w:val="-5"/>
          <w:w w:val="99"/>
          <w:sz w:val="32"/>
        </w:rPr>
        <w:t>，年初预算数为</w:t>
      </w:r>
      <w:r>
        <w:rPr>
          <w:spacing w:val="-79"/>
          <w:sz w:val="32"/>
        </w:rPr>
        <w:t xml:space="preserve"> </w:t>
      </w:r>
      <w:r>
        <w:rPr>
          <w:spacing w:val="1"/>
          <w:w w:val="99"/>
          <w:sz w:val="32"/>
        </w:rPr>
        <w:t>4</w:t>
      </w:r>
      <w:r>
        <w:rPr>
          <w:spacing w:val="-2"/>
          <w:w w:val="99"/>
          <w:sz w:val="32"/>
        </w:rPr>
        <w:t>2</w:t>
      </w:r>
      <w:r>
        <w:rPr>
          <w:spacing w:val="1"/>
          <w:w w:val="99"/>
          <w:sz w:val="32"/>
        </w:rPr>
        <w:t>.3</w:t>
      </w:r>
      <w:r>
        <w:rPr>
          <w:w w:val="99"/>
          <w:sz w:val="32"/>
        </w:rPr>
        <w:t>0</w:t>
      </w:r>
      <w:r>
        <w:rPr>
          <w:spacing w:val="-82"/>
          <w:sz w:val="32"/>
        </w:rPr>
        <w:t xml:space="preserve"> </w:t>
      </w:r>
      <w:r>
        <w:rPr>
          <w:spacing w:val="-5"/>
          <w:w w:val="99"/>
          <w:sz w:val="32"/>
        </w:rPr>
        <w:t>万元，决算支出</w:t>
      </w:r>
      <w:r>
        <w:rPr>
          <w:spacing w:val="-79"/>
          <w:sz w:val="32"/>
        </w:rPr>
        <w:t xml:space="preserve"> </w:t>
      </w:r>
      <w:r>
        <w:rPr>
          <w:spacing w:val="1"/>
          <w:w w:val="99"/>
          <w:sz w:val="32"/>
        </w:rPr>
        <w:t>47</w:t>
      </w:r>
      <w:r>
        <w:rPr>
          <w:spacing w:val="-2"/>
          <w:w w:val="99"/>
          <w:sz w:val="32"/>
        </w:rPr>
        <w:t>.</w:t>
      </w:r>
      <w:r>
        <w:rPr>
          <w:spacing w:val="1"/>
          <w:w w:val="99"/>
          <w:sz w:val="32"/>
        </w:rPr>
        <w:t>6</w:t>
      </w:r>
      <w:r>
        <w:rPr>
          <w:w w:val="99"/>
          <w:sz w:val="32"/>
        </w:rPr>
        <w:t>5</w:t>
      </w:r>
      <w:r>
        <w:rPr>
          <w:spacing w:val="5"/>
          <w:sz w:val="32"/>
        </w:rPr>
        <w:t>万</w:t>
      </w:r>
      <w:r>
        <w:rPr>
          <w:spacing w:val="-8"/>
          <w:sz w:val="32"/>
        </w:rPr>
        <w:t xml:space="preserve">元，完成年初预算的 </w:t>
      </w:r>
      <w:r>
        <w:rPr>
          <w:sz w:val="32"/>
        </w:rPr>
        <w:t>112.65</w:t>
      </w:r>
      <w:r>
        <w:rPr>
          <w:spacing w:val="-8"/>
          <w:sz w:val="32"/>
        </w:rPr>
        <w:t xml:space="preserve">%。本年度补缴一人 </w:t>
      </w:r>
      <w:r>
        <w:rPr>
          <w:sz w:val="32"/>
        </w:rPr>
        <w:t>4</w:t>
      </w:r>
      <w:r>
        <w:rPr>
          <w:spacing w:val="-14"/>
          <w:sz w:val="32"/>
        </w:rPr>
        <w:t xml:space="preserve"> 年度养老保</w:t>
      </w:r>
      <w:r>
        <w:rPr>
          <w:spacing w:val="-20"/>
          <w:sz w:val="32"/>
        </w:rPr>
        <w:t xml:space="preserve">险，另外本年度新考录人员 </w:t>
      </w:r>
      <w:r>
        <w:rPr>
          <w:sz w:val="32"/>
        </w:rPr>
        <w:t>10</w:t>
      </w:r>
      <w:r>
        <w:rPr>
          <w:spacing w:val="-28"/>
          <w:sz w:val="32"/>
        </w:rPr>
        <w:t xml:space="preserve"> 人。</w:t>
      </w:r>
    </w:p>
    <w:p>
      <w:pPr>
        <w:pStyle w:val="7"/>
        <w:numPr>
          <w:ilvl w:val="0"/>
          <w:numId w:val="6"/>
        </w:numPr>
        <w:tabs>
          <w:tab w:val="left" w:pos="1203"/>
        </w:tabs>
        <w:spacing w:before="0" w:after="0" w:line="403" w:lineRule="exact"/>
        <w:ind w:left="1202" w:right="0" w:hanging="323"/>
        <w:jc w:val="both"/>
        <w:rPr>
          <w:sz w:val="32"/>
        </w:rPr>
      </w:pPr>
      <w:r>
        <w:rPr>
          <w:spacing w:val="-16"/>
          <w:sz w:val="32"/>
        </w:rPr>
        <w:t>抚恤</w:t>
      </w:r>
      <w:r>
        <w:rPr>
          <w:sz w:val="32"/>
        </w:rPr>
        <w:t>（款</w:t>
      </w:r>
      <w:r>
        <w:rPr>
          <w:spacing w:val="-31"/>
          <w:sz w:val="32"/>
        </w:rPr>
        <w:t>）</w:t>
      </w:r>
      <w:r>
        <w:rPr>
          <w:spacing w:val="-8"/>
          <w:sz w:val="32"/>
        </w:rPr>
        <w:t>死亡抚恤</w:t>
      </w:r>
      <w:r>
        <w:rPr>
          <w:sz w:val="32"/>
        </w:rPr>
        <w:t>（项</w:t>
      </w:r>
      <w:r>
        <w:rPr>
          <w:spacing w:val="-161"/>
          <w:sz w:val="32"/>
        </w:rPr>
        <w:t>）</w:t>
      </w:r>
      <w:r>
        <w:rPr>
          <w:spacing w:val="-21"/>
          <w:sz w:val="32"/>
        </w:rPr>
        <w:t xml:space="preserve">。年初预算 </w:t>
      </w:r>
      <w:r>
        <w:rPr>
          <w:rFonts w:ascii="Times New Roman" w:eastAsia="Times New Roman"/>
          <w:sz w:val="32"/>
        </w:rPr>
        <w:t>0</w:t>
      </w:r>
      <w:r>
        <w:rPr>
          <w:rFonts w:ascii="Times New Roman" w:eastAsia="Times New Roman"/>
          <w:spacing w:val="-2"/>
          <w:sz w:val="32"/>
        </w:rPr>
        <w:t xml:space="preserve"> </w:t>
      </w:r>
      <w:r>
        <w:rPr>
          <w:spacing w:val="-6"/>
          <w:sz w:val="32"/>
        </w:rPr>
        <w:t>万元，决算支出</w:t>
      </w:r>
    </w:p>
    <w:p>
      <w:pPr>
        <w:pStyle w:val="3"/>
        <w:spacing w:before="149" w:line="326" w:lineRule="auto"/>
        <w:ind w:right="280"/>
        <w:jc w:val="both"/>
      </w:pPr>
      <w:r>
        <w:t>129.01</w:t>
      </w:r>
      <w:r>
        <w:rPr>
          <w:spacing w:val="-24"/>
        </w:rPr>
        <w:t xml:space="preserve"> 万元，完成年初预算的 </w:t>
      </w:r>
      <w:r>
        <w:t>100</w:t>
      </w:r>
      <w:r>
        <w:rPr>
          <w:spacing w:val="-10"/>
        </w:rPr>
        <w:t>%。决算数与年初预算数的差</w:t>
      </w:r>
      <w:r>
        <w:rPr>
          <w:spacing w:val="-16"/>
        </w:rPr>
        <w:t xml:space="preserve">异原因：本年度退休人员死亡 </w:t>
      </w:r>
      <w:r>
        <w:t>2</w:t>
      </w:r>
      <w:r>
        <w:rPr>
          <w:spacing w:val="-10"/>
        </w:rPr>
        <w:t xml:space="preserve"> 人，为本年追加经费支出。</w:t>
      </w:r>
    </w:p>
    <w:p>
      <w:pPr>
        <w:pStyle w:val="7"/>
        <w:numPr>
          <w:ilvl w:val="0"/>
          <w:numId w:val="6"/>
        </w:numPr>
        <w:tabs>
          <w:tab w:val="left" w:pos="1203"/>
        </w:tabs>
        <w:spacing w:before="5" w:after="0" w:line="326" w:lineRule="auto"/>
        <w:ind w:left="240" w:right="278" w:firstLine="640"/>
        <w:jc w:val="both"/>
        <w:rPr>
          <w:sz w:val="32"/>
        </w:rPr>
      </w:pPr>
      <w:r>
        <w:rPr>
          <w:w w:val="95"/>
          <w:sz w:val="32"/>
        </w:rPr>
        <w:t xml:space="preserve">其他社会保障和就业支出（款）其他社会保障和就业支 </w:t>
      </w:r>
      <w:r>
        <w:rPr>
          <w:spacing w:val="-39"/>
          <w:sz w:val="32"/>
        </w:rPr>
        <w:t>出</w:t>
      </w:r>
      <w:r>
        <w:rPr>
          <w:sz w:val="32"/>
        </w:rPr>
        <w:t>（项</w:t>
      </w:r>
      <w:r>
        <w:rPr>
          <w:spacing w:val="-159"/>
          <w:sz w:val="32"/>
        </w:rPr>
        <w:t>）</w:t>
      </w:r>
      <w:r>
        <w:rPr>
          <w:spacing w:val="-22"/>
          <w:sz w:val="32"/>
        </w:rPr>
        <w:t xml:space="preserve">。年初预算 </w:t>
      </w:r>
      <w:r>
        <w:rPr>
          <w:sz w:val="32"/>
        </w:rPr>
        <w:t>0.65</w:t>
      </w:r>
      <w:r>
        <w:rPr>
          <w:spacing w:val="-24"/>
          <w:sz w:val="32"/>
        </w:rPr>
        <w:t xml:space="preserve"> 万元，决算支出 </w:t>
      </w:r>
      <w:r>
        <w:rPr>
          <w:sz w:val="32"/>
        </w:rPr>
        <w:t>0.68</w:t>
      </w:r>
      <w:r>
        <w:rPr>
          <w:spacing w:val="-16"/>
          <w:sz w:val="32"/>
        </w:rPr>
        <w:t xml:space="preserve"> 万元，完成年初</w:t>
      </w:r>
      <w:r>
        <w:rPr>
          <w:spacing w:val="-33"/>
          <w:sz w:val="32"/>
        </w:rPr>
        <w:t xml:space="preserve">预算的 </w:t>
      </w:r>
      <w:r>
        <w:rPr>
          <w:sz w:val="32"/>
        </w:rPr>
        <w:t>104.6</w:t>
      </w:r>
      <w:r>
        <w:rPr>
          <w:spacing w:val="-8"/>
          <w:sz w:val="32"/>
        </w:rPr>
        <w:t xml:space="preserve">%。本年度新考录人员 </w:t>
      </w:r>
      <w:r>
        <w:rPr>
          <w:sz w:val="32"/>
        </w:rPr>
        <w:t>10</w:t>
      </w:r>
      <w:r>
        <w:rPr>
          <w:spacing w:val="-28"/>
          <w:sz w:val="32"/>
        </w:rPr>
        <w:t xml:space="preserve"> 人。</w:t>
      </w:r>
    </w:p>
    <w:p>
      <w:pPr>
        <w:pStyle w:val="3"/>
        <w:spacing w:before="123"/>
        <w:ind w:left="880"/>
        <w:rPr>
          <w:rFonts w:hint="eastAsia" w:ascii="楷体" w:eastAsia="楷体"/>
        </w:rPr>
      </w:pPr>
      <w:r>
        <w:rPr>
          <w:rFonts w:hint="eastAsia" w:ascii="楷体" w:eastAsia="楷体"/>
        </w:rPr>
        <w:t>（四）卫生健康（类）</w:t>
      </w:r>
    </w:p>
    <w:p>
      <w:pPr>
        <w:spacing w:after="0"/>
        <w:rPr>
          <w:rFonts w:hint="eastAsia" w:ascii="楷体" w:eastAsia="楷体"/>
        </w:rPr>
        <w:sectPr>
          <w:pgSz w:w="12240" w:h="15840"/>
          <w:pgMar w:top="1500" w:right="1520" w:bottom="280" w:left="1560" w:header="720" w:footer="720" w:gutter="0"/>
        </w:sectPr>
      </w:pPr>
    </w:p>
    <w:p>
      <w:pPr>
        <w:pStyle w:val="3"/>
        <w:spacing w:before="69" w:line="326" w:lineRule="auto"/>
        <w:ind w:right="279" w:firstLine="640"/>
      </w:pPr>
      <w:r>
        <w:t>1</w:t>
      </w:r>
      <w:r>
        <w:rPr>
          <w:spacing w:val="-15"/>
        </w:rPr>
        <w:t>.行政事业单位</w:t>
      </w:r>
      <w:r>
        <w:t>（款</w:t>
      </w:r>
      <w:r>
        <w:rPr>
          <w:spacing w:val="-99"/>
        </w:rPr>
        <w:t>）</w:t>
      </w:r>
      <w:r>
        <w:rPr>
          <w:spacing w:val="-17"/>
        </w:rPr>
        <w:t>行政单位医疗</w:t>
      </w:r>
      <w:r>
        <w:t>（项</w:t>
      </w:r>
      <w:r>
        <w:rPr>
          <w:spacing w:val="-161"/>
        </w:rPr>
        <w:t>）</w:t>
      </w:r>
      <w:r>
        <w:rPr>
          <w:spacing w:val="-33"/>
        </w:rPr>
        <w:t xml:space="preserve">。年初预算 </w:t>
      </w:r>
      <w:r>
        <w:t xml:space="preserve">23.18 </w:t>
      </w:r>
      <w:r>
        <w:rPr>
          <w:spacing w:val="-10"/>
        </w:rPr>
        <w:t xml:space="preserve">万元，决算支出 </w:t>
      </w:r>
      <w:r>
        <w:t>23.18</w:t>
      </w:r>
      <w:r>
        <w:rPr>
          <w:spacing w:val="-16"/>
        </w:rPr>
        <w:t xml:space="preserve"> 万元，完成年初预算的 </w:t>
      </w:r>
      <w:r>
        <w:t>100%。</w:t>
      </w:r>
    </w:p>
    <w:p>
      <w:pPr>
        <w:pStyle w:val="3"/>
        <w:spacing w:before="119"/>
        <w:ind w:left="880"/>
        <w:rPr>
          <w:rFonts w:hint="eastAsia" w:ascii="楷体" w:eastAsia="楷体"/>
        </w:rPr>
      </w:pPr>
      <w:r>
        <w:rPr>
          <w:rFonts w:hint="eastAsia" w:ascii="楷体" w:eastAsia="楷体"/>
        </w:rPr>
        <w:t>（五）农林水（类）</w:t>
      </w:r>
    </w:p>
    <w:p>
      <w:pPr>
        <w:pStyle w:val="3"/>
        <w:spacing w:before="200" w:line="333" w:lineRule="auto"/>
        <w:ind w:right="119" w:firstLine="640"/>
      </w:pPr>
      <w:r>
        <w:rPr>
          <w:spacing w:val="1"/>
          <w:w w:val="99"/>
        </w:rPr>
        <w:t>1</w:t>
      </w:r>
      <w:r>
        <w:rPr>
          <w:w w:val="99"/>
        </w:rPr>
        <w:t>.农林水支</w:t>
      </w:r>
      <w:r>
        <w:rPr>
          <w:spacing w:val="2"/>
          <w:w w:val="99"/>
        </w:rPr>
        <w:t>（</w:t>
      </w:r>
      <w:r>
        <w:rPr>
          <w:w w:val="99"/>
        </w:rPr>
        <w:t>类）其他扶贫（项</w:t>
      </w:r>
      <w:r>
        <w:rPr>
          <w:spacing w:val="-159"/>
          <w:w w:val="99"/>
        </w:rPr>
        <w:t>）</w:t>
      </w:r>
      <w:r>
        <w:rPr>
          <w:w w:val="99"/>
        </w:rPr>
        <w:t>，年初预算数为</w:t>
      </w:r>
      <w:r>
        <w:rPr>
          <w:spacing w:val="-79"/>
        </w:rPr>
        <w:t xml:space="preserve"> </w:t>
      </w:r>
      <w:r>
        <w:rPr>
          <w:rFonts w:ascii="Times New Roman" w:eastAsia="Times New Roman"/>
          <w:w w:val="99"/>
        </w:rPr>
        <w:t>0</w:t>
      </w:r>
      <w:r>
        <w:rPr>
          <w:rFonts w:ascii="Times New Roman" w:eastAsia="Times New Roman"/>
        </w:rPr>
        <w:t xml:space="preserve"> </w:t>
      </w:r>
      <w:r>
        <w:rPr>
          <w:w w:val="99"/>
        </w:rPr>
        <w:t>万元，</w:t>
      </w:r>
      <w:r>
        <w:rPr>
          <w:spacing w:val="-14"/>
        </w:rPr>
        <w:t xml:space="preserve">决算支出 </w:t>
      </w:r>
      <w:r>
        <w:t>8.17</w:t>
      </w:r>
      <w:r>
        <w:rPr>
          <w:spacing w:val="-12"/>
        </w:rPr>
        <w:t xml:space="preserve"> 万元，完成年初预算的 </w:t>
      </w:r>
      <w:r>
        <w:t>100%，决算数与年初预</w:t>
      </w:r>
      <w:r>
        <w:rPr>
          <w:spacing w:val="-6"/>
        </w:rPr>
        <w:t xml:space="preserve">算数的差异原因本年度下乡驻村人员 </w:t>
      </w:r>
      <w:r>
        <w:t>2</w:t>
      </w:r>
      <w:r>
        <w:rPr>
          <w:spacing w:val="-23"/>
        </w:rPr>
        <w:t xml:space="preserve"> 人，支付驻村扶贫补助。</w:t>
      </w:r>
    </w:p>
    <w:p>
      <w:pPr>
        <w:pStyle w:val="3"/>
        <w:spacing w:line="402" w:lineRule="exact"/>
        <w:ind w:left="880"/>
        <w:rPr>
          <w:rFonts w:hint="eastAsia" w:ascii="楷体" w:eastAsia="楷体"/>
        </w:rPr>
      </w:pPr>
      <w:r>
        <w:rPr>
          <w:rFonts w:hint="eastAsia" w:ascii="楷体" w:eastAsia="楷体"/>
        </w:rPr>
        <w:t>（七）住房保障（类）</w:t>
      </w:r>
    </w:p>
    <w:p>
      <w:pPr>
        <w:pStyle w:val="3"/>
        <w:spacing w:before="149" w:line="328" w:lineRule="auto"/>
        <w:ind w:right="278" w:firstLine="640"/>
        <w:jc w:val="both"/>
      </w:pPr>
      <w:r>
        <w:rPr>
          <w:spacing w:val="1"/>
          <w:w w:val="99"/>
        </w:rPr>
        <w:t>1</w:t>
      </w:r>
      <w:r>
        <w:rPr>
          <w:spacing w:val="-3"/>
          <w:w w:val="99"/>
        </w:rPr>
        <w:t>.住房改革支出</w:t>
      </w:r>
      <w:r>
        <w:rPr>
          <w:w w:val="99"/>
        </w:rPr>
        <w:t>（款</w:t>
      </w:r>
      <w:r>
        <w:rPr>
          <w:spacing w:val="-19"/>
          <w:w w:val="99"/>
        </w:rPr>
        <w:t>）</w:t>
      </w:r>
      <w:r>
        <w:rPr>
          <w:spacing w:val="-4"/>
          <w:w w:val="99"/>
        </w:rPr>
        <w:t>住房公积金</w:t>
      </w:r>
      <w:r>
        <w:rPr>
          <w:w w:val="99"/>
        </w:rPr>
        <w:t>（项</w:t>
      </w:r>
      <w:r>
        <w:rPr>
          <w:spacing w:val="-159"/>
          <w:w w:val="99"/>
        </w:rPr>
        <w:t>）</w:t>
      </w:r>
      <w:r>
        <w:rPr>
          <w:spacing w:val="-4"/>
          <w:w w:val="99"/>
        </w:rPr>
        <w:t>，年初预算</w:t>
      </w:r>
      <w:r>
        <w:rPr>
          <w:spacing w:val="-79"/>
        </w:rPr>
        <w:t xml:space="preserve"> </w:t>
      </w:r>
      <w:r>
        <w:rPr>
          <w:spacing w:val="1"/>
          <w:w w:val="99"/>
        </w:rPr>
        <w:t>3</w:t>
      </w:r>
      <w:r>
        <w:rPr>
          <w:spacing w:val="-2"/>
          <w:w w:val="99"/>
        </w:rPr>
        <w:t>2</w:t>
      </w:r>
      <w:r>
        <w:rPr>
          <w:spacing w:val="1"/>
          <w:w w:val="99"/>
        </w:rPr>
        <w:t>.</w:t>
      </w:r>
      <w:r>
        <w:rPr>
          <w:spacing w:val="-2"/>
          <w:w w:val="99"/>
        </w:rPr>
        <w:t>4</w:t>
      </w:r>
      <w:r>
        <w:rPr>
          <w:w w:val="99"/>
        </w:rPr>
        <w:t>5</w:t>
      </w:r>
      <w:r>
        <w:rPr>
          <w:spacing w:val="-16"/>
        </w:rPr>
        <w:t xml:space="preserve">万元，决算支出 </w:t>
      </w:r>
      <w:r>
        <w:t>33.47</w:t>
      </w:r>
      <w:r>
        <w:rPr>
          <w:spacing w:val="-19"/>
        </w:rPr>
        <w:t xml:space="preserve"> 万元，完成年初预算的 </w:t>
      </w:r>
      <w:r>
        <w:t>103.1</w:t>
      </w:r>
      <w:r>
        <w:rPr>
          <w:spacing w:val="-7"/>
        </w:rPr>
        <w:t>%。决算数</w:t>
      </w:r>
      <w:r>
        <w:rPr>
          <w:spacing w:val="-7"/>
          <w:w w:val="95"/>
        </w:rPr>
        <w:t>与年初预算数的差异原因本年度基数上调，追加住房公积金。</w:t>
      </w:r>
    </w:p>
    <w:p>
      <w:pPr>
        <w:pStyle w:val="2"/>
        <w:spacing w:before="134" w:line="340" w:lineRule="auto"/>
        <w:ind w:left="240" w:right="271" w:firstLine="600"/>
        <w:jc w:val="both"/>
      </w:pPr>
      <w:r>
        <w:t>（六</w:t>
      </w:r>
      <w:r>
        <w:rPr>
          <w:spacing w:val="-127"/>
        </w:rPr>
        <w:t>）</w:t>
      </w:r>
      <w:r>
        <w:rPr>
          <w:spacing w:val="-32"/>
        </w:rPr>
        <w:t xml:space="preserve">关于 </w:t>
      </w:r>
      <w:r>
        <w:t>2021</w:t>
      </w:r>
      <w:r>
        <w:rPr>
          <w:spacing w:val="-11"/>
        </w:rPr>
        <w:t xml:space="preserve"> 年度一般公共预算财政拨款基本支出决算情况说明</w:t>
      </w:r>
    </w:p>
    <w:p>
      <w:pPr>
        <w:pStyle w:val="3"/>
        <w:spacing w:before="196"/>
        <w:ind w:left="0" w:right="279"/>
        <w:jc w:val="right"/>
      </w:pPr>
      <w:r>
        <w:rPr>
          <w:spacing w:val="-18"/>
        </w:rPr>
        <w:t xml:space="preserve">本部门 </w:t>
      </w:r>
      <w:r>
        <w:t>2021</w:t>
      </w:r>
      <w:r>
        <w:rPr>
          <w:spacing w:val="-8"/>
        </w:rPr>
        <w:t xml:space="preserve"> 年度一般公共预算财政拨款基本支出 </w:t>
      </w:r>
      <w:r>
        <w:t>884.05</w:t>
      </w:r>
    </w:p>
    <w:p>
      <w:pPr>
        <w:pStyle w:val="3"/>
        <w:spacing w:before="171"/>
        <w:ind w:left="0" w:right="279"/>
        <w:jc w:val="right"/>
      </w:pPr>
      <w:r>
        <w:rPr>
          <w:spacing w:val="-28"/>
        </w:rPr>
        <w:t xml:space="preserve">万元，其中：人员经费 </w:t>
      </w:r>
      <w:r>
        <w:t>593.99</w:t>
      </w:r>
      <w:r>
        <w:rPr>
          <w:spacing w:val="-30"/>
        </w:rPr>
        <w:t xml:space="preserve"> 万元，主要包括：基本工资 </w:t>
      </w:r>
      <w:r>
        <w:t>342.1</w:t>
      </w:r>
    </w:p>
    <w:p>
      <w:pPr>
        <w:pStyle w:val="3"/>
        <w:spacing w:before="168"/>
        <w:ind w:left="0" w:right="278"/>
        <w:jc w:val="right"/>
      </w:pPr>
      <w:r>
        <w:rPr>
          <w:spacing w:val="-9"/>
        </w:rPr>
        <w:t xml:space="preserve">万元、基本养老保险 </w:t>
      </w:r>
      <w:r>
        <w:t>47.65</w:t>
      </w:r>
      <w:r>
        <w:rPr>
          <w:spacing w:val="-17"/>
        </w:rPr>
        <w:t xml:space="preserve"> 万元、基本医疗保险 </w:t>
      </w:r>
      <w:r>
        <w:t>23.18</w:t>
      </w:r>
      <w:r>
        <w:rPr>
          <w:spacing w:val="-21"/>
        </w:rPr>
        <w:t xml:space="preserve"> 万元、</w:t>
      </w:r>
    </w:p>
    <w:p>
      <w:pPr>
        <w:pStyle w:val="3"/>
        <w:spacing w:before="171"/>
        <w:ind w:left="0" w:right="278"/>
        <w:jc w:val="right"/>
      </w:pPr>
      <w:r>
        <w:rPr>
          <w:spacing w:val="-10"/>
        </w:rPr>
        <w:t xml:space="preserve">其他社会保障缴费 </w:t>
      </w:r>
      <w:r>
        <w:t>0.68</w:t>
      </w:r>
      <w:r>
        <w:rPr>
          <w:spacing w:val="-26"/>
        </w:rPr>
        <w:t xml:space="preserve"> 万元、住房公积金 </w:t>
      </w:r>
      <w:r>
        <w:t>33.47</w:t>
      </w:r>
      <w:r>
        <w:rPr>
          <w:spacing w:val="-25"/>
        </w:rPr>
        <w:t xml:space="preserve"> 万元、离休费</w:t>
      </w:r>
    </w:p>
    <w:p>
      <w:pPr>
        <w:pStyle w:val="3"/>
        <w:spacing w:before="171" w:line="338" w:lineRule="auto"/>
        <w:ind w:right="119"/>
      </w:pPr>
      <w:r>
        <w:t>17.9</w:t>
      </w:r>
      <w:r>
        <w:rPr>
          <w:spacing w:val="-19"/>
        </w:rPr>
        <w:t xml:space="preserve"> 万元、抚恤金 </w:t>
      </w:r>
      <w:r>
        <w:t>129.01</w:t>
      </w:r>
      <w:r>
        <w:rPr>
          <w:spacing w:val="-14"/>
        </w:rPr>
        <w:t xml:space="preserve"> 万元。较上年增加 </w:t>
      </w:r>
      <w:r>
        <w:t>8.3</w:t>
      </w:r>
      <w:r>
        <w:rPr>
          <w:spacing w:val="-10"/>
        </w:rPr>
        <w:t xml:space="preserve"> 万元，主要</w:t>
      </w:r>
      <w:r>
        <w:rPr>
          <w:spacing w:val="-15"/>
          <w:w w:val="95"/>
        </w:rPr>
        <w:t xml:space="preserve">原因是：本年度因有新进人员，工资福利支出较上年有所增加； </w:t>
      </w:r>
      <w:r>
        <w:rPr>
          <w:spacing w:val="-29"/>
        </w:rPr>
        <w:t xml:space="preserve">公用经费 </w:t>
      </w:r>
      <w:r>
        <w:t>290.06</w:t>
      </w:r>
      <w:r>
        <w:rPr>
          <w:spacing w:val="-16"/>
        </w:rPr>
        <w:t xml:space="preserve"> 万元，主要包括：办公费 </w:t>
      </w:r>
      <w:r>
        <w:t>0.16</w:t>
      </w:r>
      <w:r>
        <w:rPr>
          <w:spacing w:val="-13"/>
        </w:rPr>
        <w:t xml:space="preserve"> 万元、邮电费</w:t>
      </w:r>
    </w:p>
    <w:p>
      <w:pPr>
        <w:pStyle w:val="3"/>
        <w:spacing w:before="6"/>
      </w:pPr>
      <w:r>
        <w:t>9.69</w:t>
      </w:r>
      <w:r>
        <w:rPr>
          <w:spacing w:val="-22"/>
        </w:rPr>
        <w:t xml:space="preserve"> 万元、物业管理费 </w:t>
      </w:r>
      <w:r>
        <w:t>265</w:t>
      </w:r>
      <w:r>
        <w:rPr>
          <w:spacing w:val="-26"/>
        </w:rPr>
        <w:t xml:space="preserve"> 万元、差旅费 </w:t>
      </w:r>
      <w:r>
        <w:t>2</w:t>
      </w:r>
      <w:r>
        <w:rPr>
          <w:spacing w:val="-15"/>
        </w:rPr>
        <w:t xml:space="preserve"> 万元、公务接待费</w:t>
      </w:r>
    </w:p>
    <w:p>
      <w:pPr>
        <w:pStyle w:val="3"/>
        <w:spacing w:before="168"/>
      </w:pPr>
      <w:r>
        <w:t>2.33</w:t>
      </w:r>
      <w:r>
        <w:rPr>
          <w:spacing w:val="-22"/>
        </w:rPr>
        <w:t xml:space="preserve"> 万元、福利费 </w:t>
      </w:r>
      <w:r>
        <w:t>6.29</w:t>
      </w:r>
      <w:r>
        <w:rPr>
          <w:spacing w:val="-16"/>
        </w:rPr>
        <w:t xml:space="preserve"> 万元、其他商品服务支出 </w:t>
      </w:r>
      <w:r>
        <w:t>4.59</w:t>
      </w:r>
      <w:r>
        <w:rPr>
          <w:spacing w:val="-21"/>
        </w:rPr>
        <w:t xml:space="preserve"> 万元，</w:t>
      </w:r>
    </w:p>
    <w:p>
      <w:pPr>
        <w:spacing w:after="0"/>
        <w:sectPr>
          <w:pgSz w:w="12240" w:h="15840"/>
          <w:pgMar w:top="1500" w:right="1520" w:bottom="280" w:left="1560" w:header="720" w:footer="720" w:gutter="0"/>
        </w:sectPr>
      </w:pPr>
    </w:p>
    <w:p>
      <w:pPr>
        <w:pStyle w:val="3"/>
        <w:spacing w:before="108" w:line="340" w:lineRule="auto"/>
        <w:ind w:right="278"/>
      </w:pPr>
      <w:r>
        <w:rPr>
          <w:spacing w:val="-15"/>
        </w:rPr>
        <w:t xml:space="preserve">较上年增加 </w:t>
      </w:r>
      <w:r>
        <w:t>259.05</w:t>
      </w:r>
      <w:r>
        <w:rPr>
          <w:spacing w:val="-17"/>
        </w:rPr>
        <w:t xml:space="preserve"> 万元，主要原因是：本年度因文博大厦物业费调整到基本支出项目中，所以本年度较上年度有所增加。</w:t>
      </w:r>
    </w:p>
    <w:p>
      <w:pPr>
        <w:pStyle w:val="3"/>
        <w:spacing w:before="4"/>
        <w:ind w:left="0"/>
        <w:rPr>
          <w:sz w:val="10"/>
        </w:rPr>
      </w:pPr>
    </w:p>
    <w:p>
      <w:pPr>
        <w:pStyle w:val="2"/>
        <w:spacing w:before="64"/>
      </w:pPr>
      <w:r>
        <w:t>（七</w:t>
      </w:r>
      <w:r>
        <w:rPr>
          <w:spacing w:val="-127"/>
        </w:rPr>
        <w:t>）</w:t>
      </w:r>
      <w:r>
        <w:rPr>
          <w:spacing w:val="-30"/>
        </w:rPr>
        <w:t xml:space="preserve">关于 </w:t>
      </w:r>
      <w:r>
        <w:t>2021</w:t>
      </w:r>
      <w:r>
        <w:rPr>
          <w:spacing w:val="-13"/>
        </w:rPr>
        <w:t xml:space="preserve"> 年度财政拨款</w:t>
      </w:r>
      <w:r>
        <w:rPr>
          <w:rFonts w:ascii="Times New Roman" w:hAnsi="Times New Roman" w:eastAsia="Times New Roman"/>
        </w:rPr>
        <w:t>“</w:t>
      </w:r>
      <w:r>
        <w:t>三公</w:t>
      </w:r>
      <w:r>
        <w:rPr>
          <w:rFonts w:ascii="Times New Roman" w:hAnsi="Times New Roman" w:eastAsia="Times New Roman"/>
        </w:rPr>
        <w:t>”</w:t>
      </w:r>
      <w:r>
        <w:t>经费支出决算情况说</w:t>
      </w:r>
    </w:p>
    <w:p>
      <w:pPr>
        <w:spacing w:before="169"/>
        <w:ind w:left="240" w:right="0" w:firstLine="0"/>
        <w:jc w:val="left"/>
        <w:rPr>
          <w:rFonts w:hint="eastAsia" w:ascii="楷体" w:eastAsia="楷体"/>
          <w:b/>
          <w:sz w:val="32"/>
        </w:rPr>
      </w:pPr>
      <w:r>
        <w:rPr>
          <w:rFonts w:hint="eastAsia" w:ascii="楷体" w:eastAsia="楷体"/>
          <w:b/>
          <w:w w:val="99"/>
          <w:sz w:val="32"/>
        </w:rPr>
        <w:t>明</w:t>
      </w:r>
    </w:p>
    <w:p>
      <w:pPr>
        <w:pStyle w:val="3"/>
        <w:spacing w:before="10"/>
        <w:ind w:left="0"/>
        <w:rPr>
          <w:rFonts w:ascii="楷体"/>
          <w:b/>
          <w:sz w:val="23"/>
        </w:rPr>
      </w:pPr>
    </w:p>
    <w:p>
      <w:pPr>
        <w:pStyle w:val="3"/>
        <w:spacing w:before="65"/>
        <w:ind w:left="840"/>
      </w:pPr>
      <w:r>
        <w:t>1、财政拨款</w:t>
      </w:r>
      <w:r>
        <w:rPr>
          <w:rFonts w:ascii="Times New Roman" w:hAnsi="Times New Roman" w:eastAsia="Times New Roman"/>
        </w:rPr>
        <w:t>“</w:t>
      </w:r>
      <w:r>
        <w:t>三公</w:t>
      </w:r>
      <w:r>
        <w:rPr>
          <w:rFonts w:ascii="Times New Roman" w:hAnsi="Times New Roman" w:eastAsia="Times New Roman"/>
        </w:rPr>
        <w:t>”</w:t>
      </w:r>
      <w:r>
        <w:t>经费支出决算总体情况说明</w:t>
      </w:r>
    </w:p>
    <w:p>
      <w:pPr>
        <w:pStyle w:val="3"/>
        <w:spacing w:before="11"/>
        <w:ind w:left="0"/>
        <w:rPr>
          <w:sz w:val="28"/>
        </w:rPr>
      </w:pPr>
    </w:p>
    <w:p>
      <w:pPr>
        <w:pStyle w:val="3"/>
        <w:spacing w:line="340" w:lineRule="auto"/>
        <w:ind w:right="119" w:firstLine="600"/>
      </w:pPr>
      <w:r>
        <w:rPr>
          <w:spacing w:val="-21"/>
        </w:rPr>
        <w:t xml:space="preserve">本部门 </w:t>
      </w:r>
      <w:r>
        <w:t>2021</w:t>
      </w:r>
      <w:r>
        <w:rPr>
          <w:spacing w:val="-13"/>
        </w:rPr>
        <w:t xml:space="preserve"> 年度财政拨款</w:t>
      </w:r>
      <w:r>
        <w:rPr>
          <w:rFonts w:ascii="Times New Roman" w:hAnsi="Times New Roman" w:eastAsia="Times New Roman"/>
        </w:rPr>
        <w:t>“</w:t>
      </w:r>
      <w:r>
        <w:t>三公</w:t>
      </w:r>
      <w:r>
        <w:rPr>
          <w:rFonts w:ascii="Times New Roman" w:hAnsi="Times New Roman" w:eastAsia="Times New Roman"/>
        </w:rPr>
        <w:t>”</w:t>
      </w:r>
      <w:r>
        <w:rPr>
          <w:spacing w:val="-14"/>
        </w:rPr>
        <w:t xml:space="preserve">经费预算为 </w:t>
      </w:r>
      <w:r>
        <w:t>3</w:t>
      </w:r>
      <w:r>
        <w:rPr>
          <w:spacing w:val="-29"/>
        </w:rPr>
        <w:t xml:space="preserve"> 万元，支出</w:t>
      </w:r>
      <w:r>
        <w:rPr>
          <w:spacing w:val="-44"/>
        </w:rPr>
        <w:t xml:space="preserve">决算为 </w:t>
      </w:r>
      <w:r>
        <w:t>2.33</w:t>
      </w:r>
      <w:r>
        <w:rPr>
          <w:spacing w:val="-21"/>
        </w:rPr>
        <w:t xml:space="preserve"> 万元，完成预算的 </w:t>
      </w:r>
      <w:r>
        <w:rPr>
          <w:spacing w:val="-3"/>
        </w:rPr>
        <w:t>77.72</w:t>
      </w:r>
      <w:r>
        <w:rPr>
          <w:spacing w:val="-7"/>
        </w:rPr>
        <w:t>%，其中：因公出国</w:t>
      </w:r>
      <w:r>
        <w:t xml:space="preserve">（境） </w:t>
      </w:r>
      <w:r>
        <w:rPr>
          <w:spacing w:val="-17"/>
        </w:rPr>
        <w:t xml:space="preserve">费预算为 </w:t>
      </w:r>
      <w:r>
        <w:rPr>
          <w:rFonts w:ascii="Times New Roman" w:hAnsi="Times New Roman" w:eastAsia="Times New Roman"/>
        </w:rPr>
        <w:t>0</w:t>
      </w:r>
      <w:r>
        <w:rPr>
          <w:rFonts w:ascii="Times New Roman" w:hAnsi="Times New Roman" w:eastAsia="Times New Roman"/>
          <w:spacing w:val="-2"/>
        </w:rPr>
        <w:t xml:space="preserve"> </w:t>
      </w:r>
      <w:r>
        <w:rPr>
          <w:spacing w:val="-14"/>
        </w:rPr>
        <w:t xml:space="preserve">万元，支出决算为 </w:t>
      </w:r>
      <w:r>
        <w:rPr>
          <w:rFonts w:ascii="Times New Roman" w:hAnsi="Times New Roman" w:eastAsia="Times New Roman"/>
        </w:rPr>
        <w:t>0</w:t>
      </w:r>
      <w:r>
        <w:rPr>
          <w:rFonts w:ascii="Times New Roman" w:hAnsi="Times New Roman" w:eastAsia="Times New Roman"/>
          <w:spacing w:val="-2"/>
        </w:rPr>
        <w:t xml:space="preserve"> </w:t>
      </w:r>
      <w:r>
        <w:rPr>
          <w:spacing w:val="-14"/>
        </w:rPr>
        <w:t xml:space="preserve">万元，完成预算的 </w:t>
      </w:r>
      <w:r>
        <w:rPr>
          <w:rFonts w:ascii="Times New Roman" w:hAnsi="Times New Roman" w:eastAsia="Times New Roman"/>
          <w:spacing w:val="-10"/>
        </w:rPr>
        <w:t>0</w:t>
      </w:r>
      <w:r>
        <w:rPr>
          <w:spacing w:val="-5"/>
        </w:rPr>
        <w:t>%；公务用</w:t>
      </w:r>
    </w:p>
    <w:p>
      <w:pPr>
        <w:pStyle w:val="3"/>
        <w:spacing w:line="403" w:lineRule="exact"/>
      </w:pPr>
      <w:r>
        <w:rPr>
          <w:spacing w:val="-7"/>
        </w:rPr>
        <w:t xml:space="preserve">车购置及运行维护费预算为 </w:t>
      </w:r>
      <w:r>
        <w:rPr>
          <w:rFonts w:ascii="Times New Roman" w:eastAsia="Times New Roman"/>
        </w:rPr>
        <w:t>0</w:t>
      </w:r>
      <w:r>
        <w:rPr>
          <w:rFonts w:ascii="Times New Roman" w:eastAsia="Times New Roman"/>
          <w:spacing w:val="-3"/>
        </w:rPr>
        <w:t xml:space="preserve"> </w:t>
      </w:r>
      <w:r>
        <w:rPr>
          <w:spacing w:val="-10"/>
        </w:rPr>
        <w:t xml:space="preserve">万元，支出决算为 </w:t>
      </w:r>
      <w:r>
        <w:rPr>
          <w:rFonts w:ascii="Times New Roman" w:eastAsia="Times New Roman"/>
        </w:rPr>
        <w:t>0</w:t>
      </w:r>
      <w:r>
        <w:rPr>
          <w:rFonts w:ascii="Times New Roman" w:eastAsia="Times New Roman"/>
          <w:spacing w:val="-3"/>
        </w:rPr>
        <w:t xml:space="preserve"> </w:t>
      </w:r>
      <w:r>
        <w:t>万元，完成</w:t>
      </w:r>
    </w:p>
    <w:p>
      <w:pPr>
        <w:pStyle w:val="3"/>
        <w:spacing w:before="171" w:line="338" w:lineRule="auto"/>
        <w:ind w:right="119"/>
      </w:pPr>
      <w:r>
        <w:rPr>
          <w:spacing w:val="-22"/>
        </w:rPr>
        <w:t xml:space="preserve">预算的 </w:t>
      </w:r>
      <w:r>
        <w:rPr>
          <w:rFonts w:ascii="Times New Roman" w:hAnsi="Times New Roman" w:eastAsia="Times New Roman"/>
          <w:spacing w:val="-13"/>
        </w:rPr>
        <w:t>0</w:t>
      </w:r>
      <w:r>
        <w:rPr>
          <w:spacing w:val="-12"/>
        </w:rPr>
        <w:t xml:space="preserve">%；公务接待费预算为 </w:t>
      </w:r>
      <w:r>
        <w:t>3</w:t>
      </w:r>
      <w:r>
        <w:rPr>
          <w:spacing w:val="-22"/>
        </w:rPr>
        <w:t xml:space="preserve"> 万元，支出决算为 </w:t>
      </w:r>
      <w:r>
        <w:t>2.33</w:t>
      </w:r>
      <w:r>
        <w:rPr>
          <w:spacing w:val="-21"/>
        </w:rPr>
        <w:t xml:space="preserve"> 万元， </w:t>
      </w:r>
      <w:r>
        <w:rPr>
          <w:spacing w:val="-32"/>
        </w:rPr>
        <w:t xml:space="preserve">完成预算的 </w:t>
      </w:r>
      <w:r>
        <w:t>77.72</w:t>
      </w:r>
      <w:r>
        <w:rPr>
          <w:spacing w:val="-62"/>
        </w:rPr>
        <w:t>%。</w:t>
      </w:r>
      <w:r>
        <w:t>2021</w:t>
      </w:r>
      <w:r>
        <w:rPr>
          <w:spacing w:val="-13"/>
        </w:rPr>
        <w:t xml:space="preserve"> 年度财政拨款</w:t>
      </w:r>
      <w:r>
        <w:rPr>
          <w:rFonts w:ascii="Times New Roman" w:hAnsi="Times New Roman" w:eastAsia="Times New Roman"/>
        </w:rPr>
        <w:t>“</w:t>
      </w:r>
      <w:r>
        <w:t>三公</w:t>
      </w:r>
      <w:r>
        <w:rPr>
          <w:rFonts w:ascii="Times New Roman" w:hAnsi="Times New Roman" w:eastAsia="Times New Roman"/>
        </w:rPr>
        <w:t>”</w:t>
      </w:r>
      <w:r>
        <w:t>经费支出决算与预算差异情况的原因：是受疫情影响，本年度接待任务较上一年度有所减少。</w:t>
      </w:r>
    </w:p>
    <w:p>
      <w:pPr>
        <w:pStyle w:val="3"/>
        <w:spacing w:before="208"/>
        <w:ind w:left="840"/>
      </w:pPr>
      <w:r>
        <w:t>2、财政拨款</w:t>
      </w:r>
      <w:r>
        <w:rPr>
          <w:rFonts w:ascii="Times New Roman" w:hAnsi="Times New Roman" w:eastAsia="Times New Roman"/>
        </w:rPr>
        <w:t>“</w:t>
      </w:r>
      <w:r>
        <w:t>三公</w:t>
      </w:r>
      <w:r>
        <w:rPr>
          <w:rFonts w:ascii="Times New Roman" w:hAnsi="Times New Roman" w:eastAsia="Times New Roman"/>
        </w:rPr>
        <w:t>”</w:t>
      </w:r>
      <w:r>
        <w:t>经费支出决算具体情况说明</w:t>
      </w:r>
    </w:p>
    <w:p>
      <w:pPr>
        <w:pStyle w:val="3"/>
        <w:spacing w:before="11"/>
        <w:ind w:left="0"/>
        <w:rPr>
          <w:sz w:val="28"/>
        </w:rPr>
      </w:pPr>
    </w:p>
    <w:p>
      <w:pPr>
        <w:pStyle w:val="3"/>
        <w:spacing w:line="338" w:lineRule="auto"/>
        <w:ind w:right="275" w:firstLine="600"/>
        <w:jc w:val="both"/>
      </w:pPr>
      <w:r>
        <w:rPr>
          <w:spacing w:val="-19"/>
        </w:rPr>
        <w:t xml:space="preserve">本部门 </w:t>
      </w:r>
      <w:r>
        <w:t>2021</w:t>
      </w:r>
      <w:r>
        <w:rPr>
          <w:spacing w:val="-10"/>
        </w:rPr>
        <w:t xml:space="preserve"> 年度财政拨款</w:t>
      </w:r>
      <w:r>
        <w:rPr>
          <w:rFonts w:ascii="Times New Roman" w:hAnsi="Times New Roman" w:eastAsia="Times New Roman"/>
          <w:spacing w:val="4"/>
        </w:rPr>
        <w:t>“</w:t>
      </w:r>
      <w:r>
        <w:rPr>
          <w:spacing w:val="2"/>
        </w:rPr>
        <w:t>三公</w:t>
      </w:r>
      <w:r>
        <w:rPr>
          <w:rFonts w:ascii="Times New Roman" w:hAnsi="Times New Roman" w:eastAsia="Times New Roman"/>
          <w:spacing w:val="4"/>
        </w:rPr>
        <w:t>”</w:t>
      </w:r>
      <w:r>
        <w:rPr>
          <w:spacing w:val="-14"/>
        </w:rPr>
        <w:t xml:space="preserve">经费支出 </w:t>
      </w:r>
      <w:r>
        <w:t>2.33</w:t>
      </w:r>
      <w:r>
        <w:rPr>
          <w:spacing w:val="-16"/>
        </w:rPr>
        <w:t xml:space="preserve"> 万元，因</w:t>
      </w:r>
      <w:r>
        <w:rPr>
          <w:spacing w:val="-15"/>
        </w:rPr>
        <w:t>公出国</w:t>
      </w:r>
      <w:r>
        <w:t>（境</w:t>
      </w:r>
      <w:r>
        <w:rPr>
          <w:spacing w:val="-10"/>
        </w:rPr>
        <w:t>）</w:t>
      </w:r>
      <w:r>
        <w:rPr>
          <w:spacing w:val="-21"/>
        </w:rPr>
        <w:t xml:space="preserve">费支出 </w:t>
      </w:r>
      <w:r>
        <w:rPr>
          <w:rFonts w:ascii="Times New Roman" w:hAnsi="Times New Roman" w:eastAsia="Times New Roman"/>
        </w:rPr>
        <w:t xml:space="preserve">0 </w:t>
      </w:r>
      <w:r>
        <w:rPr>
          <w:spacing w:val="-3"/>
        </w:rPr>
        <w:t>万元，占</w:t>
      </w:r>
      <w:r>
        <w:rPr>
          <w:rFonts w:ascii="Times New Roman" w:hAnsi="Times New Roman" w:eastAsia="Times New Roman"/>
        </w:rPr>
        <w:t>“</w:t>
      </w:r>
      <w:r>
        <w:t>三公</w:t>
      </w:r>
      <w:r>
        <w:rPr>
          <w:rFonts w:ascii="Times New Roman" w:hAnsi="Times New Roman" w:eastAsia="Times New Roman"/>
        </w:rPr>
        <w:t>”</w:t>
      </w:r>
      <w:r>
        <w:rPr>
          <w:spacing w:val="-14"/>
        </w:rPr>
        <w:t xml:space="preserve">经费支出的 </w:t>
      </w:r>
      <w:r>
        <w:rPr>
          <w:rFonts w:ascii="Times New Roman" w:hAnsi="Times New Roman" w:eastAsia="Times New Roman"/>
          <w:spacing w:val="-4"/>
        </w:rPr>
        <w:t>0</w:t>
      </w:r>
      <w:r>
        <w:rPr>
          <w:spacing w:val="-3"/>
        </w:rPr>
        <w:t>%；公务用</w:t>
      </w:r>
      <w:r>
        <w:rPr>
          <w:spacing w:val="-10"/>
        </w:rPr>
        <w:t xml:space="preserve">车购置及运行维护费支出 </w:t>
      </w:r>
      <w:r>
        <w:rPr>
          <w:rFonts w:ascii="Times New Roman" w:hAnsi="Times New Roman" w:eastAsia="Times New Roman"/>
        </w:rPr>
        <w:t xml:space="preserve">0 </w:t>
      </w:r>
      <w:r>
        <w:rPr>
          <w:spacing w:val="-34"/>
        </w:rPr>
        <w:t xml:space="preserve">万元，占 </w:t>
      </w:r>
      <w:r>
        <w:rPr>
          <w:rFonts w:ascii="Times New Roman" w:hAnsi="Times New Roman" w:eastAsia="Times New Roman"/>
          <w:spacing w:val="-26"/>
        </w:rPr>
        <w:t>0</w:t>
      </w:r>
      <w:r>
        <w:rPr>
          <w:spacing w:val="-16"/>
        </w:rPr>
        <w:t xml:space="preserve">%；公务接待费支出 </w:t>
      </w:r>
      <w:r>
        <w:t xml:space="preserve">2.33 </w:t>
      </w:r>
      <w:r>
        <w:rPr>
          <w:spacing w:val="-16"/>
        </w:rPr>
        <w:t xml:space="preserve">万元，占 </w:t>
      </w:r>
      <w:r>
        <w:t>100%。具体情况如下：</w:t>
      </w:r>
    </w:p>
    <w:p>
      <w:pPr>
        <w:spacing w:before="207"/>
        <w:ind w:left="840" w:right="0" w:firstLine="0"/>
        <w:jc w:val="both"/>
        <w:rPr>
          <w:sz w:val="32"/>
        </w:rPr>
      </w:pPr>
      <w:r>
        <w:rPr>
          <w:b/>
          <w:sz w:val="32"/>
        </w:rPr>
        <w:t xml:space="preserve">因公出国（境）费支出 </w:t>
      </w:r>
      <w:r>
        <w:rPr>
          <w:rFonts w:ascii="Times New Roman" w:eastAsia="Times New Roman"/>
          <w:sz w:val="32"/>
        </w:rPr>
        <w:t xml:space="preserve">0 </w:t>
      </w:r>
      <w:r>
        <w:rPr>
          <w:sz w:val="32"/>
        </w:rPr>
        <w:t>万元。全年因公出国（境）团组</w:t>
      </w:r>
    </w:p>
    <w:p>
      <w:pPr>
        <w:pStyle w:val="3"/>
        <w:spacing w:before="171"/>
        <w:jc w:val="both"/>
      </w:pPr>
      <w:r>
        <w:rPr>
          <w:rFonts w:ascii="Times New Roman" w:eastAsia="Times New Roman"/>
        </w:rPr>
        <w:t xml:space="preserve">0 </w:t>
      </w:r>
      <w:r>
        <w:t xml:space="preserve">个，累计 </w:t>
      </w:r>
      <w:r>
        <w:rPr>
          <w:rFonts w:ascii="Times New Roman" w:eastAsia="Times New Roman"/>
        </w:rPr>
        <w:t xml:space="preserve">0 </w:t>
      </w:r>
      <w:r>
        <w:t xml:space="preserve">人次。较上年增加 </w:t>
      </w:r>
      <w:r>
        <w:rPr>
          <w:rFonts w:ascii="Times New Roman" w:eastAsia="Times New Roman"/>
        </w:rPr>
        <w:t xml:space="preserve">0 </w:t>
      </w:r>
      <w:r>
        <w:t>万元。</w:t>
      </w:r>
    </w:p>
    <w:p>
      <w:pPr>
        <w:spacing w:after="0"/>
        <w:jc w:val="both"/>
        <w:sectPr>
          <w:pgSz w:w="12240" w:h="15840"/>
          <w:pgMar w:top="1500" w:right="1520" w:bottom="280" w:left="1560" w:header="720" w:footer="720" w:gutter="0"/>
        </w:sectPr>
      </w:pPr>
    </w:p>
    <w:p>
      <w:pPr>
        <w:spacing w:before="45"/>
        <w:ind w:left="840" w:right="0" w:firstLine="0"/>
        <w:jc w:val="both"/>
        <w:rPr>
          <w:sz w:val="32"/>
        </w:rPr>
      </w:pPr>
      <w:r>
        <w:rPr>
          <w:b/>
          <w:sz w:val="32"/>
        </w:rPr>
        <w:t xml:space="preserve">公务用车购置及运行维护费支出 </w:t>
      </w:r>
      <w:r>
        <w:rPr>
          <w:rFonts w:ascii="Times New Roman" w:eastAsia="Times New Roman"/>
          <w:sz w:val="32"/>
        </w:rPr>
        <w:t xml:space="preserve">0 </w:t>
      </w:r>
      <w:r>
        <w:rPr>
          <w:sz w:val="32"/>
        </w:rPr>
        <w:t>万元。其中：公务用车</w:t>
      </w:r>
    </w:p>
    <w:p>
      <w:pPr>
        <w:pStyle w:val="3"/>
        <w:spacing w:before="214" w:line="364" w:lineRule="auto"/>
        <w:ind w:right="119"/>
        <w:jc w:val="both"/>
      </w:pPr>
      <w:r>
        <w:rPr>
          <w:spacing w:val="-17"/>
        </w:rPr>
        <w:t xml:space="preserve">购置支出 </w:t>
      </w:r>
      <w:r>
        <w:rPr>
          <w:rFonts w:ascii="Times New Roman" w:eastAsia="Times New Roman"/>
        </w:rPr>
        <w:t xml:space="preserve">0 </w:t>
      </w:r>
      <w:r>
        <w:rPr>
          <w:spacing w:val="-9"/>
        </w:rPr>
        <w:t xml:space="preserve">万元，车均购置费 </w:t>
      </w:r>
      <w:r>
        <w:rPr>
          <w:rFonts w:ascii="Times New Roman" w:eastAsia="Times New Roman"/>
        </w:rPr>
        <w:t xml:space="preserve">0 </w:t>
      </w:r>
      <w:r>
        <w:t>万元，公务用车购置支出较上</w:t>
      </w:r>
      <w:r>
        <w:rPr>
          <w:spacing w:val="3"/>
        </w:rPr>
        <w:t>年增加</w:t>
      </w:r>
      <w:r>
        <w:t>（</w:t>
      </w:r>
      <w:r>
        <w:rPr>
          <w:spacing w:val="5"/>
        </w:rPr>
        <w:t>减少</w:t>
      </w:r>
      <w:r>
        <w:t>）</w:t>
      </w:r>
      <w:r>
        <w:rPr>
          <w:rFonts w:ascii="Times New Roman" w:eastAsia="Times New Roman"/>
        </w:rPr>
        <w:t xml:space="preserve">0 </w:t>
      </w:r>
      <w:r>
        <w:rPr>
          <w:spacing w:val="-6"/>
        </w:rPr>
        <w:t xml:space="preserve">万元，公务用车运行维护费支出 </w:t>
      </w:r>
      <w:r>
        <w:rPr>
          <w:rFonts w:ascii="Times New Roman" w:eastAsia="Times New Roman"/>
        </w:rPr>
        <w:t xml:space="preserve">0 </w:t>
      </w:r>
      <w:r>
        <w:rPr>
          <w:spacing w:val="2"/>
        </w:rPr>
        <w:t>万元，车</w:t>
      </w:r>
      <w:r>
        <w:rPr>
          <w:spacing w:val="-16"/>
        </w:rPr>
        <w:t xml:space="preserve">均运维费 </w:t>
      </w:r>
      <w:r>
        <w:rPr>
          <w:rFonts w:ascii="Times New Roman" w:eastAsia="Times New Roman"/>
        </w:rPr>
        <w:t xml:space="preserve">0 </w:t>
      </w:r>
      <w:r>
        <w:rPr>
          <w:spacing w:val="-18"/>
        </w:rPr>
        <w:t xml:space="preserve">万元，公务用车运行维护费支出较上年减少 </w:t>
      </w:r>
      <w:r>
        <w:rPr>
          <w:rFonts w:ascii="Times New Roman" w:eastAsia="Times New Roman"/>
        </w:rPr>
        <w:t xml:space="preserve">0 </w:t>
      </w:r>
      <w:r>
        <w:t>万元。</w:t>
      </w:r>
    </w:p>
    <w:p>
      <w:pPr>
        <w:pStyle w:val="3"/>
        <w:spacing w:before="2"/>
        <w:jc w:val="both"/>
      </w:pPr>
      <w:r>
        <w:t>财政拨款开支的公务用车保有量为 1 辆。</w:t>
      </w:r>
    </w:p>
    <w:p>
      <w:pPr>
        <w:pStyle w:val="3"/>
        <w:spacing w:before="3"/>
        <w:ind w:left="0"/>
      </w:pPr>
    </w:p>
    <w:p>
      <w:pPr>
        <w:pStyle w:val="3"/>
        <w:ind w:left="840"/>
        <w:jc w:val="both"/>
      </w:pPr>
      <w:r>
        <w:rPr>
          <w:spacing w:val="-7"/>
        </w:rPr>
        <w:t xml:space="preserve">公务接待费支出 </w:t>
      </w:r>
      <w:r>
        <w:t>2.33</w:t>
      </w:r>
      <w:r>
        <w:rPr>
          <w:spacing w:val="-10"/>
        </w:rPr>
        <w:t xml:space="preserve"> 万元。其中：国内公务接待费 </w:t>
      </w:r>
      <w:r>
        <w:t>2.33</w:t>
      </w:r>
    </w:p>
    <w:p>
      <w:pPr>
        <w:pStyle w:val="3"/>
        <w:spacing w:before="214" w:line="364" w:lineRule="auto"/>
        <w:ind w:right="278"/>
        <w:jc w:val="both"/>
      </w:pPr>
      <w:r>
        <w:rPr>
          <w:spacing w:val="-24"/>
        </w:rPr>
        <w:t xml:space="preserve">万元，接待 </w:t>
      </w:r>
      <w:r>
        <w:t>23</w:t>
      </w:r>
      <w:r>
        <w:rPr>
          <w:spacing w:val="-29"/>
        </w:rPr>
        <w:t xml:space="preserve"> 批次，共接待 </w:t>
      </w:r>
      <w:r>
        <w:t>172</w:t>
      </w:r>
      <w:r>
        <w:rPr>
          <w:spacing w:val="-13"/>
        </w:rPr>
        <w:t xml:space="preserve"> 人次。主要用于一是自治区各</w:t>
      </w:r>
      <w:r>
        <w:rPr>
          <w:spacing w:val="-13"/>
          <w:w w:val="95"/>
        </w:rPr>
        <w:t xml:space="preserve">盟市交流人员的业务接待；二是聘请专家进行项目验收等的业 </w:t>
      </w:r>
      <w:r>
        <w:rPr>
          <w:spacing w:val="-13"/>
        </w:rPr>
        <w:t>务接待。国（境）</w:t>
      </w:r>
      <w:r>
        <w:rPr>
          <w:spacing w:val="-27"/>
        </w:rPr>
        <w:t xml:space="preserve">外接待费 </w:t>
      </w:r>
      <w:r>
        <w:rPr>
          <w:rFonts w:ascii="Times New Roman" w:eastAsia="Times New Roman"/>
        </w:rPr>
        <w:t>0</w:t>
      </w:r>
      <w:r>
        <w:rPr>
          <w:rFonts w:ascii="Times New Roman" w:eastAsia="Times New Roman"/>
          <w:spacing w:val="-2"/>
        </w:rPr>
        <w:t xml:space="preserve"> </w:t>
      </w:r>
      <w:r>
        <w:rPr>
          <w:spacing w:val="-14"/>
        </w:rPr>
        <w:t xml:space="preserve">万元，接待 </w:t>
      </w:r>
      <w:r>
        <w:rPr>
          <w:rFonts w:ascii="Times New Roman" w:eastAsia="Times New Roman"/>
        </w:rPr>
        <w:t>0</w:t>
      </w:r>
      <w:r>
        <w:rPr>
          <w:rFonts w:ascii="Times New Roman" w:eastAsia="Times New Roman"/>
          <w:spacing w:val="-2"/>
        </w:rPr>
        <w:t xml:space="preserve"> </w:t>
      </w:r>
      <w:r>
        <w:rPr>
          <w:spacing w:val="-12"/>
        </w:rPr>
        <w:t xml:space="preserve">批次，共接待 </w:t>
      </w:r>
      <w:r>
        <w:rPr>
          <w:rFonts w:ascii="Times New Roman" w:eastAsia="Times New Roman"/>
        </w:rPr>
        <w:t>0</w:t>
      </w:r>
      <w:r>
        <w:rPr>
          <w:rFonts w:ascii="Times New Roman" w:eastAsia="Times New Roman"/>
          <w:spacing w:val="-2"/>
        </w:rPr>
        <w:t xml:space="preserve"> </w:t>
      </w:r>
      <w:r>
        <w:t>人</w:t>
      </w:r>
    </w:p>
    <w:p>
      <w:pPr>
        <w:pStyle w:val="3"/>
        <w:spacing w:before="3" w:line="364" w:lineRule="auto"/>
        <w:ind w:right="280"/>
        <w:jc w:val="both"/>
      </w:pPr>
      <w:r>
        <w:rPr>
          <w:spacing w:val="-16"/>
        </w:rPr>
        <w:t xml:space="preserve">次。公务接待费支出较上年减少 </w:t>
      </w:r>
      <w:r>
        <w:t>1.35</w:t>
      </w:r>
      <w:r>
        <w:rPr>
          <w:spacing w:val="-17"/>
        </w:rPr>
        <w:t xml:space="preserve"> 万元，主要原因是受疫情影响，本年度接待任务较上一年度有所减少。</w:t>
      </w:r>
    </w:p>
    <w:p>
      <w:pPr>
        <w:pStyle w:val="3"/>
        <w:spacing w:before="7"/>
        <w:ind w:left="0"/>
        <w:rPr>
          <w:sz w:val="28"/>
        </w:rPr>
      </w:pPr>
    </w:p>
    <w:p>
      <w:pPr>
        <w:pStyle w:val="2"/>
        <w:spacing w:line="338" w:lineRule="auto"/>
        <w:ind w:left="240" w:right="271" w:firstLine="600"/>
        <w:jc w:val="both"/>
      </w:pPr>
      <w:r>
        <w:t>（八</w:t>
      </w:r>
      <w:r>
        <w:rPr>
          <w:spacing w:val="-127"/>
        </w:rPr>
        <w:t>）</w:t>
      </w:r>
      <w:r>
        <w:rPr>
          <w:spacing w:val="-32"/>
        </w:rPr>
        <w:t xml:space="preserve">关于 </w:t>
      </w:r>
      <w:r>
        <w:t>2021</w:t>
      </w:r>
      <w:r>
        <w:rPr>
          <w:spacing w:val="-11"/>
        </w:rPr>
        <w:t xml:space="preserve"> 年度政府性基金预算财政拨款支出决算情况说明</w:t>
      </w:r>
    </w:p>
    <w:p>
      <w:pPr>
        <w:pStyle w:val="3"/>
        <w:spacing w:before="63" w:line="328" w:lineRule="auto"/>
        <w:ind w:right="200" w:firstLine="640"/>
        <w:jc w:val="both"/>
      </w:pPr>
      <w:r>
        <w:t>2021</w:t>
      </w:r>
      <w:r>
        <w:rPr>
          <w:spacing w:val="-15"/>
        </w:rPr>
        <w:t xml:space="preserve"> 年度政府性基金预算收入决算 </w:t>
      </w:r>
      <w:r>
        <w:rPr>
          <w:rFonts w:ascii="Times New Roman" w:eastAsia="Times New Roman"/>
        </w:rPr>
        <w:t>0</w:t>
      </w:r>
      <w:r>
        <w:rPr>
          <w:rFonts w:ascii="Times New Roman" w:eastAsia="Times New Roman"/>
          <w:spacing w:val="-3"/>
        </w:rPr>
        <w:t xml:space="preserve"> </w:t>
      </w:r>
      <w:r>
        <w:t xml:space="preserve">万元。与上年相比， </w:t>
      </w:r>
      <w:r>
        <w:rPr>
          <w:spacing w:val="-28"/>
        </w:rPr>
        <w:t xml:space="preserve">减少 </w:t>
      </w:r>
      <w:r>
        <w:t>532.78</w:t>
      </w:r>
      <w:r>
        <w:rPr>
          <w:spacing w:val="-25"/>
        </w:rPr>
        <w:t xml:space="preserve"> 万元，下降 </w:t>
      </w:r>
      <w:r>
        <w:t>100%，变动原因：2020</w:t>
      </w:r>
      <w:r>
        <w:rPr>
          <w:spacing w:val="-13"/>
        </w:rPr>
        <w:t xml:space="preserve"> 年度支出其他城市基础设施配套费安排的费用，本年度没有此项资金支出。</w:t>
      </w:r>
    </w:p>
    <w:p>
      <w:pPr>
        <w:pStyle w:val="2"/>
        <w:spacing w:before="134"/>
        <w:jc w:val="both"/>
      </w:pPr>
      <w:r>
        <w:t>（九</w:t>
      </w:r>
      <w:r>
        <w:rPr>
          <w:spacing w:val="-127"/>
        </w:rPr>
        <w:t>）</w:t>
      </w:r>
      <w:r>
        <w:rPr>
          <w:spacing w:val="-34"/>
        </w:rPr>
        <w:t xml:space="preserve">关于 </w:t>
      </w:r>
      <w:r>
        <w:t>2021</w:t>
      </w:r>
      <w:r>
        <w:rPr>
          <w:spacing w:val="-11"/>
        </w:rPr>
        <w:t xml:space="preserve"> 年度国有资本经营预算支出决算情况说明</w:t>
      </w:r>
    </w:p>
    <w:p>
      <w:pPr>
        <w:pStyle w:val="3"/>
        <w:spacing w:before="231" w:line="328" w:lineRule="auto"/>
        <w:ind w:right="117" w:firstLine="640"/>
        <w:jc w:val="both"/>
      </w:pPr>
      <w:r>
        <w:t>2021</w:t>
      </w:r>
      <w:r>
        <w:rPr>
          <w:spacing w:val="-8"/>
        </w:rPr>
        <w:t xml:space="preserve"> 年度国有资本经营预算收入决算</w:t>
      </w:r>
      <w:r>
        <w:rPr>
          <w:rFonts w:ascii="Times New Roman" w:eastAsia="Times New Roman"/>
        </w:rPr>
        <w:t>0</w:t>
      </w:r>
      <w:r>
        <w:rPr>
          <w:rFonts w:ascii="Times New Roman" w:eastAsia="Times New Roman"/>
          <w:spacing w:val="-33"/>
        </w:rPr>
        <w:t xml:space="preserve"> </w:t>
      </w:r>
      <w:r>
        <w:rPr>
          <w:spacing w:val="-19"/>
        </w:rPr>
        <w:t xml:space="preserve">万元，与上年相比， </w:t>
      </w:r>
      <w:r>
        <w:rPr>
          <w:spacing w:val="1"/>
        </w:rPr>
        <w:t>与上年相比，增加</w:t>
      </w:r>
      <w:r>
        <w:rPr>
          <w:spacing w:val="5"/>
        </w:rPr>
        <w:t>（</w:t>
      </w:r>
      <w:r>
        <w:rPr>
          <w:spacing w:val="2"/>
        </w:rPr>
        <w:t>减少</w:t>
      </w:r>
      <w:r>
        <w:t>）</w:t>
      </w:r>
      <w:r>
        <w:rPr>
          <w:rFonts w:ascii="Times New Roman" w:eastAsia="Times New Roman"/>
        </w:rPr>
        <w:t>0</w:t>
      </w:r>
      <w:r>
        <w:rPr>
          <w:rFonts w:ascii="Times New Roman" w:eastAsia="Times New Roman"/>
          <w:spacing w:val="2"/>
        </w:rPr>
        <w:t xml:space="preserve"> </w:t>
      </w:r>
      <w:r>
        <w:rPr>
          <w:spacing w:val="2"/>
        </w:rPr>
        <w:t>万元，增长</w:t>
      </w:r>
      <w:r>
        <w:rPr>
          <w:spacing w:val="5"/>
        </w:rPr>
        <w:t>（</w:t>
      </w:r>
      <w:r>
        <w:rPr>
          <w:spacing w:val="2"/>
        </w:rPr>
        <w:t>下降）0%</w:t>
      </w:r>
      <w:r>
        <w:rPr>
          <w:spacing w:val="1"/>
        </w:rPr>
        <w:t>；支出决</w:t>
      </w:r>
    </w:p>
    <w:p>
      <w:pPr>
        <w:spacing w:after="0" w:line="328" w:lineRule="auto"/>
        <w:jc w:val="both"/>
        <w:sectPr>
          <w:pgSz w:w="12240" w:h="15840"/>
          <w:pgMar w:top="1400" w:right="1520" w:bottom="280" w:left="1560" w:header="720" w:footer="720" w:gutter="0"/>
        </w:sectPr>
      </w:pPr>
    </w:p>
    <w:p>
      <w:pPr>
        <w:pStyle w:val="3"/>
        <w:spacing w:before="69" w:line="326" w:lineRule="auto"/>
        <w:ind w:right="278"/>
      </w:pPr>
      <w:r>
        <w:t xml:space="preserve">算 </w:t>
      </w:r>
      <w:r>
        <w:rPr>
          <w:rFonts w:ascii="Times New Roman" w:eastAsia="Times New Roman"/>
        </w:rPr>
        <w:t xml:space="preserve">0 </w:t>
      </w:r>
      <w:r>
        <w:t>万元。与上年相比，增加（减少）</w:t>
      </w:r>
      <w:r>
        <w:rPr>
          <w:rFonts w:ascii="Times New Roman" w:eastAsia="Times New Roman"/>
        </w:rPr>
        <w:t xml:space="preserve">0 </w:t>
      </w:r>
      <w:r>
        <w:t>万元，增长（减少） 0%。</w:t>
      </w:r>
    </w:p>
    <w:p>
      <w:pPr>
        <w:pStyle w:val="3"/>
        <w:spacing w:before="4"/>
        <w:ind w:left="880"/>
      </w:pPr>
      <w:r>
        <w:t>本年无国有资本经营预算拨款支出。</w:t>
      </w:r>
    </w:p>
    <w:p>
      <w:pPr>
        <w:pStyle w:val="3"/>
        <w:spacing w:before="8"/>
        <w:ind w:left="0"/>
        <w:rPr>
          <w:sz w:val="22"/>
        </w:rPr>
      </w:pPr>
    </w:p>
    <w:p>
      <w:pPr>
        <w:pStyle w:val="2"/>
        <w:spacing w:before="1"/>
      </w:pPr>
      <w:r>
        <w:t>（十）关于 2021 年度项目支出决算情况说明</w:t>
      </w:r>
    </w:p>
    <w:p>
      <w:pPr>
        <w:pStyle w:val="3"/>
        <w:spacing w:before="230"/>
        <w:ind w:left="0" w:right="279"/>
        <w:jc w:val="right"/>
      </w:pPr>
      <w:r>
        <w:t>2021</w:t>
      </w:r>
      <w:r>
        <w:rPr>
          <w:spacing w:val="-18"/>
        </w:rPr>
        <w:t xml:space="preserve"> 年，部门</w:t>
      </w:r>
      <w:r>
        <w:t>（单位）</w:t>
      </w:r>
      <w:r>
        <w:rPr>
          <w:spacing w:val="-12"/>
        </w:rPr>
        <w:t xml:space="preserve">预算安排项目 </w:t>
      </w:r>
      <w:r>
        <w:t>21</w:t>
      </w:r>
      <w:r>
        <w:rPr>
          <w:spacing w:val="-22"/>
        </w:rPr>
        <w:t xml:space="preserve"> 个，实施项目 </w:t>
      </w:r>
      <w:r>
        <w:t>21</w:t>
      </w:r>
    </w:p>
    <w:p>
      <w:pPr>
        <w:pStyle w:val="3"/>
        <w:spacing w:before="150"/>
        <w:ind w:left="0" w:right="278"/>
        <w:jc w:val="right"/>
      </w:pPr>
      <w:r>
        <w:rPr>
          <w:spacing w:val="-12"/>
        </w:rPr>
        <w:t xml:space="preserve">个，完成项目 </w:t>
      </w:r>
      <w:r>
        <w:t>21</w:t>
      </w:r>
      <w:r>
        <w:rPr>
          <w:spacing w:val="-17"/>
        </w:rPr>
        <w:t xml:space="preserve"> 个，项目支出总金额 </w:t>
      </w:r>
      <w:r>
        <w:t>7,163.41</w:t>
      </w:r>
      <w:r>
        <w:rPr>
          <w:spacing w:val="-13"/>
        </w:rPr>
        <w:t xml:space="preserve"> 万元。财政本</w:t>
      </w:r>
    </w:p>
    <w:p>
      <w:pPr>
        <w:pStyle w:val="3"/>
        <w:spacing w:before="149"/>
        <w:jc w:val="both"/>
      </w:pPr>
      <w:r>
        <w:rPr>
          <w:spacing w:val="-14"/>
        </w:rPr>
        <w:t xml:space="preserve">年拨款金额 </w:t>
      </w:r>
      <w:r>
        <w:t>7,112.4</w:t>
      </w:r>
      <w:r>
        <w:rPr>
          <w:spacing w:val="-16"/>
        </w:rPr>
        <w:t xml:space="preserve"> 万元，财政拨款结转结余 </w:t>
      </w:r>
      <w:r>
        <w:t>6,847.85</w:t>
      </w:r>
      <w:r>
        <w:rPr>
          <w:spacing w:val="-21"/>
        </w:rPr>
        <w:t xml:space="preserve"> 万元，</w:t>
      </w:r>
    </w:p>
    <w:p>
      <w:pPr>
        <w:pStyle w:val="3"/>
        <w:spacing w:before="151"/>
        <w:jc w:val="both"/>
      </w:pPr>
      <w:r>
        <w:t>其他资金结转结余 8.36 万元。</w:t>
      </w:r>
    </w:p>
    <w:p>
      <w:pPr>
        <w:pStyle w:val="3"/>
        <w:spacing w:before="7"/>
        <w:ind w:left="0"/>
        <w:rPr>
          <w:sz w:val="22"/>
        </w:rPr>
      </w:pPr>
    </w:p>
    <w:p>
      <w:pPr>
        <w:pStyle w:val="2"/>
        <w:ind w:left="1000"/>
      </w:pPr>
      <w:r>
        <w:t>（十一）政府采购支出情况</w:t>
      </w:r>
    </w:p>
    <w:p>
      <w:pPr>
        <w:pStyle w:val="3"/>
        <w:spacing w:before="11"/>
        <w:ind w:left="0"/>
        <w:rPr>
          <w:rFonts w:ascii="楷体"/>
          <w:b/>
          <w:sz w:val="28"/>
        </w:rPr>
      </w:pPr>
    </w:p>
    <w:p>
      <w:pPr>
        <w:pStyle w:val="3"/>
        <w:ind w:left="840"/>
        <w:jc w:val="both"/>
      </w:pPr>
      <w:r>
        <w:rPr>
          <w:spacing w:val="-21"/>
        </w:rPr>
        <w:t xml:space="preserve">本部门 </w:t>
      </w:r>
      <w:r>
        <w:t>2021</w:t>
      </w:r>
      <w:r>
        <w:rPr>
          <w:spacing w:val="-16"/>
        </w:rPr>
        <w:t xml:space="preserve"> 年度政府采购支出合计 </w:t>
      </w:r>
      <w:r>
        <w:t>1,803.66</w:t>
      </w:r>
      <w:r>
        <w:rPr>
          <w:spacing w:val="-30"/>
        </w:rPr>
        <w:t xml:space="preserve"> 万元，其中：</w:t>
      </w:r>
    </w:p>
    <w:p>
      <w:pPr>
        <w:pStyle w:val="3"/>
        <w:spacing w:before="171" w:line="338" w:lineRule="auto"/>
        <w:ind w:right="278"/>
        <w:jc w:val="both"/>
      </w:pPr>
      <w:r>
        <w:rPr>
          <w:spacing w:val="-10"/>
        </w:rPr>
        <w:t xml:space="preserve">政府采购货物支出 </w:t>
      </w:r>
      <w:r>
        <w:t>1.98</w:t>
      </w:r>
      <w:r>
        <w:rPr>
          <w:spacing w:val="-28"/>
        </w:rPr>
        <w:t xml:space="preserve"> 万元，比 </w:t>
      </w:r>
      <w:r>
        <w:t>2020</w:t>
      </w:r>
      <w:r>
        <w:rPr>
          <w:spacing w:val="-34"/>
        </w:rPr>
        <w:t xml:space="preserve"> 年减少 </w:t>
      </w:r>
      <w:r>
        <w:t>40.12</w:t>
      </w:r>
      <w:r>
        <w:rPr>
          <w:spacing w:val="-17"/>
        </w:rPr>
        <w:t xml:space="preserve"> 万元，降</w:t>
      </w:r>
      <w:r>
        <w:rPr>
          <w:spacing w:val="-50"/>
        </w:rPr>
        <w:t xml:space="preserve">低 </w:t>
      </w:r>
      <w:r>
        <w:t>95.3%，主要原因是：本年度政府采购项目需求较少；政府</w:t>
      </w:r>
      <w:r>
        <w:rPr>
          <w:spacing w:val="-10"/>
        </w:rPr>
        <w:t xml:space="preserve">采购工程支出 </w:t>
      </w:r>
      <w:r>
        <w:rPr>
          <w:rFonts w:ascii="Times New Roman" w:eastAsia="Times New Roman"/>
        </w:rPr>
        <w:t xml:space="preserve">0 </w:t>
      </w:r>
      <w:r>
        <w:rPr>
          <w:spacing w:val="-14"/>
        </w:rPr>
        <w:t xml:space="preserve">万元，比 </w:t>
      </w:r>
      <w:r>
        <w:t>2020</w:t>
      </w:r>
      <w:r>
        <w:rPr>
          <w:spacing w:val="-30"/>
        </w:rPr>
        <w:t xml:space="preserve"> 年增加 </w:t>
      </w:r>
      <w:r>
        <w:rPr>
          <w:rFonts w:ascii="Times New Roman" w:eastAsia="Times New Roman"/>
        </w:rPr>
        <w:t xml:space="preserve">0 </w:t>
      </w:r>
      <w:r>
        <w:rPr>
          <w:spacing w:val="-12"/>
        </w:rPr>
        <w:t xml:space="preserve">万元，增长 </w:t>
      </w:r>
      <w:r>
        <w:rPr>
          <w:spacing w:val="3"/>
        </w:rPr>
        <w:t>0</w:t>
      </w:r>
      <w:r>
        <w:rPr>
          <w:spacing w:val="1"/>
        </w:rPr>
        <w:t>%；政府</w:t>
      </w:r>
    </w:p>
    <w:p>
      <w:pPr>
        <w:pStyle w:val="3"/>
        <w:spacing w:before="6" w:line="338" w:lineRule="auto"/>
        <w:ind w:right="119"/>
      </w:pPr>
      <w:r>
        <w:rPr>
          <w:spacing w:val="-12"/>
        </w:rPr>
        <w:t xml:space="preserve">采购服务支出 </w:t>
      </w:r>
      <w:r>
        <w:t>1,801.68</w:t>
      </w:r>
      <w:r>
        <w:rPr>
          <w:spacing w:val="-42"/>
        </w:rPr>
        <w:t xml:space="preserve"> 万元，比 </w:t>
      </w:r>
      <w:r>
        <w:t>2020</w:t>
      </w:r>
      <w:r>
        <w:rPr>
          <w:spacing w:val="-33"/>
        </w:rPr>
        <w:t xml:space="preserve"> 年增加 </w:t>
      </w:r>
      <w:r>
        <w:t>462.98</w:t>
      </w:r>
      <w:r>
        <w:rPr>
          <w:spacing w:val="-33"/>
        </w:rPr>
        <w:t xml:space="preserve"> 万元，增</w:t>
      </w:r>
      <w:r>
        <w:rPr>
          <w:spacing w:val="-59"/>
        </w:rPr>
        <w:t xml:space="preserve">长 </w:t>
      </w:r>
      <w:r>
        <w:rPr>
          <w:spacing w:val="-6"/>
        </w:rPr>
        <w:t>34.58</w:t>
      </w:r>
      <w:r>
        <w:rPr>
          <w:spacing w:val="-8"/>
        </w:rPr>
        <w:t>%，主要原因是：本年度我局文化和旅游宣传费用按照政府采购相关要求从政府采购平台进行服务采购，导致政府采</w:t>
      </w:r>
      <w:r>
        <w:rPr>
          <w:spacing w:val="-12"/>
        </w:rPr>
        <w:t xml:space="preserve">购服务金额支出增加。授予中小企业合同金额 </w:t>
      </w:r>
      <w:r>
        <w:rPr>
          <w:rFonts w:ascii="Times New Roman" w:eastAsia="Times New Roman"/>
        </w:rPr>
        <w:t xml:space="preserve">0 </w:t>
      </w:r>
      <w:r>
        <w:t>万元，占政府</w:t>
      </w:r>
      <w:r>
        <w:rPr>
          <w:spacing w:val="-9"/>
        </w:rPr>
        <w:t xml:space="preserve">采购支出合同总额的 </w:t>
      </w:r>
      <w:r>
        <w:rPr>
          <w:rFonts w:ascii="Times New Roman" w:eastAsia="Times New Roman"/>
        </w:rPr>
        <w:t>0</w:t>
      </w:r>
      <w:r>
        <w:rPr>
          <w:spacing w:val="-23"/>
        </w:rPr>
        <w:t xml:space="preserve">%。其中：授予小微企业合同金额 </w:t>
      </w:r>
      <w:r>
        <w:rPr>
          <w:rFonts w:ascii="Times New Roman" w:eastAsia="Times New Roman"/>
        </w:rPr>
        <w:t xml:space="preserve">0 </w:t>
      </w:r>
      <w:r>
        <w:t xml:space="preserve">万元， </w:t>
      </w:r>
      <w:r>
        <w:rPr>
          <w:spacing w:val="-7"/>
        </w:rPr>
        <w:t xml:space="preserve">占政府采购支出合同总额的 </w:t>
      </w:r>
      <w:r>
        <w:rPr>
          <w:rFonts w:ascii="Times New Roman" w:eastAsia="Times New Roman"/>
        </w:rPr>
        <w:t>0</w:t>
      </w:r>
      <w:r>
        <w:t>%。</w:t>
      </w:r>
    </w:p>
    <w:p>
      <w:pPr>
        <w:pStyle w:val="2"/>
        <w:spacing w:before="210"/>
      </w:pPr>
      <w:r>
        <w:t>（十二）机关运行经费支出情况</w:t>
      </w:r>
    </w:p>
    <w:p>
      <w:pPr>
        <w:spacing w:after="0"/>
        <w:sectPr>
          <w:pgSz w:w="12240" w:h="15840"/>
          <w:pgMar w:top="1500" w:right="1520" w:bottom="280" w:left="1560" w:header="720" w:footer="720" w:gutter="0"/>
        </w:sectPr>
      </w:pPr>
    </w:p>
    <w:p>
      <w:pPr>
        <w:pStyle w:val="3"/>
        <w:spacing w:before="108" w:line="338" w:lineRule="auto"/>
        <w:ind w:right="278" w:firstLine="600"/>
        <w:jc w:val="both"/>
      </w:pPr>
      <w:r>
        <w:rPr>
          <w:spacing w:val="-21"/>
        </w:rPr>
        <w:t xml:space="preserve">本部门 </w:t>
      </w:r>
      <w:r>
        <w:t>2021</w:t>
      </w:r>
      <w:r>
        <w:rPr>
          <w:spacing w:val="-16"/>
        </w:rPr>
        <w:t xml:space="preserve"> 年度机关运行经费支出 </w:t>
      </w:r>
      <w:r>
        <w:t>290.06</w:t>
      </w:r>
      <w:r>
        <w:rPr>
          <w:spacing w:val="-36"/>
        </w:rPr>
        <w:t xml:space="preserve"> 万元，比 </w:t>
      </w:r>
      <w:r>
        <w:t xml:space="preserve">2020 </w:t>
      </w:r>
      <w:r>
        <w:rPr>
          <w:spacing w:val="-22"/>
        </w:rPr>
        <w:t xml:space="preserve">年增加 </w:t>
      </w:r>
      <w:r>
        <w:t>259.05</w:t>
      </w:r>
      <w:r>
        <w:rPr>
          <w:spacing w:val="-30"/>
        </w:rPr>
        <w:t xml:space="preserve"> 万元，增长 </w:t>
      </w:r>
      <w:r>
        <w:t>835.23</w:t>
      </w:r>
      <w:r>
        <w:rPr>
          <w:spacing w:val="-8"/>
        </w:rPr>
        <w:t>%。主要原因是：本年度基本</w:t>
      </w:r>
      <w:r>
        <w:rPr>
          <w:spacing w:val="-8"/>
          <w:w w:val="95"/>
        </w:rPr>
        <w:t xml:space="preserve">支出增加文博大厦物业费、水费、电费。所以本年度较上年度 </w:t>
      </w:r>
      <w:r>
        <w:rPr>
          <w:spacing w:val="-8"/>
        </w:rPr>
        <w:t>有所增加。</w:t>
      </w:r>
    </w:p>
    <w:p>
      <w:pPr>
        <w:pStyle w:val="2"/>
        <w:spacing w:before="207"/>
      </w:pPr>
      <w:r>
        <w:t>（十三）国有资产占用情况</w:t>
      </w:r>
    </w:p>
    <w:p>
      <w:pPr>
        <w:pStyle w:val="3"/>
        <w:spacing w:before="12"/>
        <w:ind w:left="0"/>
        <w:rPr>
          <w:rFonts w:ascii="楷体"/>
          <w:b/>
          <w:sz w:val="28"/>
        </w:rPr>
      </w:pPr>
    </w:p>
    <w:p>
      <w:pPr>
        <w:pStyle w:val="3"/>
        <w:ind w:left="0" w:right="278"/>
        <w:jc w:val="right"/>
      </w:pPr>
      <w:r>
        <w:rPr>
          <w:spacing w:val="-27"/>
        </w:rPr>
        <w:t xml:space="preserve">截至 </w:t>
      </w:r>
      <w:r>
        <w:t>2021</w:t>
      </w:r>
      <w:r>
        <w:rPr>
          <w:spacing w:val="-55"/>
        </w:rPr>
        <w:t xml:space="preserve"> 年 </w:t>
      </w:r>
      <w:r>
        <w:t>12</w:t>
      </w:r>
      <w:r>
        <w:rPr>
          <w:spacing w:val="-55"/>
        </w:rPr>
        <w:t xml:space="preserve"> 月 </w:t>
      </w:r>
      <w:r>
        <w:t>31</w:t>
      </w:r>
      <w:r>
        <w:rPr>
          <w:spacing w:val="-21"/>
        </w:rPr>
        <w:t xml:space="preserve"> 日，本部门共有车辆 </w:t>
      </w:r>
      <w:r>
        <w:t>1</w:t>
      </w:r>
      <w:r>
        <w:rPr>
          <w:spacing w:val="-24"/>
        </w:rPr>
        <w:t xml:space="preserve"> 辆，其中，副</w:t>
      </w:r>
    </w:p>
    <w:p>
      <w:pPr>
        <w:pStyle w:val="3"/>
        <w:spacing w:before="171"/>
        <w:ind w:left="0" w:right="278"/>
        <w:jc w:val="right"/>
      </w:pPr>
      <w:r>
        <w:t>部（省）</w:t>
      </w:r>
      <w:r>
        <w:rPr>
          <w:spacing w:val="-10"/>
        </w:rPr>
        <w:t xml:space="preserve">级及以上领导用车 </w:t>
      </w:r>
      <w:r>
        <w:rPr>
          <w:rFonts w:ascii="Times New Roman" w:eastAsia="Times New Roman"/>
        </w:rPr>
        <w:t>0</w:t>
      </w:r>
      <w:r>
        <w:rPr>
          <w:rFonts w:ascii="Times New Roman" w:eastAsia="Times New Roman"/>
          <w:spacing w:val="-2"/>
        </w:rPr>
        <w:t xml:space="preserve"> </w:t>
      </w:r>
      <w:r>
        <w:t>辆</w:t>
      </w:r>
      <w:r>
        <w:rPr>
          <w:rFonts w:hint="eastAsia" w:ascii="宋体" w:eastAsia="宋体"/>
        </w:rPr>
        <w:t>、</w:t>
      </w:r>
      <w:r>
        <w:rPr>
          <w:spacing w:val="-10"/>
        </w:rPr>
        <w:t xml:space="preserve">主要领导干部用车 </w:t>
      </w:r>
      <w:r>
        <w:rPr>
          <w:rFonts w:ascii="Times New Roman" w:eastAsia="Times New Roman"/>
        </w:rPr>
        <w:t>0</w:t>
      </w:r>
      <w:r>
        <w:rPr>
          <w:rFonts w:ascii="Times New Roman" w:eastAsia="Times New Roman"/>
          <w:spacing w:val="-2"/>
        </w:rPr>
        <w:t xml:space="preserve"> </w:t>
      </w:r>
      <w:r>
        <w:t>辆、机</w:t>
      </w:r>
    </w:p>
    <w:p>
      <w:pPr>
        <w:pStyle w:val="3"/>
        <w:spacing w:before="168"/>
        <w:ind w:left="0" w:right="278"/>
        <w:jc w:val="right"/>
      </w:pPr>
      <w:r>
        <w:rPr>
          <w:spacing w:val="-14"/>
        </w:rPr>
        <w:t xml:space="preserve">要通信用车 </w:t>
      </w:r>
      <w:r>
        <w:rPr>
          <w:rFonts w:ascii="Times New Roman" w:eastAsia="Times New Roman"/>
        </w:rPr>
        <w:t>0</w:t>
      </w:r>
      <w:r>
        <w:rPr>
          <w:rFonts w:ascii="Times New Roman" w:eastAsia="Times New Roman"/>
          <w:spacing w:val="-2"/>
        </w:rPr>
        <w:t xml:space="preserve"> </w:t>
      </w:r>
      <w:r>
        <w:rPr>
          <w:spacing w:val="-9"/>
        </w:rPr>
        <w:t xml:space="preserve">辆、应急保障用车 </w:t>
      </w:r>
      <w:r>
        <w:rPr>
          <w:rFonts w:ascii="Times New Roman" w:eastAsia="Times New Roman"/>
        </w:rPr>
        <w:t>0</w:t>
      </w:r>
      <w:r>
        <w:rPr>
          <w:rFonts w:ascii="Times New Roman" w:eastAsia="Times New Roman"/>
          <w:spacing w:val="-2"/>
        </w:rPr>
        <w:t xml:space="preserve"> </w:t>
      </w:r>
      <w:r>
        <w:rPr>
          <w:spacing w:val="-10"/>
        </w:rPr>
        <w:t xml:space="preserve">辆、执法执勤用车 </w:t>
      </w:r>
      <w:r>
        <w:rPr>
          <w:rFonts w:ascii="Times New Roman" w:eastAsia="Times New Roman"/>
        </w:rPr>
        <w:t>0</w:t>
      </w:r>
      <w:r>
        <w:rPr>
          <w:rFonts w:ascii="Times New Roman" w:eastAsia="Times New Roman"/>
          <w:spacing w:val="-2"/>
        </w:rPr>
        <w:t xml:space="preserve"> </w:t>
      </w:r>
      <w:r>
        <w:t>辆</w:t>
      </w:r>
      <w:r>
        <w:rPr>
          <w:rFonts w:hint="eastAsia" w:ascii="宋体" w:eastAsia="宋体"/>
        </w:rPr>
        <w:t>、</w:t>
      </w:r>
      <w:r>
        <w:t>特</w:t>
      </w:r>
    </w:p>
    <w:p>
      <w:pPr>
        <w:pStyle w:val="3"/>
        <w:spacing w:before="171" w:line="338" w:lineRule="auto"/>
        <w:ind w:right="275"/>
        <w:jc w:val="both"/>
      </w:pPr>
      <w:r>
        <w:rPr>
          <w:spacing w:val="-11"/>
        </w:rPr>
        <w:t xml:space="preserve">种专业技术用车 </w:t>
      </w:r>
      <w:r>
        <w:rPr>
          <w:rFonts w:ascii="Times New Roman" w:eastAsia="Times New Roman"/>
        </w:rPr>
        <w:t>0</w:t>
      </w:r>
      <w:r>
        <w:rPr>
          <w:rFonts w:ascii="Times New Roman" w:eastAsia="Times New Roman"/>
          <w:spacing w:val="-2"/>
        </w:rPr>
        <w:t xml:space="preserve"> </w:t>
      </w:r>
      <w:r>
        <w:t>辆</w:t>
      </w:r>
      <w:r>
        <w:rPr>
          <w:rFonts w:hint="eastAsia" w:ascii="宋体" w:eastAsia="宋体"/>
        </w:rPr>
        <w:t>、</w:t>
      </w:r>
      <w:r>
        <w:rPr>
          <w:spacing w:val="-11"/>
        </w:rPr>
        <w:t xml:space="preserve">离退休干部用车 </w:t>
      </w:r>
      <w:r>
        <w:rPr>
          <w:rFonts w:ascii="Times New Roman" w:eastAsia="Times New Roman"/>
        </w:rPr>
        <w:t>0</w:t>
      </w:r>
      <w:r>
        <w:rPr>
          <w:rFonts w:ascii="Times New Roman" w:eastAsia="Times New Roman"/>
          <w:spacing w:val="-2"/>
        </w:rPr>
        <w:t xml:space="preserve"> </w:t>
      </w:r>
      <w:r>
        <w:t>辆</w:t>
      </w:r>
      <w:r>
        <w:rPr>
          <w:rFonts w:hint="eastAsia" w:ascii="宋体" w:eastAsia="宋体"/>
        </w:rPr>
        <w:t>、</w:t>
      </w:r>
      <w:r>
        <w:rPr>
          <w:spacing w:val="-17"/>
        </w:rPr>
        <w:t xml:space="preserve">其他用车 </w:t>
      </w:r>
      <w:r>
        <w:t>1</w:t>
      </w:r>
      <w:r>
        <w:rPr>
          <w:spacing w:val="-28"/>
        </w:rPr>
        <w:t xml:space="preserve"> 辆； </w:t>
      </w:r>
      <w:r>
        <w:rPr>
          <w:spacing w:val="-39"/>
        </w:rPr>
        <w:t xml:space="preserve">单位价值 </w:t>
      </w:r>
      <w:r>
        <w:t>50</w:t>
      </w:r>
      <w:r>
        <w:rPr>
          <w:spacing w:val="-19"/>
        </w:rPr>
        <w:t xml:space="preserve"> 万元以上通用设备 </w:t>
      </w:r>
      <w:r>
        <w:t>1</w:t>
      </w:r>
      <w:r>
        <w:rPr>
          <w:spacing w:val="-68"/>
        </w:rPr>
        <w:t xml:space="preserve"> 台</w:t>
      </w:r>
      <w:r>
        <w:t>（套</w:t>
      </w:r>
      <w:r>
        <w:rPr>
          <w:spacing w:val="-52"/>
        </w:rPr>
        <w:t>）</w:t>
      </w:r>
      <w:r>
        <w:rPr>
          <w:spacing w:val="-8"/>
        </w:rPr>
        <w:t>，主要为以前年度购</w:t>
      </w:r>
      <w:r>
        <w:rPr>
          <w:spacing w:val="-17"/>
        </w:rPr>
        <w:t xml:space="preserve">买用通用设备，比 </w:t>
      </w:r>
      <w:r>
        <w:t>2020</w:t>
      </w:r>
      <w:r>
        <w:rPr>
          <w:spacing w:val="-34"/>
        </w:rPr>
        <w:t xml:space="preserve"> 年增加 </w:t>
      </w:r>
      <w:r>
        <w:rPr>
          <w:rFonts w:ascii="Times New Roman" w:eastAsia="Times New Roman"/>
        </w:rPr>
        <w:t>0</w:t>
      </w:r>
      <w:r>
        <w:rPr>
          <w:rFonts w:ascii="Times New Roman" w:eastAsia="Times New Roman"/>
          <w:spacing w:val="-2"/>
        </w:rPr>
        <w:t xml:space="preserve"> </w:t>
      </w:r>
      <w:r>
        <w:rPr>
          <w:spacing w:val="-12"/>
        </w:rPr>
        <w:t xml:space="preserve">台;单位价值 </w:t>
      </w:r>
      <w:r>
        <w:t>100</w:t>
      </w:r>
      <w:r>
        <w:rPr>
          <w:spacing w:val="-15"/>
        </w:rPr>
        <w:t xml:space="preserve"> 万元以上专</w:t>
      </w:r>
    </w:p>
    <w:p>
      <w:pPr>
        <w:pStyle w:val="3"/>
        <w:spacing w:before="5"/>
        <w:jc w:val="both"/>
      </w:pPr>
      <w:r>
        <w:t xml:space="preserve">用设备 </w:t>
      </w:r>
      <w:r>
        <w:rPr>
          <w:rFonts w:ascii="Times New Roman" w:eastAsia="Times New Roman"/>
        </w:rPr>
        <w:t xml:space="preserve">0 </w:t>
      </w:r>
      <w:r>
        <w:t xml:space="preserve">台（套），比 2020 年增加 </w:t>
      </w:r>
      <w:r>
        <w:rPr>
          <w:rFonts w:ascii="Times New Roman" w:eastAsia="Times New Roman"/>
        </w:rPr>
        <w:t xml:space="preserve">0 </w:t>
      </w:r>
      <w:r>
        <w:t>台（套）。</w:t>
      </w:r>
    </w:p>
    <w:p>
      <w:pPr>
        <w:pStyle w:val="3"/>
        <w:spacing w:before="11"/>
        <w:ind w:left="0"/>
        <w:rPr>
          <w:sz w:val="28"/>
        </w:rPr>
      </w:pPr>
    </w:p>
    <w:p>
      <w:pPr>
        <w:pStyle w:val="2"/>
        <w:spacing w:before="1"/>
        <w:rPr>
          <w:rFonts w:hint="eastAsia" w:ascii="仿宋" w:eastAsia="仿宋"/>
        </w:rPr>
      </w:pPr>
      <w:r>
        <w:rPr>
          <w:rFonts w:hint="eastAsia" w:ascii="仿宋" w:eastAsia="仿宋"/>
        </w:rPr>
        <w:t>三、预算绩效评价工作开展情况</w:t>
      </w:r>
    </w:p>
    <w:p>
      <w:pPr>
        <w:pStyle w:val="3"/>
        <w:spacing w:before="247"/>
        <w:ind w:left="840"/>
      </w:pPr>
      <w:r>
        <w:t>（一）预算绩效管理工作开展情况</w:t>
      </w:r>
    </w:p>
    <w:p>
      <w:pPr>
        <w:pStyle w:val="3"/>
        <w:spacing w:before="169"/>
        <w:ind w:left="840"/>
      </w:pPr>
      <w:r>
        <w:t>根据预算绩效管理要求，我单位组织对 2021 年度一般公共</w:t>
      </w:r>
    </w:p>
    <w:p>
      <w:pPr>
        <w:pStyle w:val="3"/>
        <w:spacing w:before="171" w:line="340" w:lineRule="auto"/>
        <w:ind w:right="278"/>
        <w:jc w:val="both"/>
      </w:pPr>
      <w:r>
        <w:rPr>
          <w:spacing w:val="-11"/>
        </w:rPr>
        <w:t xml:space="preserve">预算项目支出全面开展绩效自评，其中，一级项目 </w:t>
      </w:r>
      <w:r>
        <w:t>21</w:t>
      </w:r>
      <w:r>
        <w:rPr>
          <w:spacing w:val="-29"/>
        </w:rPr>
        <w:t xml:space="preserve"> 个，二级</w:t>
      </w:r>
      <w:r>
        <w:rPr>
          <w:spacing w:val="-47"/>
        </w:rPr>
        <w:t xml:space="preserve">项目 </w:t>
      </w:r>
      <w:r>
        <w:rPr>
          <w:rFonts w:ascii="Times New Roman" w:eastAsia="Times New Roman"/>
        </w:rPr>
        <w:t xml:space="preserve">0 </w:t>
      </w:r>
      <w:r>
        <w:rPr>
          <w:spacing w:val="-11"/>
        </w:rPr>
        <w:t xml:space="preserve">个，共涉及资金 </w:t>
      </w:r>
      <w:r>
        <w:t>7，163.29</w:t>
      </w:r>
      <w:r>
        <w:rPr>
          <w:spacing w:val="-10"/>
        </w:rPr>
        <w:t xml:space="preserve"> 万元，占一般公共预算项目</w:t>
      </w:r>
      <w:r>
        <w:rPr>
          <w:spacing w:val="-23"/>
        </w:rPr>
        <w:t xml:space="preserve">支出总额的 </w:t>
      </w:r>
      <w:r>
        <w:rPr>
          <w:spacing w:val="-8"/>
        </w:rPr>
        <w:t>100</w:t>
      </w:r>
      <w:r>
        <w:rPr>
          <w:spacing w:val="-11"/>
        </w:rPr>
        <w:t xml:space="preserve">%；政府性基金预算项目 </w:t>
      </w:r>
      <w:r>
        <w:rPr>
          <w:rFonts w:ascii="Times New Roman" w:eastAsia="Times New Roman"/>
        </w:rPr>
        <w:t xml:space="preserve">0 </w:t>
      </w:r>
      <w:r>
        <w:rPr>
          <w:spacing w:val="-17"/>
        </w:rPr>
        <w:t xml:space="preserve">个，共涉及资金 </w:t>
      </w:r>
      <w:r>
        <w:rPr>
          <w:rFonts w:ascii="Times New Roman" w:eastAsia="Times New Roman"/>
        </w:rPr>
        <w:t xml:space="preserve">0 </w:t>
      </w:r>
      <w:r>
        <w:t>万</w:t>
      </w:r>
      <w:r>
        <w:rPr>
          <w:spacing w:val="11"/>
        </w:rPr>
        <w:t>元， 占应纳入绩效自评的政府性基金预算项目支出总额的</w:t>
      </w:r>
      <w:r>
        <w:t>100%。</w:t>
      </w:r>
    </w:p>
    <w:p>
      <w:pPr>
        <w:spacing w:after="0" w:line="340" w:lineRule="auto"/>
        <w:jc w:val="both"/>
        <w:sectPr>
          <w:pgSz w:w="12240" w:h="15840"/>
          <w:pgMar w:top="1500" w:right="1520" w:bottom="280" w:left="1560" w:header="720" w:footer="720" w:gutter="0"/>
        </w:sectPr>
      </w:pPr>
    </w:p>
    <w:p>
      <w:pPr>
        <w:pStyle w:val="3"/>
        <w:spacing w:before="84" w:line="340" w:lineRule="auto"/>
        <w:ind w:right="278" w:firstLine="640"/>
        <w:jc w:val="both"/>
      </w:pPr>
      <w:r>
        <w:t>组织对</w:t>
      </w:r>
      <w:r>
        <w:rPr>
          <w:rFonts w:ascii="Times New Roman" w:hAnsi="Times New Roman" w:eastAsia="Times New Roman"/>
          <w:spacing w:val="11"/>
        </w:rPr>
        <w:t xml:space="preserve">“ </w:t>
      </w:r>
      <w:r>
        <w:t>旅游营销宣传专项资金</w:t>
      </w:r>
      <w:r>
        <w:rPr>
          <w:rFonts w:ascii="Times New Roman" w:hAnsi="Times New Roman" w:eastAsia="Times New Roman"/>
        </w:rPr>
        <w:t>”</w:t>
      </w:r>
      <w:r>
        <w:t>、</w:t>
      </w:r>
      <w:r>
        <w:rPr>
          <w:rFonts w:ascii="Times New Roman" w:hAnsi="Times New Roman" w:eastAsia="Times New Roman"/>
          <w:spacing w:val="11"/>
        </w:rPr>
        <w:t xml:space="preserve">“ </w:t>
      </w:r>
      <w:r>
        <w:t>赤峰市文化旅游信息</w:t>
      </w:r>
      <w:r>
        <w:rPr>
          <w:spacing w:val="-1"/>
        </w:rPr>
        <w:t xml:space="preserve">化建设及营销推广项目 </w:t>
      </w:r>
      <w:r>
        <w:rPr>
          <w:rFonts w:ascii="Times New Roman" w:hAnsi="Times New Roman" w:eastAsia="Times New Roman"/>
        </w:rPr>
        <w:t>”</w:t>
      </w:r>
      <w:r>
        <w:rPr>
          <w:spacing w:val="-106"/>
        </w:rPr>
        <w:t>、</w:t>
      </w:r>
      <w:r>
        <w:rPr>
          <w:rFonts w:ascii="Times New Roman" w:hAnsi="Times New Roman" w:eastAsia="Times New Roman"/>
        </w:rPr>
        <w:t>“</w:t>
      </w:r>
      <w:r>
        <w:t>入赤宣传短信推送业务</w:t>
      </w:r>
      <w:r>
        <w:rPr>
          <w:rFonts w:ascii="Times New Roman" w:hAnsi="Times New Roman" w:eastAsia="Times New Roman"/>
        </w:rPr>
        <w:t>”</w:t>
      </w:r>
      <w:r>
        <w:rPr>
          <w:spacing w:val="-41"/>
        </w:rPr>
        <w:t xml:space="preserve">等 </w:t>
      </w:r>
      <w:r>
        <w:t>21</w:t>
      </w:r>
      <w:r>
        <w:rPr>
          <w:spacing w:val="-28"/>
        </w:rPr>
        <w:t xml:space="preserve"> 个项</w:t>
      </w:r>
      <w:r>
        <w:rPr>
          <w:spacing w:val="-23"/>
        </w:rPr>
        <w:t xml:space="preserve">目开展了部门评价，涉及一般公共预算支出 </w:t>
      </w:r>
      <w:r>
        <w:t>7,997.43</w:t>
      </w:r>
      <w:r>
        <w:rPr>
          <w:spacing w:val="-34"/>
        </w:rPr>
        <w:t xml:space="preserve"> 万元，政</w:t>
      </w:r>
    </w:p>
    <w:p>
      <w:pPr>
        <w:pStyle w:val="3"/>
        <w:spacing w:line="338" w:lineRule="auto"/>
        <w:ind w:right="278"/>
        <w:jc w:val="both"/>
      </w:pPr>
      <w:r>
        <w:rPr>
          <w:spacing w:val="-13"/>
        </w:rPr>
        <w:t xml:space="preserve">府性基金支出 </w:t>
      </w:r>
      <w:r>
        <w:rPr>
          <w:rFonts w:ascii="Times New Roman" w:eastAsia="Times New Roman"/>
        </w:rPr>
        <w:t>0</w:t>
      </w:r>
      <w:r>
        <w:rPr>
          <w:rFonts w:ascii="Times New Roman" w:eastAsia="Times New Roman"/>
          <w:spacing w:val="-5"/>
        </w:rPr>
        <w:t xml:space="preserve"> </w:t>
      </w:r>
      <w:r>
        <w:t>万元。其中，以上项目均由我单位内部开展绩</w:t>
      </w:r>
      <w:r>
        <w:rPr>
          <w:w w:val="95"/>
        </w:rPr>
        <w:t xml:space="preserve">效评价。从评价情况来看，以上项目均按照年初预算要求，按 时按绩效指标完成。从评价情况来看，以上项目支出进度基本 完成，个别项目虽然存在疫情影响因素，但仍有支出空间；整 体来看支出进度相对良好，绩效目标完成度较高，相关项目开 展及时、做到专款专用。圆满完成了本年度预算执行及工作任 </w:t>
      </w:r>
      <w:r>
        <w:t>务。</w:t>
      </w:r>
    </w:p>
    <w:p>
      <w:pPr>
        <w:pStyle w:val="3"/>
        <w:spacing w:before="7"/>
        <w:ind w:left="840"/>
      </w:pPr>
      <w:r>
        <w:t>（二）部门决算中项目绩效自评结果</w:t>
      </w:r>
    </w:p>
    <w:p>
      <w:pPr>
        <w:pStyle w:val="3"/>
        <w:spacing w:before="171" w:line="338" w:lineRule="auto"/>
        <w:ind w:right="278" w:firstLine="600"/>
        <w:jc w:val="both"/>
      </w:pPr>
      <w:r>
        <w:rPr>
          <w:spacing w:val="-17"/>
        </w:rPr>
        <w:t>我部门今年在在部门决算中反映“局机关运行经费 ”、</w:t>
      </w:r>
      <w:r>
        <w:rPr>
          <w:rFonts w:ascii="Times New Roman" w:hAnsi="Times New Roman" w:eastAsia="Times New Roman"/>
          <w:spacing w:val="-2"/>
        </w:rPr>
        <w:t xml:space="preserve">“ </w:t>
      </w:r>
      <w:r>
        <w:t>旅游营销宣传专项资金</w:t>
      </w:r>
      <w:r>
        <w:rPr>
          <w:rFonts w:ascii="Times New Roman" w:hAnsi="Times New Roman" w:eastAsia="Times New Roman"/>
        </w:rPr>
        <w:t>”</w:t>
      </w:r>
      <w:r>
        <w:rPr>
          <w:spacing w:val="-43"/>
        </w:rPr>
        <w:t>、</w:t>
      </w:r>
      <w:r>
        <w:rPr>
          <w:rFonts w:ascii="Times New Roman" w:hAnsi="Times New Roman" w:eastAsia="Times New Roman"/>
          <w:spacing w:val="-5"/>
        </w:rPr>
        <w:t xml:space="preserve">“ </w:t>
      </w:r>
      <w:r>
        <w:t>赤峰市文化旅游信息化建设及营销推</w:t>
      </w:r>
      <w:r>
        <w:rPr>
          <w:spacing w:val="-2"/>
        </w:rPr>
        <w:t xml:space="preserve">广项目 </w:t>
      </w:r>
      <w:r>
        <w:rPr>
          <w:rFonts w:ascii="Times New Roman" w:hAnsi="Times New Roman" w:eastAsia="Times New Roman"/>
        </w:rPr>
        <w:t>”</w:t>
      </w:r>
      <w:r>
        <w:t>、</w:t>
      </w:r>
      <w:r>
        <w:rPr>
          <w:rFonts w:ascii="Times New Roman" w:hAnsi="Times New Roman" w:eastAsia="Times New Roman"/>
        </w:rPr>
        <w:t>“</w:t>
      </w:r>
      <w:r>
        <w:t>入赤宣传短信推送业务</w:t>
      </w:r>
      <w:r>
        <w:rPr>
          <w:rFonts w:ascii="Times New Roman" w:hAnsi="Times New Roman" w:eastAsia="Times New Roman"/>
          <w:spacing w:val="2"/>
        </w:rPr>
        <w:t>” “</w:t>
      </w:r>
      <w:r>
        <w:t>第十五届红山文化节</w:t>
      </w:r>
      <w:r>
        <w:rPr>
          <w:rFonts w:ascii="Times New Roman" w:hAnsi="Times New Roman" w:eastAsia="Times New Roman"/>
        </w:rPr>
        <w:t>”</w:t>
      </w:r>
      <w:r>
        <w:t>等21</w:t>
      </w:r>
      <w:r>
        <w:rPr>
          <w:spacing w:val="-16"/>
        </w:rPr>
        <w:t xml:space="preserve"> 个一般公共预算项目共 </w:t>
      </w:r>
      <w:r>
        <w:t>21</w:t>
      </w:r>
      <w:r>
        <w:rPr>
          <w:spacing w:val="-10"/>
        </w:rPr>
        <w:t xml:space="preserve"> 个项目的绩效自评结果：</w:t>
      </w:r>
    </w:p>
    <w:p>
      <w:pPr>
        <w:pStyle w:val="3"/>
        <w:spacing w:before="6"/>
        <w:ind w:left="1048"/>
      </w:pPr>
      <w:r>
        <w:t>1</w:t>
      </w:r>
      <w:r>
        <w:rPr>
          <w:spacing w:val="8"/>
        </w:rPr>
        <w:t xml:space="preserve"> 、旅游宣传营销专项资金： 该项目全年预算数总计</w:t>
      </w:r>
    </w:p>
    <w:p>
      <w:pPr>
        <w:pStyle w:val="3"/>
        <w:spacing w:before="171" w:line="338" w:lineRule="auto"/>
        <w:ind w:right="119"/>
      </w:pPr>
      <w:r>
        <w:t>1448.2</w:t>
      </w:r>
      <w:r>
        <w:rPr>
          <w:spacing w:val="-48"/>
        </w:rPr>
        <w:t xml:space="preserve"> 万元。截至 </w:t>
      </w:r>
      <w:r>
        <w:t>2021</w:t>
      </w:r>
      <w:r>
        <w:rPr>
          <w:spacing w:val="-55"/>
        </w:rPr>
        <w:t xml:space="preserve"> 年 </w:t>
      </w:r>
      <w:r>
        <w:t>12</w:t>
      </w:r>
      <w:r>
        <w:rPr>
          <w:spacing w:val="-11"/>
        </w:rPr>
        <w:t xml:space="preserve"> 月底全年执行资金 </w:t>
      </w:r>
      <w:r>
        <w:t>942.92</w:t>
      </w:r>
      <w:r>
        <w:rPr>
          <w:spacing w:val="-21"/>
        </w:rPr>
        <w:t xml:space="preserve"> 万元。</w:t>
      </w:r>
      <w:r>
        <w:rPr>
          <w:spacing w:val="-32"/>
        </w:rPr>
        <w:t xml:space="preserve">完成预算的 </w:t>
      </w:r>
      <w:r>
        <w:t>65.1</w:t>
      </w:r>
      <w:r>
        <w:rPr>
          <w:spacing w:val="-27"/>
        </w:rPr>
        <w:t xml:space="preserve">%。自评分数为 </w:t>
      </w:r>
      <w:r>
        <w:t>87</w:t>
      </w:r>
      <w:r>
        <w:rPr>
          <w:spacing w:val="-18"/>
        </w:rPr>
        <w:t xml:space="preserve"> 分。项目绩效目标完成情况： 为了集中力量抓好宣传营销。根据大数据分析成果，聚焦京津冀、东北等主要客源市场，强化线上线下互动，开展高频次、大规模的宣传推介活动，通过高端策划，在黄金时段推出最能反映赤峰城市风貌、最能体现赤峰旅游精髓和深厚文化底蕴的</w:t>
      </w:r>
    </w:p>
    <w:p>
      <w:pPr>
        <w:spacing w:after="0" w:line="338" w:lineRule="auto"/>
        <w:sectPr>
          <w:pgSz w:w="12240" w:h="15840"/>
          <w:pgMar w:top="1500" w:right="1520" w:bottom="280" w:left="1560" w:header="720" w:footer="720" w:gutter="0"/>
        </w:sectPr>
      </w:pPr>
    </w:p>
    <w:p>
      <w:pPr>
        <w:pStyle w:val="3"/>
        <w:spacing w:before="84" w:line="338" w:lineRule="auto"/>
        <w:ind w:right="119"/>
      </w:pPr>
      <w:r>
        <w:t>宣传语，以此全面提升赤峰旅游的知名度、美誉度，全面唱响赤峰旅游品牌，高铁旅游时代的到来宣传造势，把“北京后花</w:t>
      </w:r>
      <w:r>
        <w:rPr>
          <w:spacing w:val="-15"/>
          <w:w w:val="95"/>
        </w:rPr>
        <w:t xml:space="preserve">园”这张赤峰旅游名片擦得更亮。宣传促销采取组合拳的方式， </w:t>
      </w:r>
      <w:r>
        <w:rPr>
          <w:spacing w:val="-15"/>
        </w:rPr>
        <w:t>全媒体投入，扩大市场份额，通过一系列持续的有影响力的节</w:t>
      </w:r>
      <w:r>
        <w:rPr>
          <w:spacing w:val="-16"/>
        </w:rPr>
        <w:t>庆活动。</w:t>
      </w:r>
      <w:r>
        <w:t>IP</w:t>
      </w:r>
      <w:r>
        <w:rPr>
          <w:spacing w:val="-13"/>
        </w:rPr>
        <w:t xml:space="preserve"> 持续打造等，提高我市的知名度，美誉度。重点工作包括：1</w:t>
      </w:r>
      <w:r>
        <w:rPr>
          <w:spacing w:val="-20"/>
        </w:rPr>
        <w:t xml:space="preserve">、全媒体广告投放预算 </w:t>
      </w:r>
      <w:r>
        <w:t>1057.5</w:t>
      </w:r>
      <w:r>
        <w:rPr>
          <w:spacing w:val="-18"/>
        </w:rPr>
        <w:t xml:space="preserve"> 万元 ；</w:t>
      </w:r>
      <w:r>
        <w:t>2、全域旅游</w:t>
      </w:r>
      <w:r>
        <w:rPr>
          <w:spacing w:val="-14"/>
        </w:rPr>
        <w:t xml:space="preserve">宣传营销及 </w:t>
      </w:r>
      <w:r>
        <w:t>IP</w:t>
      </w:r>
      <w:r>
        <w:rPr>
          <w:spacing w:val="-28"/>
        </w:rPr>
        <w:t xml:space="preserve"> 持续打造 </w:t>
      </w:r>
      <w:r>
        <w:t>259.1</w:t>
      </w:r>
      <w:r>
        <w:rPr>
          <w:spacing w:val="-21"/>
        </w:rPr>
        <w:t xml:space="preserve"> 万元；</w:t>
      </w:r>
      <w:r>
        <w:t>3</w:t>
      </w:r>
      <w:r>
        <w:rPr>
          <w:spacing w:val="-12"/>
        </w:rPr>
        <w:t xml:space="preserve">、客源地推广 </w:t>
      </w:r>
      <w:r>
        <w:t>78</w:t>
      </w:r>
      <w:r>
        <w:rPr>
          <w:spacing w:val="-21"/>
        </w:rPr>
        <w:t xml:space="preserve"> 万元； 4</w:t>
      </w:r>
      <w:r>
        <w:rPr>
          <w:spacing w:val="-14"/>
        </w:rPr>
        <w:t xml:space="preserve">、开展有影响力的节庆活动 </w:t>
      </w:r>
      <w:r>
        <w:t>53.6</w:t>
      </w:r>
      <w:r>
        <w:rPr>
          <w:spacing w:val="-33"/>
        </w:rPr>
        <w:t xml:space="preserve"> 万元，总计 </w:t>
      </w:r>
      <w:r>
        <w:t>1448.2</w:t>
      </w:r>
      <w:r>
        <w:rPr>
          <w:spacing w:val="-28"/>
        </w:rPr>
        <w:t xml:space="preserve"> 万元。截</w:t>
      </w:r>
    </w:p>
    <w:p>
      <w:pPr>
        <w:pStyle w:val="3"/>
        <w:spacing w:before="17"/>
      </w:pPr>
      <w:r>
        <w:rPr>
          <w:spacing w:val="-41"/>
        </w:rPr>
        <w:t xml:space="preserve">至 </w:t>
      </w:r>
      <w:r>
        <w:t>2021</w:t>
      </w:r>
      <w:r>
        <w:rPr>
          <w:spacing w:val="-55"/>
        </w:rPr>
        <w:t xml:space="preserve"> 年 </w:t>
      </w:r>
      <w:r>
        <w:t>12</w:t>
      </w:r>
      <w:r>
        <w:rPr>
          <w:spacing w:val="-12"/>
        </w:rPr>
        <w:t xml:space="preserve"> 月底执行资金 </w:t>
      </w:r>
      <w:r>
        <w:t>942.92</w:t>
      </w:r>
      <w:r>
        <w:rPr>
          <w:spacing w:val="-18"/>
        </w:rPr>
        <w:t xml:space="preserve"> 万元。完成预算的 </w:t>
      </w:r>
      <w:r>
        <w:t>65.1%。</w:t>
      </w:r>
    </w:p>
    <w:p>
      <w:pPr>
        <w:pStyle w:val="3"/>
        <w:spacing w:before="168" w:line="338" w:lineRule="auto"/>
        <w:ind w:right="278"/>
        <w:jc w:val="both"/>
      </w:pPr>
      <w:r>
        <w:rPr>
          <w:spacing w:val="-15"/>
        </w:rPr>
        <w:t xml:space="preserve">自评分数为 </w:t>
      </w:r>
      <w:r>
        <w:t>87</w:t>
      </w:r>
      <w:r>
        <w:rPr>
          <w:spacing w:val="-17"/>
        </w:rPr>
        <w:t xml:space="preserve"> 分。该项目严格执行《中华人</w:t>
      </w:r>
      <w:r>
        <w:rPr>
          <w:rFonts w:hint="eastAsia"/>
          <w:spacing w:val="-17"/>
          <w:lang w:eastAsia="zh-CN"/>
        </w:rPr>
        <w:t>民</w:t>
      </w:r>
      <w:r>
        <w:rPr>
          <w:spacing w:val="-17"/>
        </w:rPr>
        <w:t>共和国预算法实</w:t>
      </w:r>
      <w:r>
        <w:rPr>
          <w:spacing w:val="-22"/>
          <w:w w:val="95"/>
        </w:rPr>
        <w:t xml:space="preserve">施条例》、按照机关预算管理制度、财务管理制度、项目管理制 </w:t>
      </w:r>
      <w:bookmarkStart w:id="0" w:name="_GoBack"/>
      <w:bookmarkEnd w:id="0"/>
      <w:r>
        <w:rPr>
          <w:spacing w:val="-22"/>
          <w:w w:val="95"/>
        </w:rPr>
        <w:t>度，科学进行预算制定、严格评审招投标各环节和绩效考评， 资金实行专款管理，实时监督，项目前、项目中和项目后都进 行绩效评审和评估工作。因受到疫情影响，部分活动有推迟和 延期现象。下一步将进一步制订科学合理的工作计划和资金使 用计划，科学制订绩效目标和考核目标，实时跟踪，发展问题</w:t>
      </w:r>
    </w:p>
    <w:p>
      <w:pPr>
        <w:pStyle w:val="3"/>
        <w:spacing w:before="14"/>
      </w:pPr>
      <w:r>
        <w:t>及时纠正，发挥资金使用的最大效益。</w:t>
      </w:r>
    </w:p>
    <w:p>
      <w:pPr>
        <w:pStyle w:val="3"/>
        <w:spacing w:before="29" w:line="364" w:lineRule="auto"/>
        <w:ind w:right="119" w:firstLine="600"/>
      </w:pPr>
      <w:r>
        <w:t>2</w:t>
      </w:r>
      <w:r>
        <w:rPr>
          <w:spacing w:val="-11"/>
        </w:rPr>
        <w:t>、赤峰市文化旅游信息化建设及营销推广项目：根据年初</w:t>
      </w:r>
      <w:r>
        <w:rPr>
          <w:spacing w:val="-25"/>
        </w:rPr>
        <w:t xml:space="preserve">设定的绩效目标，项目自评得分 </w:t>
      </w:r>
      <w:r>
        <w:t>72</w:t>
      </w:r>
      <w:r>
        <w:rPr>
          <w:spacing w:val="-35"/>
        </w:rPr>
        <w:t xml:space="preserve"> 分。全年预算数为 </w:t>
      </w:r>
      <w:r>
        <w:t>532</w:t>
      </w:r>
      <w:r>
        <w:rPr>
          <w:spacing w:val="-21"/>
        </w:rPr>
        <w:t xml:space="preserve"> 万元， </w:t>
      </w:r>
      <w:r>
        <w:rPr>
          <w:spacing w:val="-34"/>
        </w:rPr>
        <w:t xml:space="preserve">执行数为 </w:t>
      </w:r>
      <w:r>
        <w:t>256.98</w:t>
      </w:r>
      <w:r>
        <w:rPr>
          <w:spacing w:val="-23"/>
        </w:rPr>
        <w:t xml:space="preserve"> 万元，完成预算的 </w:t>
      </w:r>
      <w:r>
        <w:t>48.3%</w:t>
      </w:r>
      <w:r>
        <w:rPr>
          <w:spacing w:val="-7"/>
        </w:rPr>
        <w:t>。项目绩效目标完成</w:t>
      </w:r>
      <w:r>
        <w:rPr>
          <w:spacing w:val="-10"/>
        </w:rPr>
        <w:t>情况：</w:t>
      </w:r>
      <w:r>
        <w:rPr>
          <w:spacing w:val="-16"/>
        </w:rPr>
        <w:t>2020</w:t>
      </w:r>
      <w:r>
        <w:rPr>
          <w:spacing w:val="-55"/>
        </w:rPr>
        <w:t xml:space="preserve"> 年 </w:t>
      </w:r>
      <w:r>
        <w:t>12</w:t>
      </w:r>
      <w:r>
        <w:rPr>
          <w:spacing w:val="-55"/>
        </w:rPr>
        <w:t xml:space="preserve"> 月 </w:t>
      </w:r>
      <w:r>
        <w:t>30</w:t>
      </w:r>
      <w:r>
        <w:rPr>
          <w:spacing w:val="-10"/>
        </w:rPr>
        <w:t xml:space="preserve"> 日赤峰市财政投资评审中心出具的赤财</w:t>
      </w:r>
    </w:p>
    <w:p>
      <w:pPr>
        <w:pStyle w:val="3"/>
        <w:spacing w:before="4"/>
      </w:pPr>
      <w:r>
        <w:rPr>
          <w:spacing w:val="-27"/>
        </w:rPr>
        <w:t>评〔</w:t>
      </w:r>
      <w:r>
        <w:t>2020</w:t>
      </w:r>
      <w:r>
        <w:rPr>
          <w:spacing w:val="-47"/>
        </w:rPr>
        <w:t xml:space="preserve">〕第 </w:t>
      </w:r>
      <w:r>
        <w:t>1114</w:t>
      </w:r>
      <w:r>
        <w:rPr>
          <w:spacing w:val="-13"/>
        </w:rPr>
        <w:t xml:space="preserve"> 号评审报告，评审赤峰市文旅局同国内大型</w:t>
      </w:r>
    </w:p>
    <w:p>
      <w:pPr>
        <w:spacing w:after="0"/>
        <w:sectPr>
          <w:pgSz w:w="12240" w:h="15840"/>
          <w:pgMar w:top="1500" w:right="1520" w:bottom="280" w:left="1560" w:header="720" w:footer="720" w:gutter="0"/>
        </w:sectPr>
      </w:pPr>
    </w:p>
    <w:p>
      <w:pPr>
        <w:pStyle w:val="3"/>
        <w:spacing w:before="25" w:line="364" w:lineRule="auto"/>
        <w:ind w:right="278"/>
        <w:jc w:val="both"/>
      </w:pPr>
      <w:r>
        <w:rPr>
          <w:w w:val="95"/>
        </w:rPr>
        <w:t xml:space="preserve">集团合作“文化旅游信息化建设及营销推广”项目最终审定资 </w:t>
      </w:r>
      <w:r>
        <w:rPr>
          <w:spacing w:val="-25"/>
        </w:rPr>
        <w:t xml:space="preserve">金为 </w:t>
      </w:r>
      <w:r>
        <w:t>5,320,000.00</w:t>
      </w:r>
      <w:r>
        <w:rPr>
          <w:spacing w:val="-38"/>
        </w:rPr>
        <w:t xml:space="preserve"> 元</w:t>
      </w:r>
      <w:r>
        <w:rPr>
          <w:rFonts w:ascii="Times New Roman" w:hAnsi="Times New Roman" w:eastAsia="Times New Roman"/>
          <w:spacing w:val="4"/>
        </w:rPr>
        <w:t>,</w:t>
      </w:r>
      <w:r>
        <w:rPr>
          <w:spacing w:val="4"/>
        </w:rPr>
        <w:t>此价格为招标控制价格，</w:t>
      </w:r>
      <w:r>
        <w:t>2021</w:t>
      </w:r>
      <w:r>
        <w:rPr>
          <w:spacing w:val="-53"/>
        </w:rPr>
        <w:t xml:space="preserve"> 年 </w:t>
      </w:r>
      <w:r>
        <w:t>8</w:t>
      </w:r>
      <w:r>
        <w:rPr>
          <w:spacing w:val="-53"/>
        </w:rPr>
        <w:t xml:space="preserve"> 月 </w:t>
      </w:r>
      <w:r>
        <w:t xml:space="preserve">9 </w:t>
      </w:r>
      <w:r>
        <w:rPr>
          <w:w w:val="95"/>
        </w:rPr>
        <w:t xml:space="preserve">日赤峰市文化和旅游局完成了“赤峰市文化旅游信息化建设及 营销推广项目”的招标采购工作，中标服务商为同程网络科技 </w:t>
      </w:r>
      <w:r>
        <w:rPr>
          <w:spacing w:val="-7"/>
        </w:rPr>
        <w:t xml:space="preserve">股份有限公司，中标金额为 </w:t>
      </w:r>
      <w:r>
        <w:t>4,900,000.00</w:t>
      </w:r>
      <w:r>
        <w:rPr>
          <w:spacing w:val="-28"/>
        </w:rPr>
        <w:t xml:space="preserve"> 元；</w:t>
      </w:r>
      <w:r>
        <w:t>2021</w:t>
      </w:r>
      <w:r>
        <w:rPr>
          <w:spacing w:val="-56"/>
        </w:rPr>
        <w:t xml:space="preserve"> 年 </w:t>
      </w:r>
      <w:r>
        <w:t>9</w:t>
      </w:r>
      <w:r>
        <w:rPr>
          <w:spacing w:val="-55"/>
        </w:rPr>
        <w:t xml:space="preserve"> 月 </w:t>
      </w:r>
      <w:r>
        <w:t xml:space="preserve">17 </w:t>
      </w:r>
      <w:r>
        <w:rPr>
          <w:w w:val="95"/>
        </w:rPr>
        <w:t>日完成了本项目第三方咨询监理单位的招标工作，中标服务商 为北京赛迪工业和信息化工程监理中心有限公司，中标金额为</w:t>
      </w:r>
      <w:r>
        <w:t>299,500.00</w:t>
      </w:r>
      <w:r>
        <w:rPr>
          <w:spacing w:val="-2"/>
        </w:rPr>
        <w:t xml:space="preserve"> 元。 截至 </w:t>
      </w:r>
      <w:r>
        <w:t>2021</w:t>
      </w:r>
      <w:r>
        <w:rPr>
          <w:spacing w:val="-12"/>
        </w:rPr>
        <w:t xml:space="preserve"> 年 </w:t>
      </w:r>
      <w:r>
        <w:t>12</w:t>
      </w:r>
      <w:r>
        <w:rPr>
          <w:spacing w:val="-13"/>
        </w:rPr>
        <w:t xml:space="preserve"> 月 </w:t>
      </w:r>
      <w:r>
        <w:t>31</w:t>
      </w:r>
      <w:r>
        <w:rPr>
          <w:spacing w:val="45"/>
        </w:rPr>
        <w:t xml:space="preserve"> 日累计支付资金</w:t>
      </w:r>
    </w:p>
    <w:p>
      <w:pPr>
        <w:pStyle w:val="3"/>
        <w:spacing w:before="6" w:line="364" w:lineRule="auto"/>
        <w:ind w:right="278"/>
        <w:jc w:val="both"/>
      </w:pPr>
      <w:r>
        <w:t>2,569,800.00</w:t>
      </w:r>
      <w:r>
        <w:rPr>
          <w:spacing w:val="-14"/>
        </w:rPr>
        <w:t xml:space="preserve"> 元。发现的主要问题及原因：信息化项目实施过</w:t>
      </w:r>
      <w:r>
        <w:rPr>
          <w:spacing w:val="-14"/>
          <w:w w:val="95"/>
        </w:rPr>
        <w:t xml:space="preserve">程中按国家下发相关要求系统上线之前需要达到安全等级保护 的测评要求和第三方出具的测试报告，现处于测试队段系统上 线时间有所滞后，目前建设单位全面跟进测试进度尽快推进上 线工作。下一步改进措施：提升资金使用效率，减少非必要开 </w:t>
      </w:r>
      <w:r>
        <w:rPr>
          <w:spacing w:val="-14"/>
        </w:rPr>
        <w:t>支，积极申请专项资金以保证运转资金的最低保障效应。</w:t>
      </w:r>
    </w:p>
    <w:p>
      <w:pPr>
        <w:pStyle w:val="3"/>
        <w:spacing w:before="5" w:line="364" w:lineRule="auto"/>
        <w:ind w:right="278" w:firstLine="640"/>
        <w:jc w:val="both"/>
      </w:pPr>
      <w:r>
        <w:t>3</w:t>
      </w:r>
      <w:r>
        <w:rPr>
          <w:spacing w:val="-1"/>
        </w:rPr>
        <w:t xml:space="preserve">、赤峰市宁城县八里罕圣泉特色小镇 </w:t>
      </w:r>
      <w:r>
        <w:t>PPP</w:t>
      </w:r>
      <w:r>
        <w:rPr>
          <w:spacing w:val="-2"/>
        </w:rPr>
        <w:t xml:space="preserve"> 项目：根据年</w:t>
      </w:r>
      <w:r>
        <w:rPr>
          <w:spacing w:val="-17"/>
        </w:rPr>
        <w:t xml:space="preserve">初设定的绩效目标，项目自评得分 </w:t>
      </w:r>
      <w:r>
        <w:t>90</w:t>
      </w:r>
      <w:r>
        <w:rPr>
          <w:spacing w:val="-31"/>
        </w:rPr>
        <w:t xml:space="preserve"> 分。全年预算数为 </w:t>
      </w:r>
      <w:r>
        <w:t xml:space="preserve">211.74 </w:t>
      </w:r>
      <w:r>
        <w:rPr>
          <w:spacing w:val="-9"/>
        </w:rPr>
        <w:t xml:space="preserve">万元，执行数为 </w:t>
      </w:r>
      <w:r>
        <w:t>211.74</w:t>
      </w:r>
      <w:r>
        <w:rPr>
          <w:spacing w:val="-16"/>
        </w:rPr>
        <w:t xml:space="preserve"> 万元，完成预算的 </w:t>
      </w:r>
      <w:r>
        <w:t>100</w:t>
      </w:r>
      <w:r>
        <w:rPr>
          <w:spacing w:val="1"/>
        </w:rPr>
        <w:t>%。项目绩效目</w:t>
      </w:r>
      <w:r>
        <w:rPr>
          <w:spacing w:val="1"/>
          <w:w w:val="95"/>
        </w:rPr>
        <w:t>标完成情况：为进一步创新投融资机制、增强公共产品和服务 供给能力，加快政府职能转变，发挥市场配置资源的决定性作 用，进一步打造全国特色小镇品牌，带动旅游文化产业发展， 经赤峰市政府常务会议讨论通过，决定以产业为引领并采取政</w:t>
      </w:r>
    </w:p>
    <w:p>
      <w:pPr>
        <w:spacing w:after="0" w:line="364" w:lineRule="auto"/>
        <w:jc w:val="both"/>
        <w:sectPr>
          <w:pgSz w:w="12240" w:h="15840"/>
          <w:pgMar w:top="1420" w:right="1520" w:bottom="280" w:left="1560" w:header="720" w:footer="720" w:gutter="0"/>
        </w:sectPr>
      </w:pPr>
    </w:p>
    <w:p>
      <w:pPr>
        <w:pStyle w:val="3"/>
        <w:spacing w:before="25" w:line="364" w:lineRule="auto"/>
        <w:ind w:right="278"/>
        <w:jc w:val="both"/>
      </w:pPr>
      <w:r>
        <w:rPr>
          <w:spacing w:val="-10"/>
          <w:w w:val="95"/>
        </w:rPr>
        <w:t>府和社会资本合作</w:t>
      </w:r>
      <w:r>
        <w:rPr>
          <w:spacing w:val="-16"/>
          <w:w w:val="95"/>
        </w:rPr>
        <w:t>（PPP）</w:t>
      </w:r>
      <w:r>
        <w:rPr>
          <w:w w:val="95"/>
        </w:rPr>
        <w:t xml:space="preserve">模式实施赤峰市宁城县八里罕圣泉特 </w:t>
      </w:r>
      <w:r>
        <w:rPr>
          <w:spacing w:val="26"/>
        </w:rPr>
        <w:t>色小镇</w:t>
      </w:r>
      <w:r>
        <w:t>PPP</w:t>
      </w:r>
      <w:r>
        <w:rPr>
          <w:spacing w:val="-9"/>
        </w:rPr>
        <w:t xml:space="preserve"> 项目。 该项目已完成 </w:t>
      </w:r>
      <w:r>
        <w:t>2021</w:t>
      </w:r>
      <w:r>
        <w:rPr>
          <w:spacing w:val="-17"/>
        </w:rPr>
        <w:t xml:space="preserve"> 年度付款任务，在接下</w:t>
      </w:r>
      <w:r>
        <w:rPr>
          <w:spacing w:val="-17"/>
          <w:w w:val="95"/>
        </w:rPr>
        <w:t xml:space="preserve">来的工作中完善项目资料及各种后续管理手续，做好项目经营 </w:t>
      </w:r>
      <w:r>
        <w:rPr>
          <w:spacing w:val="-17"/>
        </w:rPr>
        <w:t>期的政府付费工作和核算工作。</w:t>
      </w:r>
    </w:p>
    <w:p>
      <w:pPr>
        <w:pStyle w:val="3"/>
        <w:spacing w:before="3" w:line="364" w:lineRule="auto"/>
        <w:ind w:right="119" w:firstLine="640"/>
      </w:pPr>
      <w:r>
        <w:t>4、第十五届红山文化节:根据年初设定的绩效目标，项目</w:t>
      </w:r>
      <w:r>
        <w:rPr>
          <w:spacing w:val="-17"/>
        </w:rPr>
        <w:t xml:space="preserve">自评得分 </w:t>
      </w:r>
      <w:r>
        <w:t>79</w:t>
      </w:r>
      <w:r>
        <w:rPr>
          <w:spacing w:val="-18"/>
        </w:rPr>
        <w:t xml:space="preserve"> 分。全年预算数为 </w:t>
      </w:r>
      <w:r>
        <w:t>270</w:t>
      </w:r>
      <w:r>
        <w:rPr>
          <w:spacing w:val="-20"/>
        </w:rPr>
        <w:t xml:space="preserve"> 万元，执行数为 </w:t>
      </w:r>
      <w:r>
        <w:t>146.92</w:t>
      </w:r>
      <w:r>
        <w:rPr>
          <w:spacing w:val="-41"/>
        </w:rPr>
        <w:t xml:space="preserve"> 万</w:t>
      </w:r>
      <w:r>
        <w:rPr>
          <w:spacing w:val="-10"/>
        </w:rPr>
        <w:t xml:space="preserve">元，完成预算的 </w:t>
      </w:r>
      <w:r>
        <w:t>54.4%。项目绩效目标完成情况：第一按计划</w:t>
      </w:r>
      <w:r>
        <w:rPr>
          <w:spacing w:val="-10"/>
          <w:w w:val="95"/>
        </w:rPr>
        <w:t xml:space="preserve">完成红山文化旅游节的项目策划、场地搭建、惠民演出的落实； </w:t>
      </w:r>
      <w:r>
        <w:rPr>
          <w:spacing w:val="-16"/>
        </w:rPr>
        <w:t xml:space="preserve">第二给全市人民带来为期 </w:t>
      </w:r>
      <w:r>
        <w:t>20</w:t>
      </w:r>
      <w:r>
        <w:rPr>
          <w:spacing w:val="-18"/>
        </w:rPr>
        <w:t xml:space="preserve"> 天的惠民文艺演出、满足人民群众对文化生活的需要；第三提升我市文化旅游队伍的专业水平； 第四扩大文化旅游影响力。按照上级部门的工作要求，本着用好专项资金、打造文艺精品晚会的目标，成立主创人员团队， 成立多次召开专门会议组织筹备第十五届文旅节，项目实际支</w:t>
      </w:r>
      <w:r>
        <w:rPr>
          <w:spacing w:val="-5"/>
        </w:rPr>
        <w:t xml:space="preserve">出情况前期筹备花费 </w:t>
      </w:r>
      <w:r>
        <w:t>1469287.25</w:t>
      </w:r>
      <w:r>
        <w:rPr>
          <w:spacing w:val="-12"/>
        </w:rPr>
        <w:t xml:space="preserve"> 元。本次文旅节原定于 </w:t>
      </w:r>
      <w:r>
        <w:t>2021</w:t>
      </w:r>
    </w:p>
    <w:p>
      <w:pPr>
        <w:pStyle w:val="3"/>
        <w:spacing w:before="8"/>
      </w:pPr>
      <w:r>
        <w:rPr>
          <w:spacing w:val="-41"/>
        </w:rPr>
        <w:t xml:space="preserve">年 </w:t>
      </w:r>
      <w:r>
        <w:t>8</w:t>
      </w:r>
      <w:r>
        <w:rPr>
          <w:spacing w:val="-55"/>
        </w:rPr>
        <w:t xml:space="preserve"> 月 </w:t>
      </w:r>
      <w:r>
        <w:t>7</w:t>
      </w:r>
      <w:r>
        <w:rPr>
          <w:spacing w:val="-41"/>
        </w:rPr>
        <w:t xml:space="preserve"> 日至 </w:t>
      </w:r>
      <w:r>
        <w:t>8</w:t>
      </w:r>
      <w:r>
        <w:rPr>
          <w:spacing w:val="-54"/>
        </w:rPr>
        <w:t xml:space="preserve"> 月 </w:t>
      </w:r>
      <w:r>
        <w:t>21</w:t>
      </w:r>
      <w:r>
        <w:rPr>
          <w:spacing w:val="-16"/>
        </w:rPr>
        <w:t xml:space="preserve"> 日在玉龙广场持续举行，因 </w:t>
      </w:r>
      <w:r>
        <w:t>2021</w:t>
      </w:r>
      <w:r>
        <w:rPr>
          <w:spacing w:val="-21"/>
        </w:rPr>
        <w:t xml:space="preserve"> 年疫情</w:t>
      </w:r>
    </w:p>
    <w:p>
      <w:pPr>
        <w:pStyle w:val="3"/>
        <w:spacing w:before="214"/>
      </w:pPr>
      <w:r>
        <w:t>防控原因，市委、市政府决定推迟至 2022 年举办。</w:t>
      </w:r>
    </w:p>
    <w:p>
      <w:pPr>
        <w:pStyle w:val="3"/>
        <w:spacing w:before="5"/>
        <w:ind w:left="0"/>
        <w:rPr>
          <w:sz w:val="35"/>
        </w:rPr>
      </w:pPr>
    </w:p>
    <w:p>
      <w:pPr>
        <w:pStyle w:val="3"/>
        <w:spacing w:line="364" w:lineRule="auto"/>
        <w:ind w:right="278" w:firstLine="640"/>
        <w:jc w:val="both"/>
      </w:pPr>
      <w:r>
        <w:t>5</w:t>
      </w:r>
      <w:r>
        <w:rPr>
          <w:spacing w:val="-15"/>
        </w:rPr>
        <w:t>、契丹辽博物馆第二批文物复仿项目: 根据年初设定的绩</w:t>
      </w:r>
      <w:r>
        <w:rPr>
          <w:spacing w:val="-22"/>
        </w:rPr>
        <w:t xml:space="preserve">效目标，项目自评得分 </w:t>
      </w:r>
      <w:r>
        <w:t>83.94</w:t>
      </w:r>
      <w:r>
        <w:rPr>
          <w:spacing w:val="-19"/>
        </w:rPr>
        <w:t xml:space="preserve"> 分。全年预算数为 </w:t>
      </w:r>
      <w:r>
        <w:t>149.5</w:t>
      </w:r>
      <w:r>
        <w:rPr>
          <w:spacing w:val="-21"/>
        </w:rPr>
        <w:t xml:space="preserve"> 万元， </w:t>
      </w:r>
      <w:r>
        <w:rPr>
          <w:spacing w:val="-34"/>
        </w:rPr>
        <w:t xml:space="preserve">执行数为 </w:t>
      </w:r>
      <w:r>
        <w:t>6.72</w:t>
      </w:r>
      <w:r>
        <w:rPr>
          <w:spacing w:val="-19"/>
        </w:rPr>
        <w:t xml:space="preserve"> 万元，完成预算的 </w:t>
      </w:r>
      <w:r>
        <w:t>4.5%。项目绩效目标完成情</w:t>
      </w:r>
      <w:r>
        <w:rPr>
          <w:spacing w:val="-13"/>
        </w:rPr>
        <w:t xml:space="preserve">况：资金共计 </w:t>
      </w:r>
      <w:r>
        <w:t>149.5</w:t>
      </w:r>
      <w:r>
        <w:rPr>
          <w:spacing w:val="-10"/>
        </w:rPr>
        <w:t xml:space="preserve"> 万元，其中文物复仿内容主要包括石质木</w:t>
      </w:r>
    </w:p>
    <w:p>
      <w:pPr>
        <w:spacing w:after="0" w:line="364" w:lineRule="auto"/>
        <w:jc w:val="both"/>
        <w:sectPr>
          <w:pgSz w:w="12240" w:h="15840"/>
          <w:pgMar w:top="1420" w:right="1520" w:bottom="280" w:left="1560" w:header="720" w:footer="720" w:gutter="0"/>
        </w:sectPr>
      </w:pPr>
    </w:p>
    <w:p>
      <w:pPr>
        <w:pStyle w:val="3"/>
        <w:spacing w:before="25"/>
      </w:pPr>
      <w:r>
        <w:rPr>
          <w:spacing w:val="-13"/>
        </w:rPr>
        <w:t xml:space="preserve">质复仿、金属复仿、辽代书画复仿三项。绩效目标设定于 </w:t>
      </w:r>
      <w:r>
        <w:t>2021</w:t>
      </w:r>
    </w:p>
    <w:p>
      <w:pPr>
        <w:pStyle w:val="3"/>
        <w:spacing w:before="214"/>
      </w:pPr>
      <w:r>
        <w:rPr>
          <w:spacing w:val="-41"/>
        </w:rPr>
        <w:t xml:space="preserve">年 </w:t>
      </w:r>
      <w:r>
        <w:t>12</w:t>
      </w:r>
      <w:r>
        <w:rPr>
          <w:spacing w:val="-17"/>
        </w:rPr>
        <w:t xml:space="preserve"> 月底前交付复仿文物 </w:t>
      </w:r>
      <w:r>
        <w:t>33</w:t>
      </w:r>
      <w:r>
        <w:rPr>
          <w:spacing w:val="-10"/>
        </w:rPr>
        <w:t xml:space="preserve"> 件，拟要求在合同履行期限内复</w:t>
      </w:r>
    </w:p>
    <w:p>
      <w:pPr>
        <w:pStyle w:val="3"/>
        <w:spacing w:before="214"/>
      </w:pPr>
      <w:r>
        <w:t>仿文物交付率达到 95%及以上且复仿文物验收合格率达到 95%</w:t>
      </w:r>
    </w:p>
    <w:p>
      <w:pPr>
        <w:pStyle w:val="3"/>
        <w:spacing w:before="214" w:line="364" w:lineRule="auto"/>
        <w:ind w:right="278"/>
      </w:pPr>
      <w:r>
        <w:rPr>
          <w:spacing w:val="-9"/>
        </w:rPr>
        <w:t xml:space="preserve">及以上。目前，于 </w:t>
      </w:r>
      <w:r>
        <w:t>2021</w:t>
      </w:r>
      <w:r>
        <w:rPr>
          <w:spacing w:val="-55"/>
        </w:rPr>
        <w:t xml:space="preserve"> 年 </w:t>
      </w:r>
      <w:r>
        <w:t>12</w:t>
      </w:r>
      <w:r>
        <w:rPr>
          <w:spacing w:val="-55"/>
        </w:rPr>
        <w:t xml:space="preserve"> 月 </w:t>
      </w:r>
      <w:r>
        <w:t>22</w:t>
      </w:r>
      <w:r>
        <w:rPr>
          <w:spacing w:val="-28"/>
        </w:rPr>
        <w:t xml:space="preserve"> 日已交付 </w:t>
      </w:r>
      <w:r>
        <w:t>17</w:t>
      </w:r>
      <w:r>
        <w:rPr>
          <w:spacing w:val="-13"/>
        </w:rPr>
        <w:t xml:space="preserve"> 件复仿文物且</w:t>
      </w:r>
      <w:r>
        <w:rPr>
          <w:spacing w:val="-27"/>
        </w:rPr>
        <w:t xml:space="preserve">交付率为 </w:t>
      </w:r>
      <w:r>
        <w:t>52%，交付的复仿文物</w:t>
      </w:r>
    </w:p>
    <w:p>
      <w:pPr>
        <w:pStyle w:val="3"/>
        <w:spacing w:before="6"/>
        <w:ind w:left="0"/>
        <w:rPr>
          <w:sz w:val="23"/>
        </w:rPr>
      </w:pPr>
    </w:p>
    <w:p>
      <w:pPr>
        <w:pStyle w:val="2"/>
        <w:spacing w:before="1"/>
        <w:ind w:left="880"/>
        <w:rPr>
          <w:rFonts w:hint="eastAsia" w:ascii="仿宋" w:eastAsia="仿宋"/>
        </w:rPr>
      </w:pPr>
      <w:r>
        <w:rPr>
          <w:rFonts w:hint="eastAsia" w:ascii="仿宋" w:eastAsia="仿宋"/>
        </w:rPr>
        <w:t>（三）部门评价项目绩效评价结果。</w:t>
      </w:r>
    </w:p>
    <w:p>
      <w:pPr>
        <w:pStyle w:val="3"/>
        <w:spacing w:before="10"/>
        <w:ind w:left="0"/>
        <w:rPr>
          <w:b/>
          <w:sz w:val="23"/>
        </w:rPr>
      </w:pPr>
    </w:p>
    <w:p>
      <w:pPr>
        <w:pStyle w:val="3"/>
        <w:spacing w:line="364" w:lineRule="auto"/>
        <w:ind w:right="314" w:firstLine="640"/>
      </w:pPr>
      <w:r>
        <w:rPr>
          <w:spacing w:val="-1"/>
        </w:rPr>
        <w:t xml:space="preserve">旅游宣传营销专项资金该项目绩效评价综合得分为 </w:t>
      </w:r>
      <w:r>
        <w:t xml:space="preserve">100 </w:t>
      </w:r>
      <w:r>
        <w:rPr>
          <w:w w:val="95"/>
        </w:rPr>
        <w:t>分，绩效评价结果为</w:t>
      </w:r>
      <w:r>
        <w:rPr>
          <w:rFonts w:ascii="Times New Roman" w:hAnsi="Times New Roman" w:eastAsia="Times New Roman"/>
          <w:w w:val="95"/>
        </w:rPr>
        <w:t>“</w:t>
      </w:r>
      <w:r>
        <w:rPr>
          <w:w w:val="95"/>
        </w:rPr>
        <w:t>优</w:t>
      </w:r>
      <w:r>
        <w:rPr>
          <w:rFonts w:ascii="Times New Roman" w:hAnsi="Times New Roman" w:eastAsia="Times New Roman"/>
          <w:w w:val="95"/>
        </w:rPr>
        <w:t>”</w:t>
      </w:r>
      <w:r>
        <w:rPr>
          <w:w w:val="95"/>
        </w:rPr>
        <w:t xml:space="preserve">。重点项目绩效评价得分情况详见单 </w:t>
      </w:r>
      <w:r>
        <w:t>位具体绩效评价结果。</w:t>
      </w:r>
    </w:p>
    <w:p>
      <w:pPr>
        <w:pStyle w:val="3"/>
        <w:spacing w:before="204" w:line="338" w:lineRule="auto"/>
        <w:ind w:right="117" w:firstLine="600"/>
      </w:pPr>
      <w:r>
        <w:t>1</w:t>
      </w:r>
      <w:r>
        <w:rPr>
          <w:spacing w:val="-11"/>
        </w:rPr>
        <w:t>、项目基本情况：为了集中力量抓好宣传营销。根据大数据分析成果，聚焦京津冀、东北等主要客源市场，强化线上线</w:t>
      </w:r>
      <w:r>
        <w:rPr>
          <w:spacing w:val="-15"/>
          <w:w w:val="95"/>
        </w:rPr>
        <w:t xml:space="preserve">下互动，开展高频次、大规模的宣传推介活动，通过高端策划， </w:t>
      </w:r>
      <w:r>
        <w:rPr>
          <w:spacing w:val="-15"/>
        </w:rPr>
        <w:t>在黄金时段推出最能反映赤峰城市风貌、最能体现赤峰旅游精</w:t>
      </w:r>
      <w:r>
        <w:rPr>
          <w:spacing w:val="-20"/>
          <w:w w:val="95"/>
        </w:rPr>
        <w:t xml:space="preserve">髓和深厚文化底蕴的宣传语，以此全面提升赤峰旅游的知名度、 </w:t>
      </w:r>
      <w:r>
        <w:rPr>
          <w:spacing w:val="-20"/>
        </w:rPr>
        <w:t>美誉度，全面唱响赤峰旅游品牌，高铁旅游时代的到来宣传造势，把“北京后花园”这张赤峰旅游名片擦得更亮。宣传促销采取组合拳的方式，全媒体投入，扩大市场份额，通过一系列</w:t>
      </w:r>
      <w:r>
        <w:rPr>
          <w:spacing w:val="-22"/>
        </w:rPr>
        <w:t>持续的有影响力的节庆活动。</w:t>
      </w:r>
      <w:r>
        <w:t>IP</w:t>
      </w:r>
      <w:r>
        <w:rPr>
          <w:spacing w:val="-12"/>
        </w:rPr>
        <w:t xml:space="preserve"> 持续打造等，提高我市的知名度，美誉度。</w:t>
      </w:r>
    </w:p>
    <w:p>
      <w:pPr>
        <w:spacing w:after="0" w:line="338" w:lineRule="auto"/>
        <w:sectPr>
          <w:pgSz w:w="12240" w:h="15840"/>
          <w:pgMar w:top="1420" w:right="1520" w:bottom="280" w:left="1560" w:header="720" w:footer="720" w:gutter="0"/>
        </w:sectPr>
      </w:pPr>
    </w:p>
    <w:p>
      <w:pPr>
        <w:pStyle w:val="3"/>
        <w:spacing w:before="84" w:line="338" w:lineRule="auto"/>
        <w:ind w:right="119" w:firstLine="600"/>
      </w:pPr>
      <w:r>
        <w:rPr>
          <w:spacing w:val="-3"/>
        </w:rPr>
        <w:t>重点工作包括：</w:t>
      </w:r>
      <w:r>
        <w:rPr>
          <w:spacing w:val="-21"/>
        </w:rPr>
        <w:t>1</w:t>
      </w:r>
      <w:r>
        <w:rPr>
          <w:spacing w:val="-14"/>
        </w:rPr>
        <w:t xml:space="preserve">、全媒体广告投放预算 </w:t>
      </w:r>
      <w:r>
        <w:t>1057.5</w:t>
      </w:r>
      <w:r>
        <w:rPr>
          <w:spacing w:val="-22"/>
        </w:rPr>
        <w:t xml:space="preserve"> 万元 ；</w:t>
      </w:r>
      <w:r>
        <w:rPr>
          <w:spacing w:val="-21"/>
        </w:rPr>
        <w:t>2</w:t>
      </w:r>
      <w:r>
        <w:t>、</w:t>
      </w:r>
      <w:r>
        <w:rPr>
          <w:spacing w:val="8"/>
        </w:rPr>
        <w:t>全域旅游宣传营销及</w:t>
      </w:r>
      <w:r>
        <w:t>IP</w:t>
      </w:r>
      <w:r>
        <w:rPr>
          <w:spacing w:val="-28"/>
        </w:rPr>
        <w:t xml:space="preserve"> 持续打造 </w:t>
      </w:r>
      <w:r>
        <w:t>259.1</w:t>
      </w:r>
      <w:r>
        <w:rPr>
          <w:spacing w:val="-21"/>
        </w:rPr>
        <w:t xml:space="preserve"> 万元；</w:t>
      </w:r>
      <w:r>
        <w:t>3、客源地推广78</w:t>
      </w:r>
      <w:r>
        <w:rPr>
          <w:spacing w:val="-28"/>
        </w:rPr>
        <w:t xml:space="preserve"> 万元；</w:t>
      </w:r>
      <w:r>
        <w:rPr>
          <w:spacing w:val="-27"/>
        </w:rPr>
        <w:t>4</w:t>
      </w:r>
      <w:r>
        <w:rPr>
          <w:spacing w:val="-14"/>
        </w:rPr>
        <w:t xml:space="preserve">、开展有影响力的节庆活动 </w:t>
      </w:r>
      <w:r>
        <w:t>53.6</w:t>
      </w:r>
      <w:r>
        <w:rPr>
          <w:spacing w:val="-32"/>
        </w:rPr>
        <w:t xml:space="preserve"> 万元，总计 </w:t>
      </w:r>
      <w:r>
        <w:t>1448.2 万元。</w:t>
      </w:r>
    </w:p>
    <w:p>
      <w:pPr>
        <w:pStyle w:val="3"/>
        <w:spacing w:before="8"/>
        <w:ind w:left="840"/>
      </w:pPr>
      <w:r>
        <w:t>2、绩效目标设定及指标完成情况。</w:t>
      </w:r>
    </w:p>
    <w:p>
      <w:pPr>
        <w:pStyle w:val="3"/>
        <w:spacing w:before="171" w:line="338" w:lineRule="auto"/>
        <w:ind w:right="278" w:firstLine="600"/>
        <w:jc w:val="both"/>
      </w:pPr>
      <w:r>
        <w:t>按照机项目管理、财务管理有关制度，经过科学研究，设</w:t>
      </w:r>
      <w:r>
        <w:rPr>
          <w:w w:val="95"/>
        </w:rPr>
        <w:t xml:space="preserve">定了年度绩效指标、中长期指标分为产出指标体系、效益指标 体系、项目指标体系几个大的指标体系，下设数量指标、质量 指标、时效指标、成本指标等二级指标，二级指标下设字画的 </w:t>
      </w:r>
      <w:r>
        <w:rPr>
          <w:spacing w:val="-4"/>
        </w:rPr>
        <w:t xml:space="preserve">三级指标若干，并赋予了相应的分值，总分为 </w:t>
      </w:r>
      <w:r>
        <w:t>100</w:t>
      </w:r>
      <w:r>
        <w:rPr>
          <w:spacing w:val="-28"/>
        </w:rPr>
        <w:t xml:space="preserve"> 分。</w:t>
      </w:r>
    </w:p>
    <w:p>
      <w:pPr>
        <w:pStyle w:val="3"/>
        <w:spacing w:before="9"/>
        <w:ind w:left="840"/>
      </w:pPr>
      <w:r>
        <w:t>3、绩效自评工作情况</w:t>
      </w:r>
    </w:p>
    <w:p>
      <w:pPr>
        <w:pStyle w:val="7"/>
        <w:numPr>
          <w:ilvl w:val="0"/>
          <w:numId w:val="7"/>
        </w:numPr>
        <w:tabs>
          <w:tab w:val="left" w:pos="1360"/>
        </w:tabs>
        <w:spacing w:before="171" w:after="0" w:line="338" w:lineRule="auto"/>
        <w:ind w:left="240" w:right="278" w:firstLine="319"/>
        <w:jc w:val="both"/>
        <w:rPr>
          <w:sz w:val="32"/>
        </w:rPr>
      </w:pPr>
      <w:r>
        <w:rPr>
          <w:spacing w:val="-11"/>
          <w:sz w:val="32"/>
        </w:rPr>
        <w:t>绩效自评目的：通过绩效自评，较好的掌握和评估了</w:t>
      </w:r>
      <w:r>
        <w:rPr>
          <w:spacing w:val="-11"/>
          <w:w w:val="95"/>
          <w:sz w:val="32"/>
        </w:rPr>
        <w:t xml:space="preserve">项目的资金进度，使用效益，对项目的跟进和下一步工作起到 </w:t>
      </w:r>
      <w:r>
        <w:rPr>
          <w:spacing w:val="-11"/>
          <w:sz w:val="32"/>
        </w:rPr>
        <w:t>了较好的督查指导作用。</w:t>
      </w:r>
    </w:p>
    <w:p>
      <w:pPr>
        <w:pStyle w:val="7"/>
        <w:numPr>
          <w:ilvl w:val="1"/>
          <w:numId w:val="7"/>
        </w:numPr>
        <w:tabs>
          <w:tab w:val="left" w:pos="1666"/>
        </w:tabs>
        <w:spacing w:before="5" w:after="0" w:line="338" w:lineRule="auto"/>
        <w:ind w:left="240" w:right="119" w:firstLine="600"/>
        <w:jc w:val="left"/>
        <w:rPr>
          <w:sz w:val="32"/>
        </w:rPr>
      </w:pPr>
      <w:r>
        <w:rPr>
          <w:spacing w:val="6"/>
          <w:sz w:val="32"/>
        </w:rPr>
        <w:t>项目资金投入产出情况：该项目总计预算投入资金1448.2</w:t>
      </w:r>
      <w:r>
        <w:rPr>
          <w:spacing w:val="-26"/>
          <w:sz w:val="32"/>
        </w:rPr>
        <w:t xml:space="preserve"> 万元，分为：</w:t>
      </w:r>
      <w:r>
        <w:rPr>
          <w:spacing w:val="-30"/>
          <w:sz w:val="32"/>
        </w:rPr>
        <w:t>1</w:t>
      </w:r>
      <w:r>
        <w:rPr>
          <w:spacing w:val="-15"/>
          <w:sz w:val="32"/>
        </w:rPr>
        <w:t xml:space="preserve">、全媒体广告投放预算 </w:t>
      </w:r>
      <w:r>
        <w:rPr>
          <w:sz w:val="32"/>
        </w:rPr>
        <w:t>1057.5</w:t>
      </w:r>
      <w:r>
        <w:rPr>
          <w:spacing w:val="-25"/>
          <w:sz w:val="32"/>
        </w:rPr>
        <w:t xml:space="preserve"> 万元 ；</w:t>
      </w:r>
      <w:r>
        <w:rPr>
          <w:spacing w:val="-30"/>
          <w:sz w:val="32"/>
        </w:rPr>
        <w:t>2</w:t>
      </w:r>
      <w:r>
        <w:rPr>
          <w:sz w:val="32"/>
        </w:rPr>
        <w:t>、</w:t>
      </w:r>
      <w:r>
        <w:rPr>
          <w:spacing w:val="8"/>
          <w:sz w:val="32"/>
        </w:rPr>
        <w:t>全域旅游宣传营销及</w:t>
      </w:r>
      <w:r>
        <w:rPr>
          <w:sz w:val="32"/>
        </w:rPr>
        <w:t>IP</w:t>
      </w:r>
      <w:r>
        <w:rPr>
          <w:spacing w:val="-29"/>
          <w:sz w:val="32"/>
        </w:rPr>
        <w:t xml:space="preserve"> 持续打造 </w:t>
      </w:r>
      <w:r>
        <w:rPr>
          <w:sz w:val="32"/>
        </w:rPr>
        <w:t>259.1</w:t>
      </w:r>
      <w:r>
        <w:rPr>
          <w:spacing w:val="-32"/>
          <w:sz w:val="32"/>
        </w:rPr>
        <w:t xml:space="preserve"> 万元；</w:t>
      </w:r>
      <w:r>
        <w:rPr>
          <w:spacing w:val="-39"/>
          <w:sz w:val="32"/>
        </w:rPr>
        <w:t>3</w:t>
      </w:r>
      <w:r>
        <w:rPr>
          <w:spacing w:val="-13"/>
          <w:sz w:val="32"/>
        </w:rPr>
        <w:t>、客源地推广、</w:t>
      </w:r>
      <w:r>
        <w:rPr>
          <w:spacing w:val="-27"/>
          <w:sz w:val="32"/>
        </w:rPr>
        <w:t xml:space="preserve">媒体宣传 </w:t>
      </w:r>
      <w:r>
        <w:rPr>
          <w:sz w:val="32"/>
        </w:rPr>
        <w:t>78</w:t>
      </w:r>
      <w:r>
        <w:rPr>
          <w:spacing w:val="-28"/>
          <w:sz w:val="32"/>
        </w:rPr>
        <w:t xml:space="preserve"> 万元；</w:t>
      </w:r>
      <w:r>
        <w:rPr>
          <w:spacing w:val="-26"/>
          <w:sz w:val="32"/>
        </w:rPr>
        <w:t>4</w:t>
      </w:r>
      <w:r>
        <w:rPr>
          <w:spacing w:val="-14"/>
          <w:sz w:val="32"/>
        </w:rPr>
        <w:t xml:space="preserve">、开展有影响力的节庆活动 </w:t>
      </w:r>
      <w:r>
        <w:rPr>
          <w:sz w:val="32"/>
        </w:rPr>
        <w:t>53.6</w:t>
      </w:r>
      <w:r>
        <w:rPr>
          <w:spacing w:val="-28"/>
          <w:sz w:val="32"/>
        </w:rPr>
        <w:t xml:space="preserve"> 万元，截</w:t>
      </w:r>
    </w:p>
    <w:p>
      <w:pPr>
        <w:pStyle w:val="3"/>
        <w:spacing w:before="6"/>
      </w:pPr>
      <w:r>
        <w:rPr>
          <w:spacing w:val="-40"/>
        </w:rPr>
        <w:t xml:space="preserve">至 </w:t>
      </w:r>
      <w:r>
        <w:t>2021</w:t>
      </w:r>
      <w:r>
        <w:rPr>
          <w:spacing w:val="-54"/>
        </w:rPr>
        <w:t xml:space="preserve"> 年 </w:t>
      </w:r>
      <w:r>
        <w:t>12</w:t>
      </w:r>
      <w:r>
        <w:rPr>
          <w:spacing w:val="-12"/>
        </w:rPr>
        <w:t xml:space="preserve"> 月底执行资金 </w:t>
      </w:r>
      <w:r>
        <w:t>942.92</w:t>
      </w:r>
      <w:r>
        <w:rPr>
          <w:spacing w:val="-21"/>
        </w:rPr>
        <w:t xml:space="preserve"> 万元。</w:t>
      </w:r>
    </w:p>
    <w:p>
      <w:pPr>
        <w:pStyle w:val="7"/>
        <w:numPr>
          <w:ilvl w:val="1"/>
          <w:numId w:val="7"/>
        </w:numPr>
        <w:tabs>
          <w:tab w:val="left" w:pos="1640"/>
        </w:tabs>
        <w:spacing w:before="171" w:after="0" w:line="338" w:lineRule="auto"/>
        <w:ind w:left="240" w:right="119" w:firstLine="600"/>
        <w:jc w:val="left"/>
        <w:rPr>
          <w:sz w:val="32"/>
        </w:rPr>
      </w:pPr>
      <w:r>
        <w:rPr>
          <w:spacing w:val="-8"/>
          <w:sz w:val="32"/>
        </w:rPr>
        <w:t>项目资金管理情况：该项目严格执行《中华</w:t>
      </w:r>
      <w:r>
        <w:rPr>
          <w:rFonts w:hint="eastAsia"/>
          <w:spacing w:val="-8"/>
          <w:sz w:val="32"/>
          <w:lang w:eastAsia="zh-CN"/>
        </w:rPr>
        <w:t>人民</w:t>
      </w:r>
      <w:r>
        <w:rPr>
          <w:spacing w:val="-8"/>
          <w:sz w:val="32"/>
        </w:rPr>
        <w:t>共和</w:t>
      </w:r>
      <w:r>
        <w:rPr>
          <w:spacing w:val="-16"/>
          <w:w w:val="95"/>
          <w:sz w:val="32"/>
        </w:rPr>
        <w:t xml:space="preserve">国预算法实施条例》、按照机关预算管理制度、财务管理制度、 </w:t>
      </w:r>
      <w:r>
        <w:rPr>
          <w:spacing w:val="-16"/>
          <w:sz w:val="32"/>
        </w:rPr>
        <w:t>项目管理制度，科学进行预算制定、严格评审招投标各环节和</w:t>
      </w:r>
    </w:p>
    <w:p>
      <w:pPr>
        <w:spacing w:after="0" w:line="338" w:lineRule="auto"/>
        <w:jc w:val="left"/>
        <w:rPr>
          <w:sz w:val="32"/>
        </w:rPr>
        <w:sectPr>
          <w:pgSz w:w="12240" w:h="15840"/>
          <w:pgMar w:top="1500" w:right="1520" w:bottom="280" w:left="1560" w:header="720" w:footer="720" w:gutter="0"/>
        </w:sectPr>
      </w:pPr>
    </w:p>
    <w:p>
      <w:pPr>
        <w:pStyle w:val="3"/>
        <w:spacing w:before="84" w:line="340" w:lineRule="auto"/>
        <w:ind w:right="278"/>
      </w:pPr>
      <w:r>
        <w:rPr>
          <w:w w:val="95"/>
        </w:rPr>
        <w:t xml:space="preserve">绩效考评，资金实行专款管理，实时监督，项目前、项目中和 </w:t>
      </w:r>
      <w:r>
        <w:t>项目后都进行绩效评审和评估工作。</w:t>
      </w:r>
    </w:p>
    <w:p>
      <w:pPr>
        <w:pStyle w:val="3"/>
        <w:spacing w:line="407" w:lineRule="exact"/>
        <w:ind w:left="840"/>
      </w:pPr>
      <w:r>
        <w:t>4、项目绩效情况</w:t>
      </w:r>
    </w:p>
    <w:p>
      <w:pPr>
        <w:pStyle w:val="3"/>
        <w:spacing w:before="168"/>
        <w:ind w:left="0" w:right="278"/>
        <w:jc w:val="right"/>
      </w:pPr>
      <w:r>
        <w:rPr>
          <w:spacing w:val="-18"/>
        </w:rPr>
        <w:t>（1）</w:t>
      </w:r>
      <w:r>
        <w:rPr>
          <w:spacing w:val="-11"/>
        </w:rPr>
        <w:t xml:space="preserve">产出指标完成情况：产出指标设定分值 </w:t>
      </w:r>
      <w:r>
        <w:t>50</w:t>
      </w:r>
      <w:r>
        <w:rPr>
          <w:spacing w:val="-25"/>
        </w:rPr>
        <w:t xml:space="preserve"> 分，自评得</w:t>
      </w:r>
    </w:p>
    <w:p>
      <w:pPr>
        <w:pStyle w:val="3"/>
        <w:spacing w:before="171"/>
        <w:ind w:left="0" w:right="278"/>
        <w:jc w:val="right"/>
      </w:pPr>
      <w:r>
        <w:rPr>
          <w:spacing w:val="-41"/>
        </w:rPr>
        <w:t xml:space="preserve">分 </w:t>
      </w:r>
      <w:r>
        <w:t>48</w:t>
      </w:r>
      <w:r>
        <w:rPr>
          <w:spacing w:val="-18"/>
        </w:rPr>
        <w:t xml:space="preserve"> 分，其中质量指标中文化旅游策划规划质量减去 </w:t>
      </w:r>
      <w:r>
        <w:t>1</w:t>
      </w:r>
      <w:r>
        <w:rPr>
          <w:spacing w:val="-41"/>
        </w:rPr>
        <w:t xml:space="preserve"> 分，有</w:t>
      </w:r>
    </w:p>
    <w:p>
      <w:pPr>
        <w:pStyle w:val="3"/>
        <w:spacing w:before="171" w:line="338" w:lineRule="auto"/>
        <w:ind w:right="280"/>
      </w:pPr>
      <w:r>
        <w:rPr>
          <w:spacing w:val="-5"/>
        </w:rPr>
        <w:t xml:space="preserve">待进一步提升，活动项目完成实效率扣掉 </w:t>
      </w:r>
      <w:r>
        <w:t>1</w:t>
      </w:r>
      <w:r>
        <w:rPr>
          <w:spacing w:val="-11"/>
        </w:rPr>
        <w:t xml:space="preserve"> 分，因受到疫情影响，部分活动有推迟和延期现象。</w:t>
      </w:r>
    </w:p>
    <w:p>
      <w:pPr>
        <w:pStyle w:val="7"/>
        <w:numPr>
          <w:ilvl w:val="0"/>
          <w:numId w:val="7"/>
        </w:numPr>
        <w:tabs>
          <w:tab w:val="left" w:pos="800"/>
        </w:tabs>
        <w:spacing w:before="3" w:after="0" w:line="240" w:lineRule="auto"/>
        <w:ind w:left="1359" w:right="280" w:hanging="1360"/>
        <w:jc w:val="right"/>
        <w:rPr>
          <w:sz w:val="32"/>
        </w:rPr>
      </w:pPr>
      <w:r>
        <w:rPr>
          <w:spacing w:val="-4"/>
          <w:sz w:val="32"/>
        </w:rPr>
        <w:t xml:space="preserve">效益指标完成情况。效益指标总计设定分值为 </w:t>
      </w:r>
      <w:r>
        <w:rPr>
          <w:sz w:val="32"/>
        </w:rPr>
        <w:t>30</w:t>
      </w:r>
      <w:r>
        <w:rPr>
          <w:spacing w:val="-29"/>
          <w:sz w:val="32"/>
        </w:rPr>
        <w:t xml:space="preserve"> 分，</w:t>
      </w:r>
    </w:p>
    <w:p>
      <w:pPr>
        <w:pStyle w:val="3"/>
        <w:spacing w:before="171"/>
        <w:ind w:left="0" w:right="280"/>
        <w:jc w:val="right"/>
      </w:pPr>
      <w:r>
        <w:rPr>
          <w:spacing w:val="-17"/>
        </w:rPr>
        <w:t xml:space="preserve">自评得分 </w:t>
      </w:r>
      <w:r>
        <w:t>29</w:t>
      </w:r>
      <w:r>
        <w:rPr>
          <w:spacing w:val="-17"/>
        </w:rPr>
        <w:t xml:space="preserve"> 分。其中经济效益指标中设定的指标值对外宣传服</w:t>
      </w:r>
    </w:p>
    <w:p>
      <w:pPr>
        <w:pStyle w:val="3"/>
        <w:spacing w:before="168"/>
        <w:jc w:val="both"/>
      </w:pPr>
      <w:r>
        <w:t>务水平有进一步提升空间扣掉 1 分。</w:t>
      </w:r>
    </w:p>
    <w:p>
      <w:pPr>
        <w:pStyle w:val="7"/>
        <w:numPr>
          <w:ilvl w:val="0"/>
          <w:numId w:val="7"/>
        </w:numPr>
        <w:tabs>
          <w:tab w:val="left" w:pos="1360"/>
        </w:tabs>
        <w:spacing w:before="171" w:after="0" w:line="340" w:lineRule="auto"/>
        <w:ind w:left="240" w:right="278" w:firstLine="319"/>
        <w:jc w:val="both"/>
        <w:rPr>
          <w:sz w:val="32"/>
        </w:rPr>
      </w:pPr>
      <w:r>
        <w:rPr>
          <w:spacing w:val="-9"/>
          <w:sz w:val="32"/>
        </w:rPr>
        <w:t xml:space="preserve">项目执行情况。总分 </w:t>
      </w:r>
      <w:r>
        <w:rPr>
          <w:sz w:val="32"/>
        </w:rPr>
        <w:t>10</w:t>
      </w:r>
      <w:r>
        <w:rPr>
          <w:spacing w:val="-10"/>
          <w:sz w:val="32"/>
        </w:rPr>
        <w:t xml:space="preserve"> 分，因有部分项目是跨年度项</w:t>
      </w:r>
      <w:r>
        <w:rPr>
          <w:spacing w:val="-21"/>
          <w:sz w:val="32"/>
        </w:rPr>
        <w:t xml:space="preserve">目，执行率为 </w:t>
      </w:r>
      <w:r>
        <w:rPr>
          <w:sz w:val="32"/>
        </w:rPr>
        <w:t>60</w:t>
      </w:r>
      <w:r>
        <w:rPr>
          <w:spacing w:val="-16"/>
          <w:sz w:val="32"/>
        </w:rPr>
        <w:t xml:space="preserve">%，扣掉 </w:t>
      </w:r>
      <w:r>
        <w:rPr>
          <w:sz w:val="32"/>
        </w:rPr>
        <w:t>4</w:t>
      </w:r>
      <w:r>
        <w:rPr>
          <w:spacing w:val="-27"/>
          <w:sz w:val="32"/>
        </w:rPr>
        <w:t xml:space="preserve"> 分。</w:t>
      </w:r>
    </w:p>
    <w:p>
      <w:pPr>
        <w:pStyle w:val="7"/>
        <w:numPr>
          <w:ilvl w:val="0"/>
          <w:numId w:val="7"/>
        </w:numPr>
        <w:tabs>
          <w:tab w:val="left" w:pos="1360"/>
        </w:tabs>
        <w:spacing w:before="0" w:after="0" w:line="340" w:lineRule="auto"/>
        <w:ind w:left="720" w:right="2519" w:hanging="161"/>
        <w:jc w:val="both"/>
        <w:rPr>
          <w:sz w:val="32"/>
        </w:rPr>
      </w:pPr>
      <w:r>
        <w:rPr>
          <w:spacing w:val="-6"/>
          <w:sz w:val="32"/>
        </w:rPr>
        <w:t xml:space="preserve">自评得分情况。自评总计得分 </w:t>
      </w:r>
      <w:r>
        <w:rPr>
          <w:sz w:val="32"/>
        </w:rPr>
        <w:t>93</w:t>
      </w:r>
      <w:r>
        <w:rPr>
          <w:spacing w:val="-28"/>
          <w:sz w:val="32"/>
        </w:rPr>
        <w:t xml:space="preserve"> 分。5、存在问题</w:t>
      </w:r>
    </w:p>
    <w:p>
      <w:pPr>
        <w:pStyle w:val="7"/>
        <w:numPr>
          <w:ilvl w:val="0"/>
          <w:numId w:val="8"/>
        </w:numPr>
        <w:tabs>
          <w:tab w:val="left" w:pos="1520"/>
        </w:tabs>
        <w:spacing w:before="0" w:after="0" w:line="338" w:lineRule="auto"/>
        <w:ind w:left="240" w:right="278" w:firstLine="480"/>
        <w:jc w:val="both"/>
        <w:rPr>
          <w:sz w:val="32"/>
        </w:rPr>
      </w:pPr>
      <w:r>
        <w:rPr>
          <w:w w:val="95"/>
          <w:sz w:val="32"/>
        </w:rPr>
        <w:t xml:space="preserve">项目立项、实施存在问题：项目立项实施过程的进度 有待于进一步提高，争取年末立项、年初评审招标、年度内完 </w:t>
      </w:r>
      <w:r>
        <w:rPr>
          <w:sz w:val="32"/>
        </w:rPr>
        <w:t>成，加快资金的使用进度和项目的开展进度。</w:t>
      </w:r>
    </w:p>
    <w:p>
      <w:pPr>
        <w:pStyle w:val="7"/>
        <w:numPr>
          <w:ilvl w:val="0"/>
          <w:numId w:val="8"/>
        </w:numPr>
        <w:tabs>
          <w:tab w:val="left" w:pos="1520"/>
        </w:tabs>
        <w:spacing w:before="0" w:after="0" w:line="338" w:lineRule="auto"/>
        <w:ind w:left="240" w:right="278" w:firstLine="480"/>
        <w:jc w:val="left"/>
        <w:rPr>
          <w:sz w:val="32"/>
        </w:rPr>
      </w:pPr>
      <w:r>
        <w:rPr>
          <w:w w:val="95"/>
          <w:sz w:val="32"/>
        </w:rPr>
        <w:t xml:space="preserve">资金管理使用存在问题：组要进一步规范资金管理使 </w:t>
      </w:r>
      <w:r>
        <w:rPr>
          <w:sz w:val="32"/>
        </w:rPr>
        <w:t>用，做到节约、科学合理，监管到位、评估到位。</w:t>
      </w:r>
    </w:p>
    <w:p>
      <w:pPr>
        <w:pStyle w:val="3"/>
        <w:spacing w:before="1"/>
        <w:ind w:left="880"/>
      </w:pPr>
      <w:r>
        <w:t>五、其他需要说明的问题</w:t>
      </w:r>
    </w:p>
    <w:p>
      <w:pPr>
        <w:spacing w:after="0"/>
        <w:sectPr>
          <w:pgSz w:w="12240" w:h="15840"/>
          <w:pgMar w:top="1500" w:right="1520" w:bottom="280" w:left="1560" w:header="720" w:footer="720" w:gutter="0"/>
        </w:sectPr>
      </w:pPr>
    </w:p>
    <w:p>
      <w:pPr>
        <w:pStyle w:val="3"/>
        <w:spacing w:before="84" w:line="340" w:lineRule="auto"/>
        <w:ind w:right="278" w:firstLine="640"/>
        <w:jc w:val="both"/>
      </w:pPr>
      <w:r>
        <w:rPr>
          <w:w w:val="95"/>
        </w:rPr>
        <w:t xml:space="preserve">后续工作计划。下一步将进一步制订科学合理的工作计划 和资金使用计划，科学制订绩效目标和考核目标，实时跟踪， </w:t>
      </w:r>
      <w:r>
        <w:t>发展问题及时纠正，发挥资金使用的最大效益。</w:t>
      </w:r>
    </w:p>
    <w:p>
      <w:pPr>
        <w:pStyle w:val="2"/>
        <w:spacing w:before="118"/>
        <w:ind w:left="3499"/>
        <w:jc w:val="both"/>
        <w:rPr>
          <w:rFonts w:hint="eastAsia" w:ascii="仿宋" w:eastAsia="仿宋"/>
        </w:rPr>
      </w:pPr>
      <w:r>
        <w:rPr>
          <w:rFonts w:hint="eastAsia" w:ascii="仿宋" w:eastAsia="仿宋"/>
        </w:rPr>
        <w:t>第三部分 名词解释</w:t>
      </w:r>
    </w:p>
    <w:p>
      <w:pPr>
        <w:pStyle w:val="3"/>
        <w:spacing w:before="11"/>
        <w:ind w:left="0"/>
        <w:rPr>
          <w:b/>
          <w:sz w:val="28"/>
        </w:rPr>
      </w:pPr>
    </w:p>
    <w:p>
      <w:pPr>
        <w:pStyle w:val="3"/>
        <w:spacing w:line="338" w:lineRule="auto"/>
        <w:ind w:right="278" w:firstLine="600"/>
        <w:jc w:val="both"/>
      </w:pPr>
      <w:r>
        <w:t>（一）财政拨款收入：指本年度从本级财政部门取得的财</w:t>
      </w:r>
      <w:r>
        <w:rPr>
          <w:w w:val="95"/>
        </w:rPr>
        <w:t xml:space="preserve">政拨款，包括一般公共预算财政拨款、政府性基金预算财政拨 </w:t>
      </w:r>
      <w:r>
        <w:t>款和国有资本经营预算财政拨款。</w:t>
      </w:r>
    </w:p>
    <w:p>
      <w:pPr>
        <w:pStyle w:val="3"/>
        <w:spacing w:before="205" w:line="338" w:lineRule="auto"/>
        <w:ind w:right="278" w:firstLine="600"/>
        <w:jc w:val="both"/>
      </w:pPr>
      <w:r>
        <w:t>（二）事业收入：指事业单位开展专业业务活动及其辅助</w:t>
      </w:r>
      <w:r>
        <w:rPr>
          <w:w w:val="95"/>
        </w:rPr>
        <w:t xml:space="preserve">活动取得的收入；事业单位收到的财政专户实际核拨的教育收 </w:t>
      </w:r>
      <w:r>
        <w:t>费等资金。</w:t>
      </w:r>
    </w:p>
    <w:p>
      <w:pPr>
        <w:pStyle w:val="3"/>
        <w:spacing w:before="205" w:line="340" w:lineRule="auto"/>
        <w:ind w:right="278" w:firstLine="600"/>
      </w:pPr>
      <w:r>
        <w:t>（三）经营收入：指事业单位在专业业务活动及其辅助活动之外开展非独立核算经营活动取得的收入。</w:t>
      </w:r>
    </w:p>
    <w:p>
      <w:pPr>
        <w:pStyle w:val="3"/>
        <w:spacing w:before="197" w:line="340" w:lineRule="auto"/>
        <w:ind w:right="278" w:firstLine="600"/>
        <w:jc w:val="both"/>
      </w:pPr>
      <w:r>
        <w:t>（四）其他收入：指单位取得的除上述收入以外的各项收</w:t>
      </w:r>
      <w:r>
        <w:rPr>
          <w:w w:val="95"/>
        </w:rPr>
        <w:t xml:space="preserve">入，包括未纳入财政预算的投资收益、银行存款利息收入、租 金收入、捐赠收入、事业单位固定资产出租收入等。各单位从 本级财政部门以外的同级单位取得的经费、从非本级财政部门 </w:t>
      </w:r>
      <w:r>
        <w:t>取得的经费，以及行政单位收到的财政专户管理资金。</w:t>
      </w:r>
    </w:p>
    <w:p>
      <w:pPr>
        <w:pStyle w:val="3"/>
        <w:spacing w:before="189" w:line="338" w:lineRule="auto"/>
        <w:ind w:right="278" w:firstLine="600"/>
      </w:pPr>
      <w:r>
        <w:t>（五）使用非财政拨款结余：指事业单位使用以前年度积累的非财政拨款结余弥补当年收支差额的金额。</w:t>
      </w:r>
    </w:p>
    <w:p>
      <w:pPr>
        <w:spacing w:after="0" w:line="338" w:lineRule="auto"/>
        <w:sectPr>
          <w:pgSz w:w="12240" w:h="15840"/>
          <w:pgMar w:top="1500" w:right="1520" w:bottom="280" w:left="1560" w:header="720" w:footer="720" w:gutter="0"/>
        </w:sectPr>
      </w:pPr>
    </w:p>
    <w:p>
      <w:pPr>
        <w:pStyle w:val="3"/>
        <w:spacing w:before="108" w:line="340" w:lineRule="auto"/>
        <w:ind w:right="278" w:firstLine="600"/>
      </w:pPr>
      <w:r>
        <w:t>（六）年初结转和结余：指以前年度支出预算因客观条件</w:t>
      </w:r>
      <w:r>
        <w:rPr>
          <w:w w:val="95"/>
        </w:rPr>
        <w:t>变化未执行完毕、结转到本年度按有关规定继续使用的资金。</w:t>
      </w:r>
    </w:p>
    <w:p>
      <w:pPr>
        <w:pStyle w:val="3"/>
        <w:spacing w:before="196" w:line="338" w:lineRule="auto"/>
        <w:ind w:right="278" w:firstLine="600"/>
        <w:jc w:val="both"/>
      </w:pPr>
      <w:r>
        <w:t>（七）结余分配：指事业单位按照会计制度规定缴纳的所</w:t>
      </w:r>
      <w:r>
        <w:rPr>
          <w:w w:val="95"/>
        </w:rPr>
        <w:t xml:space="preserve">得税以及从非财政拨款结余中提取的职工福利基金、事业基金 </w:t>
      </w:r>
      <w:r>
        <w:t>等。</w:t>
      </w:r>
    </w:p>
    <w:p>
      <w:pPr>
        <w:pStyle w:val="3"/>
        <w:spacing w:before="205" w:line="338" w:lineRule="auto"/>
        <w:ind w:right="278" w:firstLine="600"/>
        <w:jc w:val="both"/>
      </w:pPr>
      <w:r>
        <w:t>（八）年末结转和结余：指单位本年度或以前年度预算安</w:t>
      </w:r>
      <w:r>
        <w:rPr>
          <w:w w:val="95"/>
        </w:rPr>
        <w:t xml:space="preserve">排、因客观条件发生变化未全部执行或未执行，结转到以后年 </w:t>
      </w:r>
      <w:r>
        <w:t>度继续使用的资金，或项目已完成等产生的结余资金。</w:t>
      </w:r>
    </w:p>
    <w:p>
      <w:pPr>
        <w:pStyle w:val="3"/>
        <w:spacing w:before="205" w:line="340" w:lineRule="auto"/>
        <w:ind w:right="278" w:firstLine="600"/>
        <w:jc w:val="both"/>
      </w:pPr>
      <w:r>
        <w:t>（九）基本支出：指为保障机构正常运转、完成日常工作</w:t>
      </w:r>
      <w:r>
        <w:rPr>
          <w:w w:val="95"/>
        </w:rPr>
        <w:t xml:space="preserve">任务而发生的人员经费和公用经费。其中：人员经费指政府收 </w:t>
      </w:r>
      <w:r>
        <w:rPr>
          <w:spacing w:val="20"/>
          <w:w w:val="95"/>
        </w:rPr>
        <w:t>支分类经济科目中的</w:t>
      </w:r>
      <w:r>
        <w:rPr>
          <w:rFonts w:ascii="Times New Roman" w:hAnsi="Times New Roman" w:eastAsia="Times New Roman"/>
          <w:spacing w:val="21"/>
          <w:w w:val="95"/>
        </w:rPr>
        <w:t>“</w:t>
      </w:r>
      <w:r>
        <w:rPr>
          <w:spacing w:val="20"/>
          <w:w w:val="95"/>
        </w:rPr>
        <w:t>工资福利支出</w:t>
      </w:r>
      <w:r>
        <w:rPr>
          <w:rFonts w:ascii="Times New Roman" w:hAnsi="Times New Roman" w:eastAsia="Times New Roman"/>
          <w:spacing w:val="21"/>
          <w:w w:val="95"/>
        </w:rPr>
        <w:t>”</w:t>
      </w:r>
      <w:r>
        <w:rPr>
          <w:spacing w:val="19"/>
          <w:w w:val="95"/>
        </w:rPr>
        <w:t>和</w:t>
      </w:r>
      <w:r>
        <w:rPr>
          <w:rFonts w:ascii="Times New Roman" w:hAnsi="Times New Roman" w:eastAsia="Times New Roman"/>
          <w:spacing w:val="21"/>
          <w:w w:val="95"/>
        </w:rPr>
        <w:t>“</w:t>
      </w:r>
      <w:r>
        <w:rPr>
          <w:spacing w:val="17"/>
          <w:w w:val="95"/>
        </w:rPr>
        <w:t xml:space="preserve">对个人和家庭的补 </w:t>
      </w:r>
      <w:r>
        <w:rPr>
          <w:spacing w:val="7"/>
          <w:w w:val="95"/>
        </w:rPr>
        <w:t>助</w:t>
      </w:r>
      <w:r>
        <w:rPr>
          <w:rFonts w:ascii="Times New Roman" w:hAnsi="Times New Roman" w:eastAsia="Times New Roman"/>
          <w:spacing w:val="9"/>
          <w:w w:val="95"/>
        </w:rPr>
        <w:t>”</w:t>
      </w:r>
      <w:r>
        <w:rPr>
          <w:spacing w:val="7"/>
          <w:w w:val="95"/>
        </w:rPr>
        <w:t>；公用经费指政府收支分类经济科目中除</w:t>
      </w:r>
      <w:r>
        <w:rPr>
          <w:rFonts w:ascii="Times New Roman" w:hAnsi="Times New Roman" w:eastAsia="Times New Roman"/>
          <w:spacing w:val="9"/>
          <w:w w:val="95"/>
        </w:rPr>
        <w:t>“</w:t>
      </w:r>
      <w:r>
        <w:rPr>
          <w:spacing w:val="7"/>
          <w:w w:val="95"/>
        </w:rPr>
        <w:t>工资福利支出</w:t>
      </w:r>
      <w:r>
        <w:rPr>
          <w:rFonts w:ascii="Times New Roman" w:hAnsi="Times New Roman" w:eastAsia="Times New Roman"/>
          <w:w w:val="95"/>
        </w:rPr>
        <w:t xml:space="preserve">”  </w:t>
      </w:r>
      <w:r>
        <w:t>和</w:t>
      </w:r>
      <w:r>
        <w:rPr>
          <w:rFonts w:ascii="Times New Roman" w:hAnsi="Times New Roman" w:eastAsia="Times New Roman"/>
        </w:rPr>
        <w:t>“</w:t>
      </w:r>
      <w:r>
        <w:t>对个人和家庭的补助</w:t>
      </w:r>
      <w:r>
        <w:rPr>
          <w:rFonts w:ascii="Times New Roman" w:hAnsi="Times New Roman" w:eastAsia="Times New Roman"/>
        </w:rPr>
        <w:t>”</w:t>
      </w:r>
      <w:r>
        <w:t>外的其他支出。</w:t>
      </w:r>
    </w:p>
    <w:p>
      <w:pPr>
        <w:pStyle w:val="3"/>
        <w:spacing w:before="190" w:line="340" w:lineRule="auto"/>
        <w:ind w:right="278" w:firstLine="600"/>
      </w:pPr>
      <w:r>
        <w:t>（十）项目支出：指在基本支出之外为完成特定任务和事业发展目标所发生的支出。</w:t>
      </w:r>
    </w:p>
    <w:p>
      <w:pPr>
        <w:pStyle w:val="3"/>
        <w:spacing w:before="196" w:line="338" w:lineRule="auto"/>
        <w:ind w:right="278" w:firstLine="600"/>
      </w:pPr>
      <w:r>
        <w:t>（十一）经营支出：指事业单位在专业业务活动及其辅助活动之外开展非独立核算经营活动发生的支出。</w:t>
      </w:r>
    </w:p>
    <w:p>
      <w:pPr>
        <w:pStyle w:val="3"/>
        <w:spacing w:before="202" w:line="340" w:lineRule="auto"/>
        <w:ind w:right="117" w:firstLine="600"/>
      </w:pPr>
      <w:r>
        <w:t>（十二</w:t>
      </w:r>
      <w:r>
        <w:rPr>
          <w:spacing w:val="-14"/>
        </w:rPr>
        <w:t>）</w:t>
      </w:r>
      <w:r>
        <w:rPr>
          <w:rFonts w:ascii="Times New Roman" w:hAnsi="Times New Roman" w:eastAsia="Times New Roman"/>
          <w:spacing w:val="-14"/>
        </w:rPr>
        <w:t>“</w:t>
      </w:r>
      <w:r>
        <w:t>三公</w:t>
      </w:r>
      <w:r>
        <w:rPr>
          <w:rFonts w:ascii="Times New Roman" w:hAnsi="Times New Roman" w:eastAsia="Times New Roman"/>
        </w:rPr>
        <w:t>”</w:t>
      </w:r>
      <w:r>
        <w:rPr>
          <w:spacing w:val="-8"/>
        </w:rPr>
        <w:t>经费：指用财政拨款安排的因公出国</w:t>
      </w:r>
      <w:r>
        <w:t>（境） 费、公务用车购置及运行维护费、公务接待费。其中，因公出国（境）费反映单位公务出国（境）的国际旅费、国外城市间</w:t>
      </w:r>
    </w:p>
    <w:p>
      <w:pPr>
        <w:spacing w:after="0" w:line="340" w:lineRule="auto"/>
        <w:sectPr>
          <w:pgSz w:w="12240" w:h="15840"/>
          <w:pgMar w:top="1500" w:right="1520" w:bottom="280" w:left="1560" w:header="720" w:footer="720" w:gutter="0"/>
        </w:sectPr>
      </w:pPr>
    </w:p>
    <w:p>
      <w:pPr>
        <w:pStyle w:val="3"/>
        <w:spacing w:before="108" w:line="340" w:lineRule="auto"/>
        <w:ind w:right="119"/>
      </w:pPr>
      <w:r>
        <w:t>交通费、住宿费、伙食费、培训费、公杂费等支出；公务用车购置费反映单位公务用车购置支出（含车辆购置税）；公务用</w:t>
      </w:r>
      <w:r>
        <w:rPr>
          <w:spacing w:val="-7"/>
          <w:w w:val="95"/>
        </w:rPr>
        <w:t xml:space="preserve">车运行维护费反映单位按规定保留的公务用车燃料费、维修费、 </w:t>
      </w:r>
      <w:r>
        <w:rPr>
          <w:spacing w:val="-7"/>
        </w:rPr>
        <w:t>过路过桥费、保险费、安全奖励费用等支出；公务接待费反映单位按规定开支的各类公务接待（含外宾接待）支出。</w:t>
      </w:r>
    </w:p>
    <w:p>
      <w:pPr>
        <w:pStyle w:val="3"/>
        <w:spacing w:before="190" w:line="338" w:lineRule="auto"/>
        <w:ind w:right="278" w:firstLine="600"/>
        <w:jc w:val="both"/>
      </w:pPr>
      <w:r>
        <w:t>（十三）机关运行经费：指行政单位和参照公务员法管理</w:t>
      </w:r>
      <w:r>
        <w:rPr>
          <w:w w:val="95"/>
        </w:rPr>
        <w:t xml:space="preserve">的事业单位使用一般公共预算财政拨款安排的基本支出中的日 常公用经费支出。未包含行政单位或参照公务员法管理事业单 位的部门，参照此口径公开本部门的日常公用经费，并与预算 </w:t>
      </w:r>
      <w:r>
        <w:t>公开保持一致。</w:t>
      </w:r>
    </w:p>
    <w:p>
      <w:pPr>
        <w:pStyle w:val="3"/>
        <w:spacing w:before="208" w:line="340" w:lineRule="auto"/>
        <w:ind w:right="278" w:firstLine="600"/>
        <w:jc w:val="both"/>
      </w:pPr>
      <w:r>
        <w:t>（十四）工资福利支出（支出经济分类科目类级）：反映</w:t>
      </w:r>
      <w:r>
        <w:rPr>
          <w:w w:val="95"/>
        </w:rPr>
        <w:t xml:space="preserve">单位开支的在职职工和编制外长期聘用人员的各类劳动报酬， </w:t>
      </w:r>
      <w:r>
        <w:t>以及为上述人员缴纳的各项社会保险费等。</w:t>
      </w:r>
    </w:p>
    <w:p>
      <w:pPr>
        <w:pStyle w:val="3"/>
        <w:spacing w:before="195" w:line="338" w:lineRule="auto"/>
        <w:ind w:right="278" w:firstLine="600"/>
        <w:jc w:val="both"/>
      </w:pPr>
      <w:r>
        <w:t>（十五）商品和服务支出（支出经济分类科目类级）：反</w:t>
      </w:r>
      <w:r>
        <w:rPr>
          <w:w w:val="95"/>
        </w:rPr>
        <w:t xml:space="preserve">映单位购买商品和服务的支出（不包括用于购置固定资产的支 </w:t>
      </w:r>
      <w:r>
        <w:t>出、战略性和应急储备支出）。</w:t>
      </w:r>
    </w:p>
    <w:p>
      <w:pPr>
        <w:pStyle w:val="3"/>
        <w:spacing w:before="204" w:line="340" w:lineRule="auto"/>
        <w:ind w:right="119" w:firstLine="600"/>
      </w:pPr>
      <w:r>
        <w:rPr>
          <w:w w:val="95"/>
        </w:rPr>
        <w:t>（十六</w:t>
      </w:r>
      <w:r>
        <w:rPr>
          <w:spacing w:val="-39"/>
          <w:w w:val="95"/>
        </w:rPr>
        <w:t>）</w:t>
      </w:r>
      <w:r>
        <w:rPr>
          <w:spacing w:val="-5"/>
          <w:w w:val="95"/>
        </w:rPr>
        <w:t>对个人和家庭的补助</w:t>
      </w:r>
      <w:r>
        <w:rPr>
          <w:w w:val="95"/>
        </w:rPr>
        <w:t>（支出经济分类科目类级</w:t>
      </w:r>
      <w:r>
        <w:rPr>
          <w:spacing w:val="-21"/>
          <w:w w:val="95"/>
        </w:rPr>
        <w:t xml:space="preserve">）： </w:t>
      </w:r>
      <w:r>
        <w:t>反映用于对个人和家庭的补助支出。</w:t>
      </w:r>
    </w:p>
    <w:p>
      <w:pPr>
        <w:pStyle w:val="3"/>
        <w:spacing w:before="197" w:line="338" w:lineRule="auto"/>
        <w:ind w:right="278" w:firstLine="600"/>
      </w:pPr>
      <w:r>
        <w:t>（十七）资本性支出（支出经济分类科目类级）：反映非</w:t>
      </w:r>
      <w:r>
        <w:rPr>
          <w:w w:val="95"/>
        </w:rPr>
        <w:t>各级发展与改革部门集中安排的用于购置固定资产、战略性和</w:t>
      </w:r>
    </w:p>
    <w:p>
      <w:pPr>
        <w:spacing w:after="0" w:line="338" w:lineRule="auto"/>
        <w:sectPr>
          <w:pgSz w:w="12240" w:h="15840"/>
          <w:pgMar w:top="1500" w:right="1520" w:bottom="280" w:left="1560" w:header="720" w:footer="720" w:gutter="0"/>
        </w:sectPr>
      </w:pPr>
    </w:p>
    <w:p>
      <w:pPr>
        <w:pStyle w:val="3"/>
        <w:spacing w:before="108" w:line="340" w:lineRule="auto"/>
        <w:ind w:right="278"/>
      </w:pPr>
      <w:r>
        <w:rPr>
          <w:w w:val="95"/>
        </w:rPr>
        <w:t xml:space="preserve">应急性储备、土地和无形资产，以及构建基础设施、大型修缮 </w:t>
      </w:r>
      <w:r>
        <w:t>和财政支持企业更新改造所发生的支出。</w:t>
      </w:r>
    </w:p>
    <w:p>
      <w:pPr>
        <w:pStyle w:val="3"/>
        <w:ind w:left="0"/>
      </w:pPr>
    </w:p>
    <w:p>
      <w:pPr>
        <w:pStyle w:val="3"/>
        <w:spacing w:before="2"/>
        <w:ind w:left="0"/>
        <w:rPr>
          <w:sz w:val="44"/>
        </w:rPr>
      </w:pPr>
    </w:p>
    <w:p>
      <w:pPr>
        <w:spacing w:before="1" w:line="456" w:lineRule="auto"/>
        <w:ind w:left="840" w:right="2024" w:firstLine="0"/>
        <w:jc w:val="left"/>
        <w:rPr>
          <w:sz w:val="32"/>
        </w:rPr>
      </w:pPr>
      <w:r>
        <w:rPr>
          <w:b/>
          <w:sz w:val="32"/>
        </w:rPr>
        <w:t>第四部分 决算公开联系方式及信息反馈渠道</w:t>
      </w:r>
      <w:r>
        <w:rPr>
          <w:sz w:val="32"/>
        </w:rPr>
        <w:t>本单位决算公开信息反馈和联系方式：</w:t>
      </w:r>
    </w:p>
    <w:p>
      <w:pPr>
        <w:pStyle w:val="3"/>
        <w:tabs>
          <w:tab w:val="left" w:pos="3559"/>
        </w:tabs>
        <w:spacing w:before="2"/>
        <w:ind w:left="840"/>
      </w:pPr>
      <w:r>
        <w:t>联系人：李欣欣</w:t>
      </w:r>
      <w:r>
        <w:tab/>
      </w:r>
      <w:r>
        <w:t>联系电话：0476</w:t>
      </w:r>
      <w:r>
        <w:rPr>
          <w:rFonts w:ascii="Times New Roman" w:eastAsia="Times New Roman"/>
        </w:rPr>
        <w:t>-</w:t>
      </w:r>
      <w:r>
        <w:t>8331066</w:t>
      </w:r>
    </w:p>
    <w:sectPr>
      <w:pgSz w:w="12240" w:h="15840"/>
      <w:pgMar w:top="1500" w:right="1520" w:bottom="280" w:left="15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50"/>
      <w:numFmt w:val="decimal"/>
      <w:lvlText w:val="%1"/>
      <w:lvlJc w:val="left"/>
      <w:pPr>
        <w:ind w:left="240" w:hanging="881"/>
        <w:jc w:val="left"/>
      </w:pPr>
      <w:rPr>
        <w:rFonts w:hint="default"/>
        <w:lang w:val="zh-CN" w:eastAsia="zh-CN" w:bidi="zh-CN"/>
      </w:rPr>
    </w:lvl>
    <w:lvl w:ilvl="1" w:tentative="0">
      <w:start w:val="4"/>
      <w:numFmt w:val="decimalZero"/>
      <w:lvlText w:val="%1.%2"/>
      <w:lvlJc w:val="left"/>
      <w:pPr>
        <w:ind w:left="240" w:hanging="881"/>
        <w:jc w:val="left"/>
      </w:pPr>
      <w:rPr>
        <w:rFonts w:hint="default" w:ascii="仿宋" w:hAnsi="仿宋" w:eastAsia="仿宋" w:cs="仿宋"/>
        <w:spacing w:val="-2"/>
        <w:w w:val="99"/>
        <w:sz w:val="32"/>
        <w:szCs w:val="32"/>
        <w:lang w:val="zh-CN" w:eastAsia="zh-CN" w:bidi="zh-CN"/>
      </w:rPr>
    </w:lvl>
    <w:lvl w:ilvl="2" w:tentative="0">
      <w:start w:val="1"/>
      <w:numFmt w:val="decimal"/>
      <w:lvlText w:val="%3."/>
      <w:lvlJc w:val="left"/>
      <w:pPr>
        <w:ind w:left="240" w:hanging="479"/>
        <w:jc w:val="left"/>
      </w:pPr>
      <w:rPr>
        <w:rFonts w:hint="default" w:ascii="仿宋" w:hAnsi="仿宋" w:eastAsia="仿宋" w:cs="仿宋"/>
        <w:spacing w:val="-27"/>
        <w:w w:val="99"/>
        <w:sz w:val="30"/>
        <w:szCs w:val="30"/>
        <w:lang w:val="zh-CN" w:eastAsia="zh-CN" w:bidi="zh-CN"/>
      </w:rPr>
    </w:lvl>
    <w:lvl w:ilvl="3" w:tentative="0">
      <w:start w:val="0"/>
      <w:numFmt w:val="bullet"/>
      <w:lvlText w:val="•"/>
      <w:lvlJc w:val="left"/>
      <w:pPr>
        <w:ind w:left="2916" w:hanging="479"/>
      </w:pPr>
      <w:rPr>
        <w:rFonts w:hint="default"/>
        <w:lang w:val="zh-CN" w:eastAsia="zh-CN" w:bidi="zh-CN"/>
      </w:rPr>
    </w:lvl>
    <w:lvl w:ilvl="4" w:tentative="0">
      <w:start w:val="0"/>
      <w:numFmt w:val="bullet"/>
      <w:lvlText w:val="•"/>
      <w:lvlJc w:val="left"/>
      <w:pPr>
        <w:ind w:left="3808" w:hanging="479"/>
      </w:pPr>
      <w:rPr>
        <w:rFonts w:hint="default"/>
        <w:lang w:val="zh-CN" w:eastAsia="zh-CN" w:bidi="zh-CN"/>
      </w:rPr>
    </w:lvl>
    <w:lvl w:ilvl="5" w:tentative="0">
      <w:start w:val="0"/>
      <w:numFmt w:val="bullet"/>
      <w:lvlText w:val="•"/>
      <w:lvlJc w:val="left"/>
      <w:pPr>
        <w:ind w:left="4700" w:hanging="479"/>
      </w:pPr>
      <w:rPr>
        <w:rFonts w:hint="default"/>
        <w:lang w:val="zh-CN" w:eastAsia="zh-CN" w:bidi="zh-CN"/>
      </w:rPr>
    </w:lvl>
    <w:lvl w:ilvl="6" w:tentative="0">
      <w:start w:val="0"/>
      <w:numFmt w:val="bullet"/>
      <w:lvlText w:val="•"/>
      <w:lvlJc w:val="left"/>
      <w:pPr>
        <w:ind w:left="5592" w:hanging="479"/>
      </w:pPr>
      <w:rPr>
        <w:rFonts w:hint="default"/>
        <w:lang w:val="zh-CN" w:eastAsia="zh-CN" w:bidi="zh-CN"/>
      </w:rPr>
    </w:lvl>
    <w:lvl w:ilvl="7" w:tentative="0">
      <w:start w:val="0"/>
      <w:numFmt w:val="bullet"/>
      <w:lvlText w:val="•"/>
      <w:lvlJc w:val="left"/>
      <w:pPr>
        <w:ind w:left="6484" w:hanging="479"/>
      </w:pPr>
      <w:rPr>
        <w:rFonts w:hint="default"/>
        <w:lang w:val="zh-CN" w:eastAsia="zh-CN" w:bidi="zh-CN"/>
      </w:rPr>
    </w:lvl>
    <w:lvl w:ilvl="8" w:tentative="0">
      <w:start w:val="0"/>
      <w:numFmt w:val="bullet"/>
      <w:lvlText w:val="•"/>
      <w:lvlJc w:val="left"/>
      <w:pPr>
        <w:ind w:left="7376" w:hanging="479"/>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161"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960" w:hanging="322"/>
      </w:pPr>
      <w:rPr>
        <w:rFonts w:hint="default"/>
        <w:lang w:val="zh-CN" w:eastAsia="zh-CN" w:bidi="zh-CN"/>
      </w:rPr>
    </w:lvl>
    <w:lvl w:ilvl="2" w:tentative="0">
      <w:start w:val="0"/>
      <w:numFmt w:val="bullet"/>
      <w:lvlText w:val="•"/>
      <w:lvlJc w:val="left"/>
      <w:pPr>
        <w:ind w:left="2760" w:hanging="322"/>
      </w:pPr>
      <w:rPr>
        <w:rFonts w:hint="default"/>
        <w:lang w:val="zh-CN" w:eastAsia="zh-CN" w:bidi="zh-CN"/>
      </w:rPr>
    </w:lvl>
    <w:lvl w:ilvl="3" w:tentative="0">
      <w:start w:val="0"/>
      <w:numFmt w:val="bullet"/>
      <w:lvlText w:val="•"/>
      <w:lvlJc w:val="left"/>
      <w:pPr>
        <w:ind w:left="3560" w:hanging="322"/>
      </w:pPr>
      <w:rPr>
        <w:rFonts w:hint="default"/>
        <w:lang w:val="zh-CN" w:eastAsia="zh-CN" w:bidi="zh-CN"/>
      </w:rPr>
    </w:lvl>
    <w:lvl w:ilvl="4" w:tentative="0">
      <w:start w:val="0"/>
      <w:numFmt w:val="bullet"/>
      <w:lvlText w:val="•"/>
      <w:lvlJc w:val="left"/>
      <w:pPr>
        <w:ind w:left="4360" w:hanging="322"/>
      </w:pPr>
      <w:rPr>
        <w:rFonts w:hint="default"/>
        <w:lang w:val="zh-CN" w:eastAsia="zh-CN" w:bidi="zh-CN"/>
      </w:rPr>
    </w:lvl>
    <w:lvl w:ilvl="5" w:tentative="0">
      <w:start w:val="0"/>
      <w:numFmt w:val="bullet"/>
      <w:lvlText w:val="•"/>
      <w:lvlJc w:val="left"/>
      <w:pPr>
        <w:ind w:left="5160" w:hanging="322"/>
      </w:pPr>
      <w:rPr>
        <w:rFonts w:hint="default"/>
        <w:lang w:val="zh-CN" w:eastAsia="zh-CN" w:bidi="zh-CN"/>
      </w:rPr>
    </w:lvl>
    <w:lvl w:ilvl="6" w:tentative="0">
      <w:start w:val="0"/>
      <w:numFmt w:val="bullet"/>
      <w:lvlText w:val="•"/>
      <w:lvlJc w:val="left"/>
      <w:pPr>
        <w:ind w:left="5960" w:hanging="322"/>
      </w:pPr>
      <w:rPr>
        <w:rFonts w:hint="default"/>
        <w:lang w:val="zh-CN" w:eastAsia="zh-CN" w:bidi="zh-CN"/>
      </w:rPr>
    </w:lvl>
    <w:lvl w:ilvl="7" w:tentative="0">
      <w:start w:val="0"/>
      <w:numFmt w:val="bullet"/>
      <w:lvlText w:val="•"/>
      <w:lvlJc w:val="left"/>
      <w:pPr>
        <w:ind w:left="6760" w:hanging="322"/>
      </w:pPr>
      <w:rPr>
        <w:rFonts w:hint="default"/>
        <w:lang w:val="zh-CN" w:eastAsia="zh-CN" w:bidi="zh-CN"/>
      </w:rPr>
    </w:lvl>
    <w:lvl w:ilvl="8" w:tentative="0">
      <w:start w:val="0"/>
      <w:numFmt w:val="bullet"/>
      <w:lvlText w:val="•"/>
      <w:lvlJc w:val="left"/>
      <w:pPr>
        <w:ind w:left="7560" w:hanging="322"/>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322" w:hanging="483"/>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104" w:hanging="483"/>
      </w:pPr>
      <w:rPr>
        <w:rFonts w:hint="default"/>
        <w:lang w:val="zh-CN" w:eastAsia="zh-CN" w:bidi="zh-CN"/>
      </w:rPr>
    </w:lvl>
    <w:lvl w:ilvl="2" w:tentative="0">
      <w:start w:val="0"/>
      <w:numFmt w:val="bullet"/>
      <w:lvlText w:val="•"/>
      <w:lvlJc w:val="left"/>
      <w:pPr>
        <w:ind w:left="2888" w:hanging="483"/>
      </w:pPr>
      <w:rPr>
        <w:rFonts w:hint="default"/>
        <w:lang w:val="zh-CN" w:eastAsia="zh-CN" w:bidi="zh-CN"/>
      </w:rPr>
    </w:lvl>
    <w:lvl w:ilvl="3" w:tentative="0">
      <w:start w:val="0"/>
      <w:numFmt w:val="bullet"/>
      <w:lvlText w:val="•"/>
      <w:lvlJc w:val="left"/>
      <w:pPr>
        <w:ind w:left="3672" w:hanging="483"/>
      </w:pPr>
      <w:rPr>
        <w:rFonts w:hint="default"/>
        <w:lang w:val="zh-CN" w:eastAsia="zh-CN" w:bidi="zh-CN"/>
      </w:rPr>
    </w:lvl>
    <w:lvl w:ilvl="4" w:tentative="0">
      <w:start w:val="0"/>
      <w:numFmt w:val="bullet"/>
      <w:lvlText w:val="•"/>
      <w:lvlJc w:val="left"/>
      <w:pPr>
        <w:ind w:left="4456" w:hanging="483"/>
      </w:pPr>
      <w:rPr>
        <w:rFonts w:hint="default"/>
        <w:lang w:val="zh-CN" w:eastAsia="zh-CN" w:bidi="zh-CN"/>
      </w:rPr>
    </w:lvl>
    <w:lvl w:ilvl="5" w:tentative="0">
      <w:start w:val="0"/>
      <w:numFmt w:val="bullet"/>
      <w:lvlText w:val="•"/>
      <w:lvlJc w:val="left"/>
      <w:pPr>
        <w:ind w:left="5240" w:hanging="483"/>
      </w:pPr>
      <w:rPr>
        <w:rFonts w:hint="default"/>
        <w:lang w:val="zh-CN" w:eastAsia="zh-CN" w:bidi="zh-CN"/>
      </w:rPr>
    </w:lvl>
    <w:lvl w:ilvl="6" w:tentative="0">
      <w:start w:val="0"/>
      <w:numFmt w:val="bullet"/>
      <w:lvlText w:val="•"/>
      <w:lvlJc w:val="left"/>
      <w:pPr>
        <w:ind w:left="6024" w:hanging="483"/>
      </w:pPr>
      <w:rPr>
        <w:rFonts w:hint="default"/>
        <w:lang w:val="zh-CN" w:eastAsia="zh-CN" w:bidi="zh-CN"/>
      </w:rPr>
    </w:lvl>
    <w:lvl w:ilvl="7" w:tentative="0">
      <w:start w:val="0"/>
      <w:numFmt w:val="bullet"/>
      <w:lvlText w:val="•"/>
      <w:lvlJc w:val="left"/>
      <w:pPr>
        <w:ind w:left="6808" w:hanging="483"/>
      </w:pPr>
      <w:rPr>
        <w:rFonts w:hint="default"/>
        <w:lang w:val="zh-CN" w:eastAsia="zh-CN" w:bidi="zh-CN"/>
      </w:rPr>
    </w:lvl>
    <w:lvl w:ilvl="8" w:tentative="0">
      <w:start w:val="0"/>
      <w:numFmt w:val="bullet"/>
      <w:lvlText w:val="•"/>
      <w:lvlJc w:val="left"/>
      <w:pPr>
        <w:ind w:left="7592" w:hanging="483"/>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0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276" w:hanging="322"/>
      </w:pPr>
      <w:rPr>
        <w:rFonts w:hint="default"/>
        <w:lang w:val="zh-CN" w:eastAsia="zh-CN" w:bidi="zh-CN"/>
      </w:rPr>
    </w:lvl>
    <w:lvl w:ilvl="2" w:tentative="0">
      <w:start w:val="0"/>
      <w:numFmt w:val="bullet"/>
      <w:lvlText w:val="•"/>
      <w:lvlJc w:val="left"/>
      <w:pPr>
        <w:ind w:left="2152" w:hanging="322"/>
      </w:pPr>
      <w:rPr>
        <w:rFonts w:hint="default"/>
        <w:lang w:val="zh-CN" w:eastAsia="zh-CN" w:bidi="zh-CN"/>
      </w:rPr>
    </w:lvl>
    <w:lvl w:ilvl="3" w:tentative="0">
      <w:start w:val="0"/>
      <w:numFmt w:val="bullet"/>
      <w:lvlText w:val="•"/>
      <w:lvlJc w:val="left"/>
      <w:pPr>
        <w:ind w:left="3028" w:hanging="322"/>
      </w:pPr>
      <w:rPr>
        <w:rFonts w:hint="default"/>
        <w:lang w:val="zh-CN" w:eastAsia="zh-CN" w:bidi="zh-CN"/>
      </w:rPr>
    </w:lvl>
    <w:lvl w:ilvl="4" w:tentative="0">
      <w:start w:val="0"/>
      <w:numFmt w:val="bullet"/>
      <w:lvlText w:val="•"/>
      <w:lvlJc w:val="left"/>
      <w:pPr>
        <w:ind w:left="3904" w:hanging="322"/>
      </w:pPr>
      <w:rPr>
        <w:rFonts w:hint="default"/>
        <w:lang w:val="zh-CN" w:eastAsia="zh-CN" w:bidi="zh-CN"/>
      </w:rPr>
    </w:lvl>
    <w:lvl w:ilvl="5" w:tentative="0">
      <w:start w:val="0"/>
      <w:numFmt w:val="bullet"/>
      <w:lvlText w:val="•"/>
      <w:lvlJc w:val="left"/>
      <w:pPr>
        <w:ind w:left="4780" w:hanging="322"/>
      </w:pPr>
      <w:rPr>
        <w:rFonts w:hint="default"/>
        <w:lang w:val="zh-CN" w:eastAsia="zh-CN" w:bidi="zh-CN"/>
      </w:rPr>
    </w:lvl>
    <w:lvl w:ilvl="6" w:tentative="0">
      <w:start w:val="0"/>
      <w:numFmt w:val="bullet"/>
      <w:lvlText w:val="•"/>
      <w:lvlJc w:val="left"/>
      <w:pPr>
        <w:ind w:left="5656" w:hanging="322"/>
      </w:pPr>
      <w:rPr>
        <w:rFonts w:hint="default"/>
        <w:lang w:val="zh-CN" w:eastAsia="zh-CN" w:bidi="zh-CN"/>
      </w:rPr>
    </w:lvl>
    <w:lvl w:ilvl="7" w:tentative="0">
      <w:start w:val="0"/>
      <w:numFmt w:val="bullet"/>
      <w:lvlText w:val="•"/>
      <w:lvlJc w:val="left"/>
      <w:pPr>
        <w:ind w:left="6532" w:hanging="322"/>
      </w:pPr>
      <w:rPr>
        <w:rFonts w:hint="default"/>
        <w:lang w:val="zh-CN" w:eastAsia="zh-CN" w:bidi="zh-CN"/>
      </w:rPr>
    </w:lvl>
    <w:lvl w:ilvl="8" w:tentative="0">
      <w:start w:val="0"/>
      <w:numFmt w:val="bullet"/>
      <w:lvlText w:val="•"/>
      <w:lvlJc w:val="left"/>
      <w:pPr>
        <w:ind w:left="7408" w:hanging="322"/>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2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132" w:hanging="322"/>
      </w:pPr>
      <w:rPr>
        <w:rFonts w:hint="default"/>
        <w:lang w:val="zh-CN" w:eastAsia="zh-CN" w:bidi="zh-CN"/>
      </w:rPr>
    </w:lvl>
    <w:lvl w:ilvl="2" w:tentative="0">
      <w:start w:val="0"/>
      <w:numFmt w:val="bullet"/>
      <w:lvlText w:val="•"/>
      <w:lvlJc w:val="left"/>
      <w:pPr>
        <w:ind w:left="2024" w:hanging="322"/>
      </w:pPr>
      <w:rPr>
        <w:rFonts w:hint="default"/>
        <w:lang w:val="zh-CN" w:eastAsia="zh-CN" w:bidi="zh-CN"/>
      </w:rPr>
    </w:lvl>
    <w:lvl w:ilvl="3" w:tentative="0">
      <w:start w:val="0"/>
      <w:numFmt w:val="bullet"/>
      <w:lvlText w:val="•"/>
      <w:lvlJc w:val="left"/>
      <w:pPr>
        <w:ind w:left="2916" w:hanging="322"/>
      </w:pPr>
      <w:rPr>
        <w:rFonts w:hint="default"/>
        <w:lang w:val="zh-CN" w:eastAsia="zh-CN" w:bidi="zh-CN"/>
      </w:rPr>
    </w:lvl>
    <w:lvl w:ilvl="4" w:tentative="0">
      <w:start w:val="0"/>
      <w:numFmt w:val="bullet"/>
      <w:lvlText w:val="•"/>
      <w:lvlJc w:val="left"/>
      <w:pPr>
        <w:ind w:left="3808" w:hanging="322"/>
      </w:pPr>
      <w:rPr>
        <w:rFonts w:hint="default"/>
        <w:lang w:val="zh-CN" w:eastAsia="zh-CN" w:bidi="zh-CN"/>
      </w:rPr>
    </w:lvl>
    <w:lvl w:ilvl="5" w:tentative="0">
      <w:start w:val="0"/>
      <w:numFmt w:val="bullet"/>
      <w:lvlText w:val="•"/>
      <w:lvlJc w:val="left"/>
      <w:pPr>
        <w:ind w:left="4700" w:hanging="322"/>
      </w:pPr>
      <w:rPr>
        <w:rFonts w:hint="default"/>
        <w:lang w:val="zh-CN" w:eastAsia="zh-CN" w:bidi="zh-CN"/>
      </w:rPr>
    </w:lvl>
    <w:lvl w:ilvl="6" w:tentative="0">
      <w:start w:val="0"/>
      <w:numFmt w:val="bullet"/>
      <w:lvlText w:val="•"/>
      <w:lvlJc w:val="left"/>
      <w:pPr>
        <w:ind w:left="5592" w:hanging="322"/>
      </w:pPr>
      <w:rPr>
        <w:rFonts w:hint="default"/>
        <w:lang w:val="zh-CN" w:eastAsia="zh-CN" w:bidi="zh-CN"/>
      </w:rPr>
    </w:lvl>
    <w:lvl w:ilvl="7" w:tentative="0">
      <w:start w:val="0"/>
      <w:numFmt w:val="bullet"/>
      <w:lvlText w:val="•"/>
      <w:lvlJc w:val="left"/>
      <w:pPr>
        <w:ind w:left="6484" w:hanging="322"/>
      </w:pPr>
      <w:rPr>
        <w:rFonts w:hint="default"/>
        <w:lang w:val="zh-CN" w:eastAsia="zh-CN" w:bidi="zh-CN"/>
      </w:rPr>
    </w:lvl>
    <w:lvl w:ilvl="8" w:tentative="0">
      <w:start w:val="0"/>
      <w:numFmt w:val="bullet"/>
      <w:lvlText w:val="•"/>
      <w:lvlJc w:val="left"/>
      <w:pPr>
        <w:ind w:left="7376" w:hanging="322"/>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240" w:hanging="800"/>
        <w:jc w:val="left"/>
      </w:pPr>
      <w:rPr>
        <w:rFonts w:hint="default" w:ascii="仿宋" w:hAnsi="仿宋" w:eastAsia="仿宋" w:cs="仿宋"/>
        <w:spacing w:val="-53"/>
        <w:w w:val="99"/>
        <w:sz w:val="30"/>
        <w:szCs w:val="30"/>
        <w:lang w:val="zh-CN" w:eastAsia="zh-CN" w:bidi="zh-CN"/>
      </w:rPr>
    </w:lvl>
    <w:lvl w:ilvl="1" w:tentative="0">
      <w:start w:val="2"/>
      <w:numFmt w:val="decimal"/>
      <w:lvlText w:val="（%2）"/>
      <w:lvlJc w:val="left"/>
      <w:pPr>
        <w:ind w:left="240" w:hanging="826"/>
        <w:jc w:val="left"/>
      </w:pPr>
      <w:rPr>
        <w:rFonts w:hint="default" w:ascii="仿宋" w:hAnsi="仿宋" w:eastAsia="仿宋" w:cs="仿宋"/>
        <w:spacing w:val="8"/>
        <w:w w:val="99"/>
        <w:sz w:val="30"/>
        <w:szCs w:val="30"/>
        <w:lang w:val="zh-CN" w:eastAsia="zh-CN" w:bidi="zh-CN"/>
      </w:rPr>
    </w:lvl>
    <w:lvl w:ilvl="2" w:tentative="0">
      <w:start w:val="0"/>
      <w:numFmt w:val="bullet"/>
      <w:lvlText w:val="•"/>
      <w:lvlJc w:val="left"/>
      <w:pPr>
        <w:ind w:left="2024" w:hanging="826"/>
      </w:pPr>
      <w:rPr>
        <w:rFonts w:hint="default"/>
        <w:lang w:val="zh-CN" w:eastAsia="zh-CN" w:bidi="zh-CN"/>
      </w:rPr>
    </w:lvl>
    <w:lvl w:ilvl="3" w:tentative="0">
      <w:start w:val="0"/>
      <w:numFmt w:val="bullet"/>
      <w:lvlText w:val="•"/>
      <w:lvlJc w:val="left"/>
      <w:pPr>
        <w:ind w:left="2916" w:hanging="826"/>
      </w:pPr>
      <w:rPr>
        <w:rFonts w:hint="default"/>
        <w:lang w:val="zh-CN" w:eastAsia="zh-CN" w:bidi="zh-CN"/>
      </w:rPr>
    </w:lvl>
    <w:lvl w:ilvl="4" w:tentative="0">
      <w:start w:val="0"/>
      <w:numFmt w:val="bullet"/>
      <w:lvlText w:val="•"/>
      <w:lvlJc w:val="left"/>
      <w:pPr>
        <w:ind w:left="3808" w:hanging="826"/>
      </w:pPr>
      <w:rPr>
        <w:rFonts w:hint="default"/>
        <w:lang w:val="zh-CN" w:eastAsia="zh-CN" w:bidi="zh-CN"/>
      </w:rPr>
    </w:lvl>
    <w:lvl w:ilvl="5" w:tentative="0">
      <w:start w:val="0"/>
      <w:numFmt w:val="bullet"/>
      <w:lvlText w:val="•"/>
      <w:lvlJc w:val="left"/>
      <w:pPr>
        <w:ind w:left="4700" w:hanging="826"/>
      </w:pPr>
      <w:rPr>
        <w:rFonts w:hint="default"/>
        <w:lang w:val="zh-CN" w:eastAsia="zh-CN" w:bidi="zh-CN"/>
      </w:rPr>
    </w:lvl>
    <w:lvl w:ilvl="6" w:tentative="0">
      <w:start w:val="0"/>
      <w:numFmt w:val="bullet"/>
      <w:lvlText w:val="•"/>
      <w:lvlJc w:val="left"/>
      <w:pPr>
        <w:ind w:left="5592" w:hanging="826"/>
      </w:pPr>
      <w:rPr>
        <w:rFonts w:hint="default"/>
        <w:lang w:val="zh-CN" w:eastAsia="zh-CN" w:bidi="zh-CN"/>
      </w:rPr>
    </w:lvl>
    <w:lvl w:ilvl="7" w:tentative="0">
      <w:start w:val="0"/>
      <w:numFmt w:val="bullet"/>
      <w:lvlText w:val="•"/>
      <w:lvlJc w:val="left"/>
      <w:pPr>
        <w:ind w:left="6484" w:hanging="826"/>
      </w:pPr>
      <w:rPr>
        <w:rFonts w:hint="default"/>
        <w:lang w:val="zh-CN" w:eastAsia="zh-CN" w:bidi="zh-CN"/>
      </w:rPr>
    </w:lvl>
    <w:lvl w:ilvl="8" w:tentative="0">
      <w:start w:val="0"/>
      <w:numFmt w:val="bullet"/>
      <w:lvlText w:val="•"/>
      <w:lvlJc w:val="left"/>
      <w:pPr>
        <w:ind w:left="7376" w:hanging="826"/>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240" w:hanging="368"/>
        <w:jc w:val="right"/>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132" w:hanging="368"/>
      </w:pPr>
      <w:rPr>
        <w:rFonts w:hint="default"/>
        <w:lang w:val="zh-CN" w:eastAsia="zh-CN" w:bidi="zh-CN"/>
      </w:rPr>
    </w:lvl>
    <w:lvl w:ilvl="2" w:tentative="0">
      <w:start w:val="0"/>
      <w:numFmt w:val="bullet"/>
      <w:lvlText w:val="•"/>
      <w:lvlJc w:val="left"/>
      <w:pPr>
        <w:ind w:left="2024" w:hanging="368"/>
      </w:pPr>
      <w:rPr>
        <w:rFonts w:hint="default"/>
        <w:lang w:val="zh-CN" w:eastAsia="zh-CN" w:bidi="zh-CN"/>
      </w:rPr>
    </w:lvl>
    <w:lvl w:ilvl="3" w:tentative="0">
      <w:start w:val="0"/>
      <w:numFmt w:val="bullet"/>
      <w:lvlText w:val="•"/>
      <w:lvlJc w:val="left"/>
      <w:pPr>
        <w:ind w:left="2916" w:hanging="368"/>
      </w:pPr>
      <w:rPr>
        <w:rFonts w:hint="default"/>
        <w:lang w:val="zh-CN" w:eastAsia="zh-CN" w:bidi="zh-CN"/>
      </w:rPr>
    </w:lvl>
    <w:lvl w:ilvl="4" w:tentative="0">
      <w:start w:val="0"/>
      <w:numFmt w:val="bullet"/>
      <w:lvlText w:val="•"/>
      <w:lvlJc w:val="left"/>
      <w:pPr>
        <w:ind w:left="3808" w:hanging="368"/>
      </w:pPr>
      <w:rPr>
        <w:rFonts w:hint="default"/>
        <w:lang w:val="zh-CN" w:eastAsia="zh-CN" w:bidi="zh-CN"/>
      </w:rPr>
    </w:lvl>
    <w:lvl w:ilvl="5" w:tentative="0">
      <w:start w:val="0"/>
      <w:numFmt w:val="bullet"/>
      <w:lvlText w:val="•"/>
      <w:lvlJc w:val="left"/>
      <w:pPr>
        <w:ind w:left="4700" w:hanging="368"/>
      </w:pPr>
      <w:rPr>
        <w:rFonts w:hint="default"/>
        <w:lang w:val="zh-CN" w:eastAsia="zh-CN" w:bidi="zh-CN"/>
      </w:rPr>
    </w:lvl>
    <w:lvl w:ilvl="6" w:tentative="0">
      <w:start w:val="0"/>
      <w:numFmt w:val="bullet"/>
      <w:lvlText w:val="•"/>
      <w:lvlJc w:val="left"/>
      <w:pPr>
        <w:ind w:left="5592" w:hanging="368"/>
      </w:pPr>
      <w:rPr>
        <w:rFonts w:hint="default"/>
        <w:lang w:val="zh-CN" w:eastAsia="zh-CN" w:bidi="zh-CN"/>
      </w:rPr>
    </w:lvl>
    <w:lvl w:ilvl="7" w:tentative="0">
      <w:start w:val="0"/>
      <w:numFmt w:val="bullet"/>
      <w:lvlText w:val="•"/>
      <w:lvlJc w:val="left"/>
      <w:pPr>
        <w:ind w:left="6484" w:hanging="368"/>
      </w:pPr>
      <w:rPr>
        <w:rFonts w:hint="default"/>
        <w:lang w:val="zh-CN" w:eastAsia="zh-CN" w:bidi="zh-CN"/>
      </w:rPr>
    </w:lvl>
    <w:lvl w:ilvl="8" w:tentative="0">
      <w:start w:val="0"/>
      <w:numFmt w:val="bullet"/>
      <w:lvlText w:val="•"/>
      <w:lvlJc w:val="left"/>
      <w:pPr>
        <w:ind w:left="7376" w:hanging="368"/>
      </w:pPr>
      <w:rPr>
        <w:rFonts w:hint="default"/>
        <w:lang w:val="zh-CN" w:eastAsia="zh-CN" w:bidi="zh-CN"/>
      </w:rPr>
    </w:lvl>
  </w:abstractNum>
  <w:abstractNum w:abstractNumId="7">
    <w:nsid w:val="72183CF9"/>
    <w:multiLevelType w:val="multilevel"/>
    <w:tmpl w:val="72183CF9"/>
    <w:lvl w:ilvl="0" w:tentative="0">
      <w:start w:val="1"/>
      <w:numFmt w:val="decimal"/>
      <w:lvlText w:val="（%1）"/>
      <w:lvlJc w:val="left"/>
      <w:pPr>
        <w:ind w:left="240"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1132" w:hanging="800"/>
      </w:pPr>
      <w:rPr>
        <w:rFonts w:hint="default"/>
        <w:lang w:val="zh-CN" w:eastAsia="zh-CN" w:bidi="zh-CN"/>
      </w:rPr>
    </w:lvl>
    <w:lvl w:ilvl="2" w:tentative="0">
      <w:start w:val="0"/>
      <w:numFmt w:val="bullet"/>
      <w:lvlText w:val="•"/>
      <w:lvlJc w:val="left"/>
      <w:pPr>
        <w:ind w:left="2024" w:hanging="800"/>
      </w:pPr>
      <w:rPr>
        <w:rFonts w:hint="default"/>
        <w:lang w:val="zh-CN" w:eastAsia="zh-CN" w:bidi="zh-CN"/>
      </w:rPr>
    </w:lvl>
    <w:lvl w:ilvl="3" w:tentative="0">
      <w:start w:val="0"/>
      <w:numFmt w:val="bullet"/>
      <w:lvlText w:val="•"/>
      <w:lvlJc w:val="left"/>
      <w:pPr>
        <w:ind w:left="2916" w:hanging="800"/>
      </w:pPr>
      <w:rPr>
        <w:rFonts w:hint="default"/>
        <w:lang w:val="zh-CN" w:eastAsia="zh-CN" w:bidi="zh-CN"/>
      </w:rPr>
    </w:lvl>
    <w:lvl w:ilvl="4" w:tentative="0">
      <w:start w:val="0"/>
      <w:numFmt w:val="bullet"/>
      <w:lvlText w:val="•"/>
      <w:lvlJc w:val="left"/>
      <w:pPr>
        <w:ind w:left="3808" w:hanging="800"/>
      </w:pPr>
      <w:rPr>
        <w:rFonts w:hint="default"/>
        <w:lang w:val="zh-CN" w:eastAsia="zh-CN" w:bidi="zh-CN"/>
      </w:rPr>
    </w:lvl>
    <w:lvl w:ilvl="5" w:tentative="0">
      <w:start w:val="0"/>
      <w:numFmt w:val="bullet"/>
      <w:lvlText w:val="•"/>
      <w:lvlJc w:val="left"/>
      <w:pPr>
        <w:ind w:left="4700" w:hanging="800"/>
      </w:pPr>
      <w:rPr>
        <w:rFonts w:hint="default"/>
        <w:lang w:val="zh-CN" w:eastAsia="zh-CN" w:bidi="zh-CN"/>
      </w:rPr>
    </w:lvl>
    <w:lvl w:ilvl="6" w:tentative="0">
      <w:start w:val="0"/>
      <w:numFmt w:val="bullet"/>
      <w:lvlText w:val="•"/>
      <w:lvlJc w:val="left"/>
      <w:pPr>
        <w:ind w:left="5592" w:hanging="800"/>
      </w:pPr>
      <w:rPr>
        <w:rFonts w:hint="default"/>
        <w:lang w:val="zh-CN" w:eastAsia="zh-CN" w:bidi="zh-CN"/>
      </w:rPr>
    </w:lvl>
    <w:lvl w:ilvl="7" w:tentative="0">
      <w:start w:val="0"/>
      <w:numFmt w:val="bullet"/>
      <w:lvlText w:val="•"/>
      <w:lvlJc w:val="left"/>
      <w:pPr>
        <w:ind w:left="6484" w:hanging="800"/>
      </w:pPr>
      <w:rPr>
        <w:rFonts w:hint="default"/>
        <w:lang w:val="zh-CN" w:eastAsia="zh-CN" w:bidi="zh-CN"/>
      </w:rPr>
    </w:lvl>
    <w:lvl w:ilvl="8" w:tentative="0">
      <w:start w:val="0"/>
      <w:numFmt w:val="bullet"/>
      <w:lvlText w:val="•"/>
      <w:lvlJc w:val="left"/>
      <w:pPr>
        <w:ind w:left="7376" w:hanging="800"/>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E530CCF"/>
    <w:rsid w:val="0FDA38F9"/>
    <w:rsid w:val="724A4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840"/>
      <w:outlineLvl w:val="1"/>
    </w:pPr>
    <w:rPr>
      <w:rFonts w:ascii="楷体" w:hAnsi="楷体" w:eastAsia="楷体" w:cs="楷体"/>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40"/>
    </w:pPr>
    <w:rPr>
      <w:rFonts w:ascii="仿宋" w:hAnsi="仿宋" w:eastAsia="仿宋" w:cs="仿宋"/>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40" w:right="278" w:firstLine="640"/>
      <w:jc w:val="both"/>
    </w:pPr>
    <w:rPr>
      <w:rFonts w:ascii="仿宋" w:hAnsi="仿宋" w:eastAsia="仿宋" w:cs="仿宋"/>
      <w:lang w:val="zh-CN" w:eastAsia="zh-CN" w:bidi="zh-CN"/>
    </w:rPr>
  </w:style>
  <w:style w:type="paragraph" w:customStyle="1" w:styleId="8">
    <w:name w:val="Table Paragraph"/>
    <w:basedOn w:val="1"/>
    <w:qFormat/>
    <w:uiPriority w:val="1"/>
    <w:pPr>
      <w:spacing w:before="3" w:line="391" w:lineRule="exact"/>
      <w:ind w:left="14"/>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2022-11-04T03:20:00Z</dcterms:created>
  <dc:creator>Administrator</dc:creator>
  <cp:lastModifiedBy>captain</cp:lastModifiedBy>
  <dcterms:modified xsi:type="dcterms:W3CDTF">2022-12-08T01:40:40Z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WPS 文字</vt:lpwstr>
  </property>
  <property fmtid="{D5CDD505-2E9C-101B-9397-08002B2CF9AE}" pid="4" name="LastSaved">
    <vt:filetime>2022-11-04T00:00:00Z</vt:filetime>
  </property>
  <property fmtid="{D5CDD505-2E9C-101B-9397-08002B2CF9AE}" pid="5" name="KSOProductBuildVer">
    <vt:lpwstr>2052-11.1.0.9513</vt:lpwstr>
  </property>
</Properties>
</file>