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2023年度赤峰市人力资源社会保障</w:t>
      </w:r>
    </w:p>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技术服务中心</w:t>
      </w:r>
      <w:r>
        <w:rPr>
          <w:rFonts w:hint="eastAsia" w:ascii="方正小标宋简体" w:hAnsi="方正小标宋简体" w:eastAsia="方正小标宋简体" w:cs="方正小标宋简体"/>
          <w:b w:val="0"/>
          <w:bCs w:val="0"/>
          <w:sz w:val="44"/>
          <w:szCs w:val="44"/>
          <w:lang w:eastAsia="zh-CN"/>
        </w:rPr>
        <w:t>（单位）决算</w:t>
      </w:r>
      <w:r>
        <w:rPr>
          <w:rFonts w:hint="eastAsia" w:ascii="方正小标宋简体" w:hAnsi="方正小标宋简体" w:eastAsia="方正小标宋简体" w:cs="方正小标宋简体"/>
          <w:b w:val="0"/>
          <w:bCs w:val="0"/>
          <w:sz w:val="44"/>
          <w:szCs w:val="44"/>
        </w:rPr>
        <w:t>公开</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pStyle w:val="2"/>
        <w:ind w:left="0" w:leftChars="0" w:firstLine="0" w:firstLineChars="0"/>
        <w:rPr>
          <w:rFonts w:ascii="宋体" w:hAnsi="宋体"/>
          <w:b/>
          <w:bCs/>
          <w:sz w:val="52"/>
          <w:szCs w:val="52"/>
        </w:rPr>
      </w:pPr>
    </w:p>
    <w:p>
      <w:pPr>
        <w:spacing w:line="360" w:lineRule="auto"/>
        <w:jc w:val="center"/>
        <w:rPr>
          <w:rFonts w:ascii="宋体" w:hAnsi="宋体"/>
          <w:b/>
          <w:bCs/>
          <w:sz w:val="52"/>
          <w:szCs w:val="52"/>
        </w:rPr>
      </w:pPr>
    </w:p>
    <w:p>
      <w:pPr>
        <w:keepNext w:val="0"/>
        <w:keepLines w:val="0"/>
        <w:pageBreakBefore w:val="0"/>
        <w:widowControl w:val="0"/>
        <w:kinsoku/>
        <w:wordWrap/>
        <w:overflowPunct/>
        <w:topLinePunct w:val="0"/>
        <w:autoSpaceDE/>
        <w:autoSpaceDN/>
        <w:bidi w:val="0"/>
        <w:adjustRightInd/>
        <w:snapToGrid/>
        <w:spacing w:line="720" w:lineRule="auto"/>
        <w:ind w:firstLine="2560" w:firstLineChars="8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批复时间</w:t>
      </w:r>
      <w:r>
        <w:rPr>
          <w:rFonts w:hint="eastAsia" w:ascii="黑体" w:hAnsi="黑体" w:eastAsia="黑体" w:cs="黑体"/>
          <w:sz w:val="32"/>
          <w:szCs w:val="32"/>
          <w:lang w:val="en-US" w:eastAsia="zh-CN"/>
        </w:rPr>
        <w:t>:2024年7月17日</w:t>
      </w:r>
    </w:p>
    <w:p>
      <w:pPr>
        <w:pStyle w:val="2"/>
        <w:keepNext w:val="0"/>
        <w:keepLines w:val="0"/>
        <w:pageBreakBefore w:val="0"/>
        <w:widowControl w:val="0"/>
        <w:kinsoku/>
        <w:wordWrap/>
        <w:overflowPunct/>
        <w:topLinePunct w:val="0"/>
        <w:autoSpaceDE/>
        <w:autoSpaceDN/>
        <w:bidi w:val="0"/>
        <w:adjustRightInd/>
        <w:snapToGrid/>
        <w:spacing w:line="720" w:lineRule="auto"/>
        <w:ind w:left="0" w:leftChars="0" w:firstLine="2560" w:firstLineChars="800"/>
        <w:jc w:val="both"/>
        <w:textAlignment w:val="auto"/>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r>
        <w:rPr>
          <w:rFonts w:hint="eastAsia" w:ascii="黑体" w:hAnsi="黑体" w:eastAsia="黑体" w:cs="黑体"/>
          <w:sz w:val="32"/>
          <w:szCs w:val="32"/>
          <w:lang w:val="en-US" w:eastAsia="zh-CN"/>
        </w:rPr>
        <w:t>公开时间:2024年7月30日</w:t>
      </w:r>
    </w:p>
    <w:p>
      <w:pPr>
        <w:adjustRightInd w:val="0"/>
        <w:snapToGrid w:val="0"/>
        <w:rPr>
          <w:rFonts w:ascii="宋体" w:hAnsi="宋体"/>
          <w:b/>
          <w:sz w:val="32"/>
          <w:szCs w:val="32"/>
        </w:rPr>
      </w:pPr>
    </w:p>
    <w:p>
      <w:pPr>
        <w:pStyle w:val="4"/>
        <w:bidi w:val="0"/>
        <w:jc w:val="center"/>
        <w:rPr>
          <w:rFonts w:ascii="Times New Roman" w:hAnsi="Times New Roman" w:eastAsia="Times New Roman" w:cs="Times New Roman"/>
          <w:kern w:val="0"/>
          <w:sz w:val="24"/>
        </w:rPr>
      </w:pPr>
      <w:bookmarkStart w:id="0" w:name="a000"/>
      <w:r>
        <w:t>目 录</w:t>
      </w:r>
    </w:p>
    <w:p>
      <w:pPr>
        <w:pStyle w:val="5"/>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第一部分 单位概况</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一、主要职能、职责</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二、部门（单位）机构设置及决算单位构成情况</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三、2023年度单位主要工作完成情况</w:t>
      </w:r>
    </w:p>
    <w:p>
      <w:pPr>
        <w:pStyle w:val="5"/>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第二部分 单位决算情况说明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一、收入支出决算总体情况说明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二、收入决算情况说明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三、支出决算情况说明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四、财政拨款收入支出决算</w:t>
      </w:r>
      <w:bookmarkStart w:id="3" w:name="_GoBack"/>
      <w:bookmarkEnd w:id="3"/>
      <w:r>
        <w:t>总体情况说明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五、一般公共预算财政拨款支出决算情况说明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六、一般公共预算财政拨款基本支出决算情况说明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七、一般公共预算财政拨款项目支出决算情况说明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八、财政拨款“三公”经费支出决算情况说明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九、政府性基金预算财政拨款支出决算情况说明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十、国有资本经营预算财政拨款支出决算情况说明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十一、机构运行经费支出决算情况说明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十二、政府采购支出决算情况说明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十三、国有资产占用情况说明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十四、预算绩效情况说明</w:t>
      </w:r>
    </w:p>
    <w:p>
      <w:pPr>
        <w:pStyle w:val="5"/>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第三部分 名词解释</w:t>
      </w:r>
    </w:p>
    <w:p>
      <w:pPr>
        <w:pStyle w:val="5"/>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第四部分 决算公开联系方式及信息反馈渠道</w:t>
      </w:r>
    </w:p>
    <w:p>
      <w:pPr>
        <w:pStyle w:val="5"/>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第五部分 单位决算表</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一、收入支出决算总表</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二、收入决算表</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三、支出决算表</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四、财政拨款收入支出决算总表</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五、一般公共预算财政拨款支出决算表</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六、一般公共预算财政拨款基本支出决算明细表</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七、一般公共预算财政拨款项目支出决算明细表</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八、政府性基金预算财政拨款收入支出决算表</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九、国有资本经营预算财政拨款支出决算表</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十、财政拨款“三公”经费支出决算表</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十一、机构运行经费支出、国有资产占用情况及政府采购支出信息表</w:t>
      </w:r>
    </w:p>
    <w:p>
      <w:pPr>
        <w:bidi w:val="0"/>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pStyle w:val="4"/>
        <w:bidi w:val="0"/>
        <w:jc w:val="center"/>
      </w:pPr>
      <w:r>
        <w:t>第一部分 单位概况</w:t>
      </w:r>
    </w:p>
    <w:p>
      <w:pPr>
        <w:keepNext w:val="0"/>
        <w:keepLines w:val="0"/>
        <w:pageBreakBefore w:val="0"/>
        <w:widowControl/>
        <w:kinsoku/>
        <w:wordWrap/>
        <w:overflowPunct/>
        <w:topLinePunct w:val="0"/>
        <w:autoSpaceDE/>
        <w:autoSpaceDN/>
        <w:bidi w:val="0"/>
        <w:adjustRightInd/>
        <w:snapToGrid/>
        <w:spacing w:before="240" w:after="240" w:line="360" w:lineRule="auto"/>
        <w:ind w:firstLine="540" w:firstLineChars="200"/>
        <w:jc w:val="left"/>
        <w:textAlignment w:val="auto"/>
        <w:outlineLvl w:val="1"/>
        <w:rPr>
          <w:rStyle w:val="33"/>
          <w:rFonts w:hint="eastAsia"/>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Style w:val="33"/>
        </w:rPr>
        <w:t>一、主要职能、职责</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rPr>
          <w:rFonts w:hint="eastAsia"/>
        </w:rPr>
      </w:pPr>
      <w:bookmarkStart w:id="1" w:name="OLE_LINK2"/>
      <w:bookmarkStart w:id="2" w:name="OLE_LINK1"/>
      <w:r>
        <w:rPr>
          <w:rFonts w:hint="eastAsia"/>
        </w:rPr>
        <w:t>（1）负责市本级金保工程网络运行管理和计算机信息系统安全保密工作；</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 xml:space="preserve">（2）承担全市人社系统各业务信息网络系统的应用、推广、升级和维护工作； </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（3）承担社会保障卡发行及相关管理应用工作。</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（4）承担人社局后勤保障和服务工作；负责人社局域网日常使用、OA办公自动化应用系统、政务服务的技术支撑工作；</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（5）承担局系统节能、保密检查和软件正版化等辅助性工作。</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（6）承担市人社局门户网站、微信公众账号的内容维护、更新及管理工作。</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（7）承担全市人力资源和社会保障统计调查辅助性工作；承担全市各类专业技术人员和其他人员的统计年报相关工作，为统计分析和重要信息的采集、存储、利用等提供数据服务。</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rPr>
          <w:rFonts w:hint="eastAsia"/>
        </w:rPr>
        <w:t>（8）承担赤峰市人力资源和社会保障“12333”服务热线信息资源库的建设、维护和管理工作；承担“12333”人力资源和社会保障政策咨询、办事指南、信息查询、投诉举报等电话服务工作。</w:t>
      </w:r>
      <w:bookmarkEnd w:id="1"/>
      <w:bookmarkEnd w:id="2"/>
    </w:p>
    <w:p>
      <w:pPr>
        <w:keepNext w:val="0"/>
        <w:keepLines w:val="0"/>
        <w:pageBreakBefore w:val="0"/>
        <w:widowControl/>
        <w:kinsoku/>
        <w:wordWrap/>
        <w:overflowPunct/>
        <w:topLinePunct w:val="0"/>
        <w:autoSpaceDE/>
        <w:autoSpaceDN/>
        <w:bidi w:val="0"/>
        <w:adjustRightInd/>
        <w:snapToGrid/>
        <w:spacing w:before="240" w:after="240" w:line="360" w:lineRule="auto"/>
        <w:ind w:firstLine="540" w:firstLineChars="200"/>
        <w:jc w:val="left"/>
        <w:textAlignment w:val="auto"/>
        <w:outlineLvl w:val="1"/>
        <w:rPr>
          <w:rFonts w:ascii="Times New Roman" w:hAnsi="Times New Roman" w:eastAsia="Times New Roman" w:cs="Times New Roman"/>
          <w:kern w:val="0"/>
          <w:sz w:val="24"/>
        </w:rPr>
      </w:pPr>
      <w:r>
        <w:rPr>
          <w:rFonts w:ascii="Calibri" w:hAnsi="Calibri" w:eastAsia="Calibri" w:cs="Calibri"/>
          <w:b/>
          <w:bCs/>
          <w:kern w:val="0"/>
          <w:sz w:val="27"/>
          <w:szCs w:val="27"/>
        </w:rPr>
        <w:t> </w:t>
      </w:r>
      <w:r>
        <w:rPr>
          <w:rStyle w:val="33"/>
        </w:rPr>
        <w:t>二、单位机构设置及决算单位构成情况</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rPr>
          <w:rFonts w:ascii="times_new_roman" w:hAnsi="times_new_roman" w:eastAsia="times_new_roman" w:cs="times_new_roman"/>
          <w:kern w:val="0"/>
          <w:szCs w:val="27"/>
        </w:rPr>
        <w:t> </w:t>
      </w:r>
      <w:r>
        <w:rPr>
          <w:rFonts w:ascii="仿宋_GB2312" w:hAnsi="仿宋_GB2312" w:eastAsia="仿宋_GB2312" w:cs="仿宋_GB2312"/>
          <w:color w:val="000000"/>
          <w:kern w:val="0"/>
          <w:szCs w:val="31"/>
          <w:lang w:val="en-US" w:eastAsia="zh-CN" w:bidi="ar"/>
        </w:rPr>
        <w:t>赤</w:t>
      </w:r>
      <w:r>
        <w:rPr>
          <w:lang w:val="en-US" w:eastAsia="zh-CN"/>
        </w:rPr>
        <w:t>峰市人力资源和会社保障信息中心为全额事业单位，编制</w:t>
      </w:r>
      <w:r>
        <w:rPr>
          <w:rFonts w:hint="default"/>
          <w:lang w:val="en-US" w:eastAsia="zh-CN"/>
        </w:rPr>
        <w:t>10</w:t>
      </w:r>
      <w:r>
        <w:rPr>
          <w:lang w:val="en-US" w:eastAsia="zh-CN"/>
        </w:rPr>
        <w:t xml:space="preserve">人， </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rPr>
          <w:lang w:val="en-US" w:eastAsia="zh-CN"/>
        </w:rPr>
        <w:t>实有在职</w:t>
      </w:r>
      <w:r>
        <w:rPr>
          <w:rFonts w:hint="default"/>
          <w:lang w:val="en-US" w:eastAsia="zh-CN"/>
        </w:rPr>
        <w:t>10</w:t>
      </w:r>
      <w:r>
        <w:rPr>
          <w:lang w:val="en-US" w:eastAsia="zh-CN"/>
        </w:rPr>
        <w:t xml:space="preserve">人。内设六个科室包括主任室、办公室、社会保障卡室、数据室、统计调查室、技术室。本部门无下属单位。 </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rPr>
          <w:rFonts w:hint="default"/>
          <w:lang w:val="en-US" w:eastAsia="zh-CN"/>
        </w:rPr>
        <w:t>2.</w:t>
      </w:r>
      <w:r>
        <w:rPr>
          <w:lang w:val="en-US" w:eastAsia="zh-CN"/>
        </w:rPr>
        <w:t>从决算单位构成看，纳入本部门202</w:t>
      </w:r>
      <w:r>
        <w:rPr>
          <w:rFonts w:hint="eastAsia"/>
          <w:lang w:val="en-US" w:eastAsia="zh-CN"/>
        </w:rPr>
        <w:t>3</w:t>
      </w:r>
      <w:r>
        <w:rPr>
          <w:lang w:val="en-US" w:eastAsia="zh-CN"/>
        </w:rPr>
        <w:t xml:space="preserve">年度部门汇总决算编制范围的预算单位共计1家，详细情况见表： </w:t>
      </w:r>
    </w:p>
    <w:tbl>
      <w:tblPr>
        <w:tblStyle w:val="20"/>
        <w:tblW w:w="4731"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979"/>
        <w:gridCol w:w="5252"/>
        <w:gridCol w:w="3027"/>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56" w:hRule="atLeast"/>
          <w:tblHeader/>
          <w:jc w:val="center"/>
        </w:trPr>
        <w:tc>
          <w:tcPr>
            <w:tcW w:w="529" w:type="pct"/>
            <w:tcBorders>
              <w:bottom w:val="inset" w:color="808080" w:sz="6" w:space="0"/>
              <w:right w:val="inset" w:color="808080" w:sz="6" w:space="0"/>
            </w:tcBorders>
            <w:noWrap w:val="0"/>
            <w:tcMar>
              <w:top w:w="22" w:type="dxa"/>
              <w:left w:w="22" w:type="dxa"/>
              <w:bottom w:w="22" w:type="dxa"/>
              <w:right w:w="22" w:type="dxa"/>
            </w:tcMar>
            <w:vAlign w:val="center"/>
          </w:tcPr>
          <w:p>
            <w:pPr>
              <w:bidi w:val="0"/>
              <w:jc w:val="center"/>
            </w:pPr>
            <w:r>
              <w:t>序号</w:t>
            </w:r>
          </w:p>
        </w:tc>
        <w:tc>
          <w:tcPr>
            <w:tcW w:w="2835"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bidi w:val="0"/>
              <w:jc w:val="center"/>
            </w:pPr>
            <w:r>
              <w:t>单位名称</w:t>
            </w:r>
          </w:p>
        </w:tc>
        <w:tc>
          <w:tcPr>
            <w:tcW w:w="1634" w:type="pct"/>
            <w:tcBorders>
              <w:left w:val="inset" w:color="808080" w:sz="6" w:space="0"/>
              <w:bottom w:val="inset" w:color="808080" w:sz="6" w:space="0"/>
            </w:tcBorders>
            <w:noWrap w:val="0"/>
            <w:tcMar>
              <w:top w:w="22" w:type="dxa"/>
              <w:left w:w="22" w:type="dxa"/>
              <w:bottom w:w="22" w:type="dxa"/>
              <w:right w:w="22" w:type="dxa"/>
            </w:tcMar>
            <w:vAlign w:val="center"/>
          </w:tcPr>
          <w:p>
            <w:pPr>
              <w:bidi w:val="0"/>
              <w:jc w:val="center"/>
            </w:pPr>
            <w: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966" w:hRule="atLeast"/>
          <w:jc w:val="center"/>
        </w:trPr>
        <w:tc>
          <w:tcPr>
            <w:tcW w:w="529"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pPr>
              <w:bidi w:val="0"/>
              <w:jc w:val="center"/>
              <w:rPr>
                <w:rFonts w:hint="eastAsia"/>
                <w:lang w:eastAsia="zh-CN"/>
              </w:rPr>
            </w:pPr>
            <w:r>
              <w:rPr>
                <w:rFonts w:hint="eastAsia"/>
                <w:lang w:val="en-US" w:eastAsia="zh-CN"/>
              </w:rPr>
              <w:t>1</w:t>
            </w:r>
          </w:p>
        </w:tc>
        <w:tc>
          <w:tcPr>
            <w:tcW w:w="2835"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bidi w:val="0"/>
              <w:jc w:val="center"/>
            </w:pPr>
            <w:r>
              <w:rPr>
                <w:lang w:val="en-US" w:eastAsia="zh-CN"/>
              </w:rPr>
              <w:t>赤峰市人力资源和会社保障信息中心</w:t>
            </w:r>
          </w:p>
        </w:tc>
        <w:tc>
          <w:tcPr>
            <w:tcW w:w="1634"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pPr>
              <w:bidi w:val="0"/>
              <w:jc w:val="center"/>
            </w:pPr>
            <w:r>
              <w:t>公益一类事业单位</w:t>
            </w:r>
          </w:p>
        </w:tc>
      </w:tr>
    </w:tbl>
    <w:p>
      <w:pPr>
        <w:pStyle w:val="5"/>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default" w:ascii="Times New Roman" w:hAnsi="Times New Roman" w:eastAsia="黑体" w:cs="Times New Roman"/>
        </w:rPr>
      </w:pPr>
      <w:r>
        <w:rPr>
          <w:rFonts w:hint="default" w:ascii="Times New Roman" w:hAnsi="Times New Roman" w:eastAsia="黑体" w:cs="Times New Roman"/>
        </w:rPr>
        <w:t>  三、2023年度单位主要工作完成情况</w:t>
      </w:r>
    </w:p>
    <w:p>
      <w:pPr>
        <w:pStyle w:val="5"/>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（一）社保卡工作</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1.制发情况。截至年底，我市持卡人数397.24万人，常住人口持卡率98.42%，2023年新增制卡19422人（自治区任务是新增5000人）；电子社保卡签发260.91万人，人口覆盖率64.65%（自治区任务是50%），均超额完成任务。</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2.服务网点建设。截至目前，我市共有7家合作银行（建设银行、工商银行、农业银行、中国银行、邮储银行、蒙商银行、农信社），服务网点由2022年的434家增至552家，建成了覆盖全市城区、城关镇及大部分农村牧区、部分人社大厅的社保卡服务网络。</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3.管理系统用户核查。鉴于社保基金流失大多是通过社保卡骗取的，我们对全市社保卡管理系统用户进行了全面筛查，共核实用户1168个，其中：正常使用1035个，锁定133个，对有问题的用户进行了整改，从工作人员方面减少了基金流失的风险。</w:t>
      </w:r>
    </w:p>
    <w:p>
      <w:pPr>
        <w:pStyle w:val="6"/>
        <w:bidi w:val="0"/>
        <w:ind w:firstLine="640" w:firstLineChars="200"/>
        <w:rPr>
          <w:rFonts w:hint="eastAsia"/>
        </w:rPr>
      </w:pPr>
      <w:r>
        <w:rPr>
          <w:rFonts w:hint="eastAsia"/>
        </w:rPr>
        <w:t>（二）需求平台和权限管理工作</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1.规范权限调整。集中对各级人社业务系统人员账号、权限进行核实、梳理、备案，统一了权限调整流程。</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2.实名制管理。完成了各级经办机构综合柜员系统实名登录工作，经办人员必须通过电子社保卡扫码登录系统，做到账号实名、专人专用，杜绝了多人混用账号情况的发生。</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3.配合做好“社银一体化”。为保证社银一体化工作顺利开展，为银行网点工作人员新建账号400余个，同时优先解决后续的权限新增和调整需求。</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4.业务需求处理。通过自治区需求管理平台处理各类业务需求18192个，其中已完成11226个，已开发待验证6463个，开发中503个，保证了各项业务正常办理。</w:t>
      </w:r>
    </w:p>
    <w:p>
      <w:pPr>
        <w:pStyle w:val="6"/>
        <w:bidi w:val="0"/>
        <w:ind w:firstLine="640" w:firstLineChars="200"/>
        <w:rPr>
          <w:rFonts w:hint="eastAsia"/>
        </w:rPr>
      </w:pPr>
      <w:r>
        <w:rPr>
          <w:rFonts w:hint="eastAsia"/>
        </w:rPr>
        <w:t>（三）线上服务平台管理工作</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1.官方媒体管理工作。做好门户网站、微信公众号等官方账号的维护管理工作，确保信息发布渠道畅通。</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2.“12333热线”工作。目前12333与12345双号并行运行稳定，2023年共报送知识库材料50余份、200多条，接收12345派单361件，均在规定时限内答复，响应率100%，满意率94.5%，在全市排在前列。</w:t>
      </w:r>
    </w:p>
    <w:p>
      <w:pPr>
        <w:pStyle w:val="6"/>
        <w:bidi w:val="0"/>
        <w:ind w:firstLine="640" w:firstLineChars="200"/>
        <w:rPr>
          <w:rFonts w:hint="eastAsia"/>
        </w:rPr>
      </w:pPr>
      <w:r>
        <w:rPr>
          <w:rFonts w:hint="eastAsia"/>
        </w:rPr>
        <w:t>（四）技术服务工作</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1.完成了全市人社系统业务用户接入网络安全准入系统工作，通过准入技术对全市用户进行安全防护。</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2.对共享查询参保数据的单位进行了全面清查，从授权账号管理、入网申请、保密协议签订、用户查询方式等方面加强了网络安全管理，通过防火墙策略规定用户访问端口。</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3.为了提高金保工程网络与信息安全突发事件的应急响应能力，制定了《金保工程网络安全应急预案》，邀请网络安全管理专家对中心全体人员进行网络安全方面的培训，并组织了一次网络安全事件应急演练，检验了机房应对网络安全事件的处理能力和协同配合能力。</w:t>
      </w:r>
    </w:p>
    <w:p>
      <w:pPr>
        <w:pStyle w:val="6"/>
        <w:bidi w:val="0"/>
        <w:ind w:firstLine="640" w:firstLineChars="200"/>
        <w:rPr>
          <w:rFonts w:hint="eastAsia"/>
        </w:rPr>
      </w:pPr>
      <w:r>
        <w:rPr>
          <w:rFonts w:hint="eastAsia"/>
        </w:rPr>
        <w:t>（五）人社统计工作</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rPr>
      </w:pPr>
      <w:r>
        <w:rPr>
          <w:rFonts w:hint="eastAsia"/>
        </w:rPr>
        <w:t>按照人社厅要求，开展全市人力资源社会保障统计工作，圆满完成了2022年度事业单位人员和工资统计并上报。</w:t>
      </w:r>
    </w:p>
    <w:p>
      <w:pPr>
        <w:pStyle w:val="4"/>
        <w:bidi w:val="0"/>
        <w:jc w:val="center"/>
      </w:pPr>
      <w:r>
        <w:t>第二部分  单位决算情况说明</w:t>
      </w:r>
    </w:p>
    <w:p>
      <w:pPr>
        <w:keepNext w:val="0"/>
        <w:keepLines w:val="0"/>
        <w:pageBreakBefore w:val="0"/>
        <w:widowControl/>
        <w:kinsoku/>
        <w:wordWrap/>
        <w:overflowPunct/>
        <w:topLinePunct w:val="0"/>
        <w:autoSpaceDE/>
        <w:autoSpaceDN/>
        <w:bidi w:val="0"/>
        <w:adjustRightInd/>
        <w:snapToGrid/>
        <w:spacing w:before="240" w:after="240" w:line="360" w:lineRule="auto"/>
        <w:ind w:firstLine="540" w:firstLineChars="200"/>
        <w:jc w:val="left"/>
        <w:textAlignment w:val="auto"/>
        <w:outlineLvl w:val="1"/>
        <w:rPr>
          <w:rFonts w:ascii="Times New Roman" w:hAnsi="Times New Roman" w:eastAsia="Times New Roman" w:cs="Times New Roman"/>
          <w:kern w:val="0"/>
          <w:sz w:val="24"/>
        </w:rPr>
      </w:pPr>
      <w:r>
        <w:rPr>
          <w:rFonts w:ascii="Calibri" w:hAnsi="Calibri" w:eastAsia="Calibri" w:cs="Calibri"/>
          <w:b/>
          <w:bCs/>
          <w:kern w:val="0"/>
          <w:sz w:val="27"/>
          <w:szCs w:val="27"/>
        </w:rPr>
        <w:t> </w:t>
      </w:r>
      <w:r>
        <w:rPr>
          <w:rStyle w:val="33"/>
        </w:rPr>
        <w:t>一、收入支出决算总体情况说明</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赤峰市人力资源社会保障技术服务中心 2023年度收入、支出决算总计 200.61万元。与年初预算相比，收、支总计各增加 57.12万元，增长 39.80%，变动原因：</w:t>
      </w:r>
      <w:r>
        <w:rPr>
          <w:rFonts w:hint="eastAsia"/>
          <w:lang w:val="en-US" w:eastAsia="zh-CN"/>
        </w:rPr>
        <w:t>本年新招录人员，以及新追加人才引进项目</w:t>
      </w:r>
      <w:r>
        <w:t>；与上年决算相比，收、支总计各增加 24.04万元，增长 13.62%。其中：</w:t>
      </w:r>
      <w:r>
        <w:rPr>
          <w:rFonts w:hint="eastAsia"/>
          <w:lang w:val="en-US" w:eastAsia="zh-CN"/>
        </w:rPr>
        <w:t>本年新招录人员，以及新追加人才引进项目。</w:t>
      </w:r>
    </w:p>
    <w:p>
      <w:pPr>
        <w:pStyle w:val="6"/>
        <w:bidi w:val="0"/>
        <w:ind w:firstLine="640" w:firstLineChars="200"/>
      </w:pPr>
      <w:r>
        <w:t>（一）收入决算总计 200.61万元。包括：</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1.本年收入决算合计 200.60万元。与上年决算相比，增加 25.26万元，增长 14.40%，变动原因：</w:t>
      </w:r>
      <w:r>
        <w:rPr>
          <w:rFonts w:hint="eastAsia"/>
          <w:lang w:val="en-US" w:eastAsia="zh-CN"/>
        </w:rPr>
        <w:t>本年新招录人员，以及新追加人才引进项目</w:t>
      </w:r>
      <w:r>
        <w:t>。</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 xml:space="preserve">2.使用非财政拨款结余和专用结余 0.00万元。与上年决算相比，增加 0.00万元，增长 </w:t>
      </w:r>
      <w:r>
        <w:rPr>
          <w:rFonts w:hint="eastAsia"/>
          <w:lang w:val="en-US" w:eastAsia="zh-CN"/>
        </w:rPr>
        <w:t>0</w:t>
      </w:r>
      <w:r>
        <w:t>%，变动原因：</w:t>
      </w:r>
      <w:r>
        <w:rPr>
          <w:rFonts w:hint="eastAsia"/>
          <w:lang w:val="en-US" w:eastAsia="zh-CN"/>
        </w:rPr>
        <w:t>本单位不存在此项内容</w:t>
      </w:r>
      <w:r>
        <w:t>。</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3.年初结转和结余 0.01万元。与上年决算相比，减少1.21万元，减少98.88%，变动原因：</w:t>
      </w:r>
      <w:r>
        <w:rPr>
          <w:rFonts w:hint="eastAsia"/>
          <w:lang w:val="en-US" w:eastAsia="zh-CN"/>
        </w:rPr>
        <w:t>多申请的保险金额在本年支付</w:t>
      </w:r>
      <w: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Style w:val="29"/>
        </w:rPr>
        <w:t>（二）支出决算总计 200.61万元。包括：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1.本年支出决算合计 200.57万元。与上年决算相比，增加 24.02万元，增长 13.61%，变动原因：</w:t>
      </w:r>
      <w:r>
        <w:rPr>
          <w:rFonts w:hint="eastAsia"/>
          <w:lang w:val="en-US" w:eastAsia="zh-CN"/>
        </w:rPr>
        <w:t>本年新招录人员，以及新追加人才引进项目</w:t>
      </w:r>
      <w: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2.结余分配 0.00万元。结余分配事项：</w:t>
      </w:r>
      <w:r>
        <w:rPr>
          <w:rFonts w:hint="eastAsia"/>
          <w:lang w:val="en-US" w:eastAsia="zh-CN"/>
        </w:rPr>
        <w:t>无</w:t>
      </w:r>
      <w:r>
        <w:t xml:space="preserve">。与上年决算相比，增加 0.00万元，增长 </w:t>
      </w:r>
      <w:r>
        <w:rPr>
          <w:rFonts w:hint="eastAsia"/>
          <w:lang w:val="en-US" w:eastAsia="zh-CN"/>
        </w:rPr>
        <w:t>0</w:t>
      </w:r>
      <w:r>
        <w:t>%，变动原因：</w:t>
      </w:r>
      <w:r>
        <w:rPr>
          <w:rFonts w:hint="eastAsia"/>
          <w:lang w:val="en-US" w:eastAsia="zh-CN"/>
        </w:rPr>
        <w:t>本单位不存在此项内容</w:t>
      </w:r>
      <w: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ascii="Times New Roman" w:hAnsi="Times New Roman" w:eastAsia="Times New Roman" w:cs="Times New Roman"/>
          <w:kern w:val="0"/>
        </w:rPr>
      </w:pPr>
      <w:r>
        <w:t>3.年末结转和结余 0.04万元。结转和结余事项：</w:t>
      </w:r>
      <w:r>
        <w:rPr>
          <w:rFonts w:hint="eastAsia"/>
          <w:lang w:val="en-US" w:eastAsia="zh-CN"/>
        </w:rPr>
        <w:t>多申请的保险资金</w:t>
      </w:r>
      <w:r>
        <w:t>。与上年决算相比，增加 0.02万元，增长 121.45%，变动原因：</w:t>
      </w:r>
      <w:r>
        <w:rPr>
          <w:rFonts w:hint="eastAsia"/>
          <w:lang w:val="en-US" w:eastAsia="zh-CN"/>
        </w:rPr>
        <w:t>本年多申请的保险</w:t>
      </w:r>
      <w:r>
        <w:rPr>
          <w:rFonts w:hint="eastAsia" w:ascii="fang_song_gb2312" w:hAnsi="fang_song_gb2312" w:cs="fang_song_gb2312"/>
          <w:kern w:val="0"/>
          <w:szCs w:val="27"/>
          <w:lang w:val="en-US" w:eastAsia="zh-CN"/>
        </w:rPr>
        <w:t>费</w:t>
      </w:r>
      <w:r>
        <w:rPr>
          <w:rFonts w:ascii="fang_song_gb2312" w:hAnsi="fang_song_gb2312" w:eastAsia="fang_song_gb2312" w:cs="fang_song_gb2312"/>
          <w:kern w:val="0"/>
          <w:szCs w:val="27"/>
        </w:rPr>
        <w:t>。</w:t>
      </w:r>
    </w:p>
    <w:p>
      <w:pPr>
        <w:keepNext w:val="0"/>
        <w:keepLines w:val="0"/>
        <w:pageBreakBefore w:val="0"/>
        <w:widowControl/>
        <w:kinsoku/>
        <w:wordWrap/>
        <w:overflowPunct/>
        <w:topLinePunct w:val="0"/>
        <w:autoSpaceDE/>
        <w:autoSpaceDN/>
        <w:bidi w:val="0"/>
        <w:adjustRightInd/>
        <w:snapToGrid/>
        <w:spacing w:before="240" w:after="240" w:line="360" w:lineRule="auto"/>
        <w:ind w:firstLine="640" w:firstLineChars="200"/>
        <w:jc w:val="left"/>
        <w:textAlignment w:val="auto"/>
        <w:outlineLvl w:val="1"/>
        <w:rPr>
          <w:rFonts w:ascii="Times New Roman" w:hAnsi="Times New Roman" w:eastAsia="Times New Roman" w:cs="Times New Roman"/>
          <w:kern w:val="0"/>
          <w:sz w:val="24"/>
        </w:rPr>
      </w:pPr>
      <w:r>
        <w:rPr>
          <w:rStyle w:val="33"/>
        </w:rPr>
        <w:t>二、收入决算情况说明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赤峰市人力资源社会保障技术服务中心 2023年度本年收入决算合计 200.60万元，其中：</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本年一般公共预算财政拨款收入 200.60万元，占 100.00%；</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本年政府性基金预算财政拨款收入 0.00万元，占 0.00%；</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本年国有资本经营预算财政拨款收入 0.00万元，占 0.00%；</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本年上级补助收入 0.00万元，占 0.00%；</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本年事业收入 0.00万元，占 0.00%；</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本年经营收入 0.00万元，占 0.00%；</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本年附属单位上缴收入 0.00万元，占 0.00%；</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本年其他收入 0.00万元，占 0.00%。</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hint="eastAsia" w:ascii="fang_song_gb2312" w:hAnsi="fang_song_gb2312" w:cs="fang_song_gb2312"/>
          <w:color w:val="0E00FE"/>
          <w:kern w:val="0"/>
          <w:sz w:val="27"/>
          <w:szCs w:val="27"/>
          <w:lang w:val="en-US" w:eastAsia="zh-CN"/>
        </w:rPr>
        <w:t xml:space="preserve">   </w:t>
      </w:r>
      <w:r>
        <w:rPr>
          <w:rFonts w:ascii="fang_song_gb2312" w:hAnsi="fang_song_gb2312" w:eastAsia="fang_song_gb2312" w:cs="fang_song_gb2312"/>
          <w:color w:val="0E00FE"/>
          <w:kern w:val="0"/>
          <w:sz w:val="27"/>
          <w:szCs w:val="27"/>
        </w:rPr>
        <w:t xml:space="preserve">   </w:t>
      </w:r>
      <w:r>
        <w:rPr>
          <w:rFonts w:hint="eastAsia" w:ascii="Times New Roman" w:hAnsi="Times New Roman" w:eastAsia="宋体" w:cs="Times New Roman"/>
          <w:kern w:val="0"/>
          <w:sz w:val="24"/>
          <w:lang w:eastAsia="zh-CN"/>
        </w:rPr>
        <w:drawing>
          <wp:inline distT="0" distB="0" distL="114300" distR="114300">
            <wp:extent cx="4962525" cy="2990850"/>
            <wp:effectExtent l="0" t="0" r="9525" b="0"/>
            <wp:docPr id="1" name="图片 1" descr="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手"/>
                    <pic:cNvPicPr>
                      <a:picLocks noChangeAspect="1"/>
                    </pic:cNvPicPr>
                  </pic:nvPicPr>
                  <pic:blipFill>
                    <a:blip r:embed="rId6"/>
                    <a:stretch>
                      <a:fillRect/>
                    </a:stretch>
                  </pic:blipFill>
                  <pic:spPr>
                    <a:xfrm>
                      <a:off x="0" y="0"/>
                      <a:ext cx="4962525" cy="2990850"/>
                    </a:xfrm>
                    <a:prstGeom prst="rect">
                      <a:avLst/>
                    </a:prstGeom>
                  </pic:spPr>
                </pic:pic>
              </a:graphicData>
            </a:graphic>
          </wp:inline>
        </w:drawing>
      </w:r>
    </w:p>
    <w:p>
      <w:pPr>
        <w:bidi w:val="0"/>
        <w:jc w:val="center"/>
      </w:pPr>
      <w:r>
        <w:t>图1.收入决算图</w:t>
      </w:r>
    </w:p>
    <w:p>
      <w:pPr>
        <w:keepNext w:val="0"/>
        <w:keepLines w:val="0"/>
        <w:pageBreakBefore w:val="0"/>
        <w:widowControl/>
        <w:kinsoku/>
        <w:wordWrap/>
        <w:overflowPunct/>
        <w:topLinePunct w:val="0"/>
        <w:autoSpaceDE/>
        <w:autoSpaceDN/>
        <w:bidi w:val="0"/>
        <w:adjustRightInd/>
        <w:snapToGrid/>
        <w:spacing w:before="240" w:after="240" w:line="360" w:lineRule="auto"/>
        <w:ind w:firstLine="540" w:firstLineChars="200"/>
        <w:jc w:val="left"/>
        <w:textAlignment w:val="auto"/>
        <w:outlineLvl w:val="1"/>
        <w:rPr>
          <w:rFonts w:ascii="Times New Roman" w:hAnsi="Times New Roman" w:eastAsia="Times New Roman" w:cs="Times New Roman"/>
          <w:kern w:val="0"/>
          <w:sz w:val="24"/>
        </w:rPr>
      </w:pPr>
      <w:r>
        <w:rPr>
          <w:rFonts w:ascii="Calibri" w:hAnsi="Calibri" w:eastAsia="Calibri" w:cs="Calibri"/>
          <w:b/>
          <w:bCs/>
          <w:kern w:val="0"/>
          <w:sz w:val="27"/>
          <w:szCs w:val="27"/>
        </w:rPr>
        <w:t> </w:t>
      </w:r>
      <w:r>
        <w:rPr>
          <w:rStyle w:val="33"/>
        </w:rPr>
        <w:t>三、支出决算情况说明</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rPr>
          <w:rFonts w:hint="eastAsia"/>
        </w:rPr>
        <w:t>赤峰市人力资源社会保障技术服务中心 2023年度本年支出决算合计 200.57万元，其中：</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本年基本支出 159.58万元，占 79.56%；</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本年项目支出 40.99万元，占 20.44%；</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本年上缴上级支出 0.00万元，占 0.00%；</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本年经营支出 0.00万元，占 0.00%；</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outlineLvl w:val="1"/>
      </w:pPr>
      <w:r>
        <w:t>本年对附属单位补助支出 0.00万元，占 0.00%。</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hint="eastAsia" w:ascii="fang_song_gb2312" w:hAnsi="fang_song_gb2312" w:cs="fang_song_gb2312"/>
          <w:color w:val="0E00FE"/>
          <w:kern w:val="0"/>
          <w:sz w:val="27"/>
          <w:szCs w:val="27"/>
          <w:lang w:val="en-US" w:eastAsia="zh-CN"/>
        </w:rPr>
        <w:t xml:space="preserve">     </w:t>
      </w:r>
      <w:r>
        <w:rPr>
          <w:rFonts w:ascii="fang_song_gb2312" w:hAnsi="fang_song_gb2312" w:eastAsia="fang_song_gb2312" w:cs="fang_song_gb2312"/>
          <w:color w:val="0E00FE"/>
          <w:kern w:val="0"/>
          <w:sz w:val="27"/>
          <w:szCs w:val="27"/>
        </w:rPr>
        <w:t xml:space="preserve">   </w:t>
      </w:r>
      <w:r>
        <w:rPr>
          <w:rFonts w:hint="eastAsia" w:ascii="Times New Roman" w:hAnsi="Times New Roman" w:eastAsia="宋体" w:cs="Times New Roman"/>
          <w:kern w:val="0"/>
          <w:sz w:val="24"/>
          <w:lang w:eastAsia="zh-CN"/>
        </w:rPr>
        <w:drawing>
          <wp:inline distT="0" distB="0" distL="114300" distR="114300">
            <wp:extent cx="4562475" cy="2705100"/>
            <wp:effectExtent l="0" t="0" r="9525" b="0"/>
            <wp:docPr id="2" name="图片 2" descr="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支"/>
                    <pic:cNvPicPr>
                      <a:picLocks noChangeAspect="1"/>
                    </pic:cNvPicPr>
                  </pic:nvPicPr>
                  <pic:blipFill>
                    <a:blip r:embed="rId7"/>
                    <a:stretch>
                      <a:fillRect/>
                    </a:stretch>
                  </pic:blipFill>
                  <pic:spPr>
                    <a:xfrm>
                      <a:off x="0" y="0"/>
                      <a:ext cx="4562475" cy="2705100"/>
                    </a:xfrm>
                    <a:prstGeom prst="rect">
                      <a:avLst/>
                    </a:prstGeom>
                  </pic:spPr>
                </pic:pic>
              </a:graphicData>
            </a:graphic>
          </wp:inline>
        </w:drawing>
      </w:r>
    </w:p>
    <w:p>
      <w:pPr>
        <w:bidi w:val="0"/>
        <w:jc w:val="center"/>
      </w:pPr>
      <w:r>
        <w:t>图2.支出决算图</w:t>
      </w:r>
    </w:p>
    <w:p>
      <w:pPr>
        <w:pStyle w:val="5"/>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四、财政拨款收入支出决算总体情况说明</w:t>
      </w:r>
    </w:p>
    <w:p>
      <w:pPr>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赤峰市人力资源社会保障技术服务中心 2023年度财政拨款收入、支出决算总计 200.61万元，与年初预算相比，收、支总计各增加 57.12万元，增长 39.80%，变动原因：</w:t>
      </w:r>
      <w:r>
        <w:rPr>
          <w:rFonts w:hint="eastAsia"/>
          <w:lang w:val="en-US" w:eastAsia="zh-CN"/>
        </w:rPr>
        <w:t>本年新招录人员，以及新追加人才引进项目</w:t>
      </w:r>
      <w:r>
        <w:t>；与上年决算相比，收、支总计各增加 25.28万元，增长 14.42%，变动原因：</w:t>
      </w:r>
      <w:r>
        <w:rPr>
          <w:rFonts w:hint="eastAsia"/>
          <w:lang w:val="en-US" w:eastAsia="zh-CN"/>
        </w:rPr>
        <w:t>本年新招录人员，以及新追加人才引进项目</w:t>
      </w:r>
      <w: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Style w:val="33"/>
        </w:rPr>
        <w:t>五、一般公共预算财政拨款支出决算情况说明</w:t>
      </w:r>
    </w:p>
    <w:p>
      <w:pPr>
        <w:pageBreakBefore w:val="0"/>
        <w:kinsoku/>
        <w:wordWrap/>
        <w:overflowPunct/>
        <w:topLinePunct w:val="0"/>
        <w:autoSpaceDE/>
        <w:autoSpaceDN/>
        <w:bidi w:val="0"/>
        <w:adjustRightInd/>
        <w:snapToGrid/>
        <w:spacing w:line="360" w:lineRule="auto"/>
        <w:ind w:firstLine="640" w:firstLineChars="200"/>
        <w:textAlignment w:val="auto"/>
        <w:outlineLvl w:val="1"/>
      </w:pPr>
      <w:r>
        <w:t>赤峰市人力资源社会保障技术服务中心 2023年度一般公共预算财政拨款支出决算 200.57万元。与年初预算 143.49万元相比，完成年初预算的 139.78%。其中：</w:t>
      </w:r>
    </w:p>
    <w:p>
      <w:pPr>
        <w:pStyle w:val="5"/>
        <w:pageBreakBefore w:val="0"/>
        <w:kinsoku/>
        <w:wordWrap/>
        <w:overflowPunct/>
        <w:topLinePunct w:val="0"/>
        <w:autoSpaceDE/>
        <w:autoSpaceDN/>
        <w:bidi w:val="0"/>
        <w:adjustRightInd/>
        <w:snapToGrid/>
        <w:spacing w:line="360" w:lineRule="auto"/>
        <w:ind w:firstLine="640" w:firstLineChars="200"/>
        <w:textAlignment w:val="auto"/>
        <w:outlineLvl w:val="1"/>
      </w:pPr>
      <w:r>
        <w:t>（</w:t>
      </w:r>
      <w:r>
        <w:rPr>
          <w:rFonts w:hint="eastAsia"/>
          <w:lang w:val="en-US" w:eastAsia="zh-CN"/>
        </w:rPr>
        <w:t>一</w:t>
      </w:r>
      <w:r>
        <w:t>）社会保障和就业支出（类）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社会保障和就业支出类决算数为 179.12万元，与年初预算相比增加58.50万元。其中：</w:t>
      </w:r>
    </w:p>
    <w:p>
      <w:pPr>
        <w:bidi w:val="0"/>
      </w:pPr>
      <w:r>
        <w:rPr>
          <w:rFonts w:ascii="fang_song_gb2312" w:hAnsi="fang_song_gb2312" w:eastAsia="fang_song_gb2312" w:cs="fang_song_gb2312"/>
          <w:kern w:val="0"/>
          <w:szCs w:val="27"/>
        </w:rPr>
        <w:t>   </w:t>
      </w:r>
      <w:r>
        <w:t xml:space="preserve"> 1．</w:t>
      </w:r>
      <w:r>
        <w:rPr>
          <w:rFonts w:hint="eastAsia"/>
        </w:rPr>
        <w:t>人力资源和社会保障管理事务</w:t>
      </w:r>
      <w:r>
        <w:t>（款）</w:t>
      </w:r>
      <w:r>
        <w:rPr>
          <w:rFonts w:hint="eastAsia"/>
        </w:rPr>
        <w:t>社会保险经办机构</w:t>
      </w:r>
      <w:r>
        <w:t>（项）。年初预算</w:t>
      </w:r>
      <w:r>
        <w:rPr>
          <w:rFonts w:hint="eastAsia"/>
          <w:lang w:val="en-US" w:eastAsia="zh-CN"/>
        </w:rPr>
        <w:t>63.36</w:t>
      </w:r>
      <w:r>
        <w:t>万元，支出决算</w:t>
      </w:r>
      <w:r>
        <w:rPr>
          <w:rFonts w:hint="eastAsia"/>
          <w:lang w:val="en-US" w:eastAsia="zh-CN"/>
        </w:rPr>
        <w:t>110.75</w:t>
      </w:r>
      <w:r>
        <w:t>万元，完成年初预算的</w:t>
      </w:r>
      <w:r>
        <w:rPr>
          <w:rFonts w:hint="eastAsia"/>
          <w:lang w:val="en-US" w:eastAsia="zh-CN"/>
        </w:rPr>
        <w:t>174.11</w:t>
      </w:r>
      <w:r>
        <w:t>%。决算数与年初预算数的差异原因：</w:t>
      </w:r>
      <w:r>
        <w:rPr>
          <w:rFonts w:hint="eastAsia"/>
          <w:lang w:val="en-US" w:eastAsia="zh-CN"/>
        </w:rPr>
        <w:t>本年新增加人员，以及追加机房维修改造项目</w:t>
      </w:r>
      <w:r>
        <w:t>。</w:t>
      </w:r>
    </w:p>
    <w:p>
      <w:pPr>
        <w:bidi w:val="0"/>
      </w:pPr>
      <w:r>
        <w:t>    2．</w:t>
      </w:r>
      <w:r>
        <w:rPr>
          <w:rFonts w:hint="eastAsia"/>
        </w:rPr>
        <w:t>人力资源和社会保障管理事务</w:t>
      </w:r>
      <w:r>
        <w:t>（款）</w:t>
      </w:r>
      <w:r>
        <w:rPr>
          <w:rFonts w:hint="eastAsia"/>
        </w:rPr>
        <w:t>事业运行</w:t>
      </w:r>
      <w:r>
        <w:t>（项）。年初预算</w:t>
      </w:r>
      <w:r>
        <w:rPr>
          <w:rFonts w:hint="eastAsia"/>
          <w:lang w:val="en-US" w:eastAsia="zh-CN"/>
        </w:rPr>
        <w:t>34.41</w:t>
      </w:r>
      <w:r>
        <w:t>万元，支出决算</w:t>
      </w:r>
      <w:r>
        <w:rPr>
          <w:rFonts w:hint="eastAsia"/>
          <w:lang w:val="en-US" w:eastAsia="zh-CN"/>
        </w:rPr>
        <w:t>34.38</w:t>
      </w:r>
      <w:r>
        <w:t>万元，完成年初预算的</w:t>
      </w:r>
      <w:r>
        <w:rPr>
          <w:rFonts w:hint="eastAsia"/>
          <w:lang w:val="en-US" w:eastAsia="zh-CN"/>
        </w:rPr>
        <w:t>99.9</w:t>
      </w:r>
      <w:r>
        <w:t>%。决算数与年初预算数的差异原因：</w:t>
      </w:r>
      <w:r>
        <w:rPr>
          <w:rFonts w:hint="eastAsia"/>
          <w:lang w:val="en-US" w:eastAsia="zh-CN"/>
        </w:rPr>
        <w:t>预决算无明显差异</w:t>
      </w:r>
      <w:r>
        <w:t>。</w:t>
      </w:r>
    </w:p>
    <w:p>
      <w:pPr>
        <w:bidi w:val="0"/>
      </w:pPr>
      <w:r>
        <w:t>    3．行政事业单位养老支出（款）</w:t>
      </w:r>
      <w:r>
        <w:rPr>
          <w:rFonts w:hint="eastAsia"/>
        </w:rPr>
        <w:t>事业单位离退休</w:t>
      </w:r>
      <w:r>
        <w:t>（项）。年初预算</w:t>
      </w:r>
      <w:r>
        <w:rPr>
          <w:rFonts w:hint="eastAsia"/>
          <w:lang w:val="en-US" w:eastAsia="zh-CN"/>
        </w:rPr>
        <w:t>1.25</w:t>
      </w:r>
      <w:r>
        <w:t>万元，支出决算</w:t>
      </w:r>
      <w:r>
        <w:rPr>
          <w:rFonts w:hint="eastAsia"/>
          <w:lang w:val="en-US" w:eastAsia="zh-CN"/>
        </w:rPr>
        <w:t>1.25</w:t>
      </w:r>
      <w:r>
        <w:t>万元，完成年初预算的</w:t>
      </w:r>
      <w:r>
        <w:rPr>
          <w:rFonts w:hint="eastAsia"/>
          <w:lang w:val="en-US" w:eastAsia="zh-CN"/>
        </w:rPr>
        <w:t>100</w:t>
      </w:r>
      <w:r>
        <w:t>%。决算数与年初预算数的差异原因：</w:t>
      </w:r>
      <w:r>
        <w:rPr>
          <w:rFonts w:hint="eastAsia"/>
          <w:lang w:val="en-US" w:eastAsia="zh-CN"/>
        </w:rPr>
        <w:t>预决算无差异</w:t>
      </w:r>
      <w:r>
        <w:t>。</w:t>
      </w:r>
    </w:p>
    <w:p>
      <w:pPr>
        <w:bidi w:val="0"/>
      </w:pPr>
      <w:r>
        <w:t>    4．</w:t>
      </w:r>
      <w:r>
        <w:rPr>
          <w:rFonts w:hint="eastAsia"/>
        </w:rPr>
        <w:t>人力资源和社会保障管理事务</w:t>
      </w:r>
      <w:r>
        <w:t>（款）</w:t>
      </w:r>
      <w:r>
        <w:rPr>
          <w:rFonts w:hint="eastAsia"/>
        </w:rPr>
        <w:t>其他人力资源和社会保障管理事务支出</w:t>
      </w:r>
      <w:r>
        <w:t>（项）。年初预算</w:t>
      </w:r>
      <w:r>
        <w:rPr>
          <w:rFonts w:hint="eastAsia"/>
          <w:lang w:val="en-US" w:eastAsia="zh-CN"/>
        </w:rPr>
        <w:t>0</w:t>
      </w:r>
      <w:r>
        <w:t>万元，支出决算</w:t>
      </w:r>
      <w:r>
        <w:rPr>
          <w:rFonts w:hint="eastAsia"/>
          <w:lang w:val="en-US" w:eastAsia="zh-CN"/>
        </w:rPr>
        <w:t>12.5</w:t>
      </w:r>
      <w:r>
        <w:t>万元，完成年初预算的</w:t>
      </w:r>
      <w:r>
        <w:rPr>
          <w:rFonts w:hint="eastAsia"/>
          <w:lang w:val="en-US" w:eastAsia="zh-CN"/>
        </w:rPr>
        <w:t>100</w:t>
      </w:r>
      <w:r>
        <w:t>%。决算数与年初预算数的差异原因：</w:t>
      </w:r>
      <w:r>
        <w:rPr>
          <w:rFonts w:hint="eastAsia"/>
          <w:lang w:val="en-US" w:eastAsia="zh-CN"/>
        </w:rPr>
        <w:t>本年新追加人才引进项目</w:t>
      </w:r>
      <w:r>
        <w:t>。</w:t>
      </w:r>
    </w:p>
    <w:p>
      <w:pPr>
        <w:bidi w:val="0"/>
      </w:pPr>
      <w:r>
        <w:t xml:space="preserve">     </w:t>
      </w:r>
      <w:r>
        <w:rPr>
          <w:rFonts w:hint="eastAsia"/>
          <w:lang w:val="en-US" w:eastAsia="zh-CN"/>
        </w:rPr>
        <w:t>5</w:t>
      </w:r>
      <w:r>
        <w:t>．行政事业单位养老支出（款）</w:t>
      </w:r>
      <w:r>
        <w:rPr>
          <w:rFonts w:hint="eastAsia"/>
        </w:rPr>
        <w:t>机关事业单位基本养老保险缴费支出</w:t>
      </w:r>
      <w:r>
        <w:t>（项）。年初预算</w:t>
      </w:r>
      <w:r>
        <w:rPr>
          <w:rFonts w:hint="eastAsia"/>
          <w:lang w:val="en-US" w:eastAsia="zh-CN"/>
        </w:rPr>
        <w:t>15.52</w:t>
      </w:r>
      <w:r>
        <w:t>万元，支出决算</w:t>
      </w:r>
      <w:r>
        <w:rPr>
          <w:rFonts w:hint="eastAsia"/>
          <w:lang w:val="en-US" w:eastAsia="zh-CN"/>
        </w:rPr>
        <w:t>14.16</w:t>
      </w:r>
      <w:r>
        <w:t>万元，完成年初预算的</w:t>
      </w:r>
      <w:r>
        <w:rPr>
          <w:rFonts w:hint="eastAsia"/>
          <w:lang w:val="en-US" w:eastAsia="zh-CN"/>
        </w:rPr>
        <w:t>91.2</w:t>
      </w:r>
      <w:r>
        <w:t>%。决算数与年初预算数的差异原因：</w:t>
      </w:r>
      <w:r>
        <w:rPr>
          <w:rFonts w:hint="eastAsia"/>
          <w:lang w:val="en-US" w:eastAsia="zh-CN"/>
        </w:rPr>
        <w:t>政策性调资导致预决算较小差异</w:t>
      </w:r>
      <w:r>
        <w:t>。</w:t>
      </w:r>
    </w:p>
    <w:p>
      <w:pPr>
        <w:bidi w:val="0"/>
        <w:rPr>
          <w:rFonts w:hint="default"/>
          <w:lang w:val="en-US" w:eastAsia="zh-CN"/>
        </w:rPr>
      </w:pPr>
      <w:r>
        <w:rPr>
          <w:rFonts w:hint="eastAsia"/>
          <w:lang w:val="en-US" w:eastAsia="zh-CN"/>
        </w:rPr>
        <w:t xml:space="preserve">   </w:t>
      </w:r>
      <w:r>
        <w:t xml:space="preserve">  </w:t>
      </w:r>
      <w:r>
        <w:rPr>
          <w:rFonts w:hint="eastAsia"/>
          <w:lang w:val="en-US" w:eastAsia="zh-CN"/>
        </w:rPr>
        <w:t>6</w:t>
      </w:r>
      <w:r>
        <w:t>．</w:t>
      </w:r>
      <w:r>
        <w:rPr>
          <w:rFonts w:hint="eastAsia"/>
        </w:rPr>
        <w:t>就业补助</w:t>
      </w:r>
      <w:r>
        <w:t>（款）</w:t>
      </w:r>
      <w:r>
        <w:rPr>
          <w:rFonts w:hint="eastAsia"/>
        </w:rPr>
        <w:t>其他就业补助支出</w:t>
      </w:r>
      <w:r>
        <w:t>（项）。年初预算</w:t>
      </w:r>
      <w:r>
        <w:rPr>
          <w:rFonts w:hint="eastAsia"/>
          <w:lang w:val="en-US" w:eastAsia="zh-CN"/>
        </w:rPr>
        <w:t>6.08</w:t>
      </w:r>
      <w:r>
        <w:t>万元，支出决算</w:t>
      </w:r>
      <w:r>
        <w:rPr>
          <w:rFonts w:hint="eastAsia"/>
          <w:lang w:val="en-US" w:eastAsia="zh-CN"/>
        </w:rPr>
        <w:t>6.08</w:t>
      </w:r>
      <w:r>
        <w:t>万元，完成年初预算的</w:t>
      </w:r>
      <w:r>
        <w:rPr>
          <w:rFonts w:hint="eastAsia"/>
          <w:lang w:val="en-US" w:eastAsia="zh-CN"/>
        </w:rPr>
        <w:t>100</w:t>
      </w:r>
      <w:r>
        <w:t>%。决算数与年初预算数的差异原因：</w:t>
      </w:r>
      <w:r>
        <w:rPr>
          <w:rFonts w:hint="eastAsia"/>
          <w:lang w:val="en-US" w:eastAsia="zh-CN"/>
        </w:rPr>
        <w:t>预决算无差异。</w:t>
      </w:r>
    </w:p>
    <w:p>
      <w:pPr>
        <w:widowControl/>
        <w:spacing w:before="240" w:after="240"/>
        <w:jc w:val="left"/>
        <w:rPr>
          <w:rStyle w:val="29"/>
        </w:rPr>
      </w:pPr>
      <w:r>
        <w:rPr>
          <w:rFonts w:ascii="kai_ti_gb2312" w:hAnsi="kai_ti_gb2312" w:eastAsia="kai_ti_gb2312" w:cs="kai_ti_gb2312"/>
          <w:b/>
          <w:bCs/>
          <w:kern w:val="0"/>
          <w:sz w:val="27"/>
          <w:szCs w:val="27"/>
        </w:rPr>
        <w:t xml:space="preserve">    </w:t>
      </w:r>
      <w:r>
        <w:rPr>
          <w:rStyle w:val="29"/>
        </w:rPr>
        <w:t>（</w:t>
      </w:r>
      <w:r>
        <w:rPr>
          <w:rStyle w:val="29"/>
          <w:rFonts w:hint="eastAsia"/>
          <w:lang w:val="en-US" w:eastAsia="zh-CN"/>
        </w:rPr>
        <w:t>二</w:t>
      </w:r>
      <w:r>
        <w:rPr>
          <w:rStyle w:val="29"/>
        </w:rPr>
        <w:t>）卫生健康支出（类）</w:t>
      </w:r>
    </w:p>
    <w:p>
      <w:pPr>
        <w:bidi w:val="0"/>
      </w:pPr>
      <w:r>
        <w:rPr>
          <w:rFonts w:ascii="fang_song_gb2312" w:hAnsi="fang_song_gb2312" w:eastAsia="fang_song_gb2312" w:cs="fang_song_gb2312"/>
          <w:kern w:val="0"/>
          <w:szCs w:val="27"/>
        </w:rPr>
        <w:t xml:space="preserve">    </w:t>
      </w:r>
      <w:r>
        <w:t>卫生健康支出类决算数为 8.54万元，与年初预算相比减少1.42万元。其中：</w:t>
      </w:r>
    </w:p>
    <w:p>
      <w:pPr>
        <w:bidi w:val="0"/>
      </w:pPr>
      <w:r>
        <w:t xml:space="preserve">    </w:t>
      </w:r>
      <w:r>
        <w:rPr>
          <w:rFonts w:hint="eastAsia"/>
          <w:lang w:val="en-US" w:eastAsia="zh-CN"/>
        </w:rPr>
        <w:t>1</w:t>
      </w:r>
      <w:r>
        <w:t>．行政事业单位医疗（款）事业单位医疗（项）。年初预算</w:t>
      </w:r>
      <w:r>
        <w:rPr>
          <w:rFonts w:hint="eastAsia"/>
          <w:lang w:val="en-US" w:eastAsia="zh-CN"/>
        </w:rPr>
        <w:t>7.68</w:t>
      </w:r>
      <w:r>
        <w:t>万元，支出决算</w:t>
      </w:r>
      <w:r>
        <w:rPr>
          <w:rFonts w:hint="eastAsia"/>
          <w:lang w:val="en-US" w:eastAsia="zh-CN"/>
        </w:rPr>
        <w:t>6.66</w:t>
      </w:r>
      <w:r>
        <w:t>万元，完成年初预算的</w:t>
      </w:r>
      <w:r>
        <w:rPr>
          <w:rFonts w:hint="eastAsia"/>
          <w:lang w:val="en-US" w:eastAsia="zh-CN"/>
        </w:rPr>
        <w:t>86.7</w:t>
      </w:r>
      <w:r>
        <w:t>%。决算数与年初预算数的差异原因：</w:t>
      </w:r>
      <w:r>
        <w:rPr>
          <w:rFonts w:hint="eastAsia"/>
          <w:lang w:val="en-US" w:eastAsia="zh-CN"/>
        </w:rPr>
        <w:t>政策性调资导致医疗保险较小差异</w:t>
      </w:r>
      <w:r>
        <w:t>。</w:t>
      </w:r>
    </w:p>
    <w:p>
      <w:pPr>
        <w:bidi w:val="0"/>
      </w:pPr>
      <w:r>
        <w:t xml:space="preserve">    </w:t>
      </w:r>
      <w:r>
        <w:rPr>
          <w:rFonts w:hint="eastAsia"/>
          <w:lang w:val="en-US" w:eastAsia="zh-CN"/>
        </w:rPr>
        <w:t>2</w:t>
      </w:r>
      <w:r>
        <w:t>．行政事业单位医疗（款）公务员医疗补助（项）。年初预算</w:t>
      </w:r>
      <w:r>
        <w:rPr>
          <w:rFonts w:hint="eastAsia"/>
          <w:lang w:val="en-US" w:eastAsia="zh-CN"/>
        </w:rPr>
        <w:t>2.28</w:t>
      </w:r>
      <w:r>
        <w:t>万元，支出决算</w:t>
      </w:r>
      <w:r>
        <w:rPr>
          <w:rFonts w:hint="eastAsia"/>
          <w:lang w:val="en-US" w:eastAsia="zh-CN"/>
        </w:rPr>
        <w:t>1.88</w:t>
      </w:r>
      <w:r>
        <w:t>万元，完成年初预算的</w:t>
      </w:r>
      <w:r>
        <w:rPr>
          <w:rFonts w:hint="eastAsia"/>
          <w:lang w:val="en-US" w:eastAsia="zh-CN"/>
        </w:rPr>
        <w:t>82.5</w:t>
      </w:r>
      <w:r>
        <w:t>%。决算数与年初预算数的差异原因：</w:t>
      </w:r>
      <w:r>
        <w:rPr>
          <w:rFonts w:hint="eastAsia"/>
          <w:lang w:val="en-US" w:eastAsia="zh-CN"/>
        </w:rPr>
        <w:t>政策性调资导致保险较小差异</w:t>
      </w:r>
      <w:r>
        <w:t>。</w:t>
      </w:r>
    </w:p>
    <w:p>
      <w:pPr>
        <w:widowControl/>
        <w:spacing w:before="240" w:after="240"/>
        <w:jc w:val="left"/>
        <w:rPr>
          <w:rStyle w:val="29"/>
        </w:rPr>
      </w:pPr>
      <w:r>
        <w:rPr>
          <w:rFonts w:ascii="kai_ti_gb2312" w:hAnsi="kai_ti_gb2312" w:eastAsia="kai_ti_gb2312" w:cs="kai_ti_gb2312"/>
          <w:b/>
          <w:bCs/>
          <w:kern w:val="0"/>
          <w:sz w:val="27"/>
          <w:szCs w:val="27"/>
        </w:rPr>
        <w:t xml:space="preserve">    </w:t>
      </w:r>
      <w:r>
        <w:rPr>
          <w:rStyle w:val="29"/>
        </w:rPr>
        <w:t>（</w:t>
      </w:r>
      <w:r>
        <w:rPr>
          <w:rStyle w:val="29"/>
          <w:rFonts w:hint="eastAsia"/>
          <w:lang w:eastAsia="zh-CN"/>
        </w:rPr>
        <w:t>三</w:t>
      </w:r>
      <w:r>
        <w:rPr>
          <w:rStyle w:val="29"/>
        </w:rPr>
        <w:t>）住房保障支出（类）</w:t>
      </w:r>
    </w:p>
    <w:p>
      <w:pPr>
        <w:bidi w:val="0"/>
      </w:pPr>
      <w:r>
        <w:rPr>
          <w:rFonts w:ascii="fang_song_gb2312" w:hAnsi="fang_song_gb2312" w:eastAsia="fang_song_gb2312" w:cs="fang_song_gb2312"/>
          <w:kern w:val="0"/>
          <w:szCs w:val="27"/>
        </w:rPr>
        <w:t>   </w:t>
      </w:r>
      <w:r>
        <w:t xml:space="preserve"> 住房保障支出类决算数为 12.91万元，与年初预算相比增加（减少） 0.00万元。其中：</w:t>
      </w:r>
    </w:p>
    <w:p>
      <w:pPr>
        <w:bidi w:val="0"/>
      </w:pPr>
      <w:r>
        <w:t>    1．住房改革支出（款）住房公积金（项）。年初预算</w:t>
      </w:r>
      <w:r>
        <w:rPr>
          <w:rFonts w:hint="eastAsia"/>
          <w:lang w:val="en-US" w:eastAsia="zh-CN"/>
        </w:rPr>
        <w:t>12.91</w:t>
      </w:r>
      <w:r>
        <w:t>万元，支出决算</w:t>
      </w:r>
      <w:r>
        <w:rPr>
          <w:rFonts w:hint="eastAsia"/>
          <w:lang w:val="en-US" w:eastAsia="zh-CN"/>
        </w:rPr>
        <w:t>12.91</w:t>
      </w:r>
      <w:r>
        <w:t>万元，完成年初预算的</w:t>
      </w:r>
      <w:r>
        <w:rPr>
          <w:rFonts w:hint="eastAsia"/>
          <w:lang w:val="en-US" w:eastAsia="zh-CN"/>
        </w:rPr>
        <w:t>100</w:t>
      </w:r>
      <w:r>
        <w:t>%。决算数与年初预算数的差异原因：</w:t>
      </w:r>
      <w:r>
        <w:rPr>
          <w:rFonts w:hint="eastAsia"/>
          <w:lang w:val="en-US" w:eastAsia="zh-CN"/>
        </w:rPr>
        <w:t>预决算无差异</w:t>
      </w:r>
      <w:r>
        <w:t>。</w:t>
      </w:r>
    </w:p>
    <w:p>
      <w:pPr>
        <w:keepNext w:val="0"/>
        <w:keepLines w:val="0"/>
        <w:pageBreakBefore w:val="0"/>
        <w:widowControl/>
        <w:kinsoku/>
        <w:wordWrap/>
        <w:overflowPunct/>
        <w:topLinePunct w:val="0"/>
        <w:autoSpaceDE/>
        <w:autoSpaceDN/>
        <w:bidi w:val="0"/>
        <w:adjustRightInd/>
        <w:snapToGrid/>
        <w:spacing w:before="240" w:after="240" w:line="360" w:lineRule="auto"/>
        <w:ind w:firstLine="640" w:firstLineChars="200"/>
        <w:jc w:val="left"/>
        <w:textAlignment w:val="auto"/>
        <w:outlineLvl w:val="1"/>
        <w:rPr>
          <w:rStyle w:val="33"/>
        </w:rPr>
      </w:pPr>
      <w:r>
        <w:rPr>
          <w:rStyle w:val="33"/>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240" w:after="240" w:line="360" w:lineRule="auto"/>
        <w:ind w:firstLine="640" w:firstLineChars="200"/>
        <w:jc w:val="left"/>
        <w:textAlignment w:val="auto"/>
        <w:outlineLvl w:val="1"/>
      </w:pPr>
      <w:r>
        <w:t>赤峰市人力资源社会保障技术服务中心 2023年度一般公共预算财政拨款基本支出决算 159.58万元，其中：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pPr>
      <w:r>
        <w:t>人员经费 143.61万元。主要包括：基本工资、津贴补贴、奖金、绩效工资、</w:t>
      </w:r>
      <w:r>
        <w:rPr>
          <w:rFonts w:hint="eastAsia"/>
        </w:rPr>
        <w:t>机关事业单位基本养老保险缴费</w:t>
      </w:r>
      <w:r>
        <w:rPr>
          <w:rFonts w:hint="eastAsia"/>
          <w:lang w:eastAsia="zh-CN"/>
        </w:rPr>
        <w:t>、职工基本医疗保险缴费、公务员医疗补助缴费、其他社会保障缴费、住房公积金、</w:t>
      </w:r>
      <w:r>
        <w:t>退休费等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pPr>
      <w:r>
        <w:t>公用经费 15.97万元。主要包括：办公费、印刷费、邮电费、物业管理费、差旅费等。</w:t>
      </w:r>
    </w:p>
    <w:p>
      <w:pPr>
        <w:widowControl/>
        <w:spacing w:before="240" w:after="240"/>
        <w:jc w:val="left"/>
        <w:rPr>
          <w:rStyle w:val="33"/>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Style w:val="33"/>
        </w:rPr>
        <w:t xml:space="preserve"> 七、一般公共预算财政拨款项目支出决算情况说明</w:t>
      </w:r>
    </w:p>
    <w:p>
      <w:pPr>
        <w:bidi w:val="0"/>
      </w:pPr>
      <w:r>
        <w:rPr>
          <w:rFonts w:ascii="fang_song_gb2312" w:hAnsi="fang_song_gb2312" w:eastAsia="fang_song_gb2312" w:cs="fang_song_gb2312"/>
          <w:kern w:val="0"/>
          <w:szCs w:val="27"/>
        </w:rPr>
        <w:t xml:space="preserve">    </w:t>
      </w:r>
      <w:r>
        <w:t>赤峰市人力资源社会保障技术服务中心 2023年度一般公共预算财政拨款项目支出决算 40.99万元，其中：</w:t>
      </w:r>
    </w:p>
    <w:p>
      <w:pPr>
        <w:bidi w:val="0"/>
      </w:pPr>
      <w:r>
        <w:t>    （一）工资福利支出 0.00万元。</w:t>
      </w:r>
    </w:p>
    <w:p>
      <w:pPr>
        <w:bidi w:val="0"/>
      </w:pPr>
      <w:r>
        <w:t>    （二）商品和服务支出 28.49万元。主要包括：维修（护）费</w:t>
      </w:r>
      <w:r>
        <w:rPr>
          <w:rFonts w:hint="eastAsia"/>
          <w:lang w:eastAsia="zh-CN"/>
        </w:rPr>
        <w:t>、</w:t>
      </w:r>
      <w:r>
        <w:t>其他商品和服务支出等。</w:t>
      </w:r>
    </w:p>
    <w:p>
      <w:pPr>
        <w:widowControl/>
        <w:spacing w:before="240" w:after="240"/>
        <w:jc w:val="left"/>
        <w:rPr>
          <w:rStyle w:val="33"/>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Style w:val="33"/>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Style w:val="29"/>
        </w:rPr>
        <w:t xml:space="preserve"> （一）财政拨款“三公”经费支出总体情况说明</w:t>
      </w:r>
      <w:r>
        <w:rPr>
          <w:rFonts w:ascii="kai_ti_gb2312" w:hAnsi="kai_ti_gb2312" w:eastAsia="kai_ti_gb2312" w:cs="kai_ti_gb2312"/>
          <w:b/>
          <w:bCs/>
          <w:kern w:val="0"/>
          <w:sz w:val="27"/>
          <w:szCs w:val="27"/>
        </w:rPr>
        <w:t>。</w:t>
      </w:r>
    </w:p>
    <w:p>
      <w:pPr>
        <w:bidi w:val="0"/>
        <w:ind w:firstLine="640" w:firstLineChars="200"/>
        <w:rPr>
          <w:rFonts w:hint="default"/>
          <w:lang w:val="en-US" w:eastAsia="zh-CN"/>
        </w:rPr>
      </w:pPr>
      <w:r>
        <w:t xml:space="preserve">赤峰市人力资源社会保障技术服务中心 2023年度财政拨款“三公”经费全年预算 0.00万元，支出决算 0.00万元，完成预算的 </w:t>
      </w:r>
      <w:r>
        <w:rPr>
          <w:rFonts w:hint="eastAsia"/>
          <w:lang w:val="en-US" w:eastAsia="zh-CN"/>
        </w:rPr>
        <w:t>0</w:t>
      </w:r>
      <w:r>
        <w:t xml:space="preserve">%。其中：因公出国（境）费全年预算 0.00万元，支出决算 0.00万元，完成预算的 </w:t>
      </w:r>
      <w:r>
        <w:rPr>
          <w:rFonts w:hint="eastAsia"/>
          <w:lang w:val="en-US" w:eastAsia="zh-CN"/>
        </w:rPr>
        <w:t>0</w:t>
      </w:r>
      <w:r>
        <w:t xml:space="preserve">%；公务用车购置及运行维护费全年预算 0.00万元，支出决算 0.00万元，完成预算的 </w:t>
      </w:r>
      <w:r>
        <w:rPr>
          <w:rFonts w:hint="eastAsia"/>
          <w:lang w:val="en-US" w:eastAsia="zh-CN"/>
        </w:rPr>
        <w:t>0</w:t>
      </w:r>
      <w:r>
        <w:t xml:space="preserve">%；公务接待费全年预算 0.00万元，支出决算 0.00万元，完成预算的 </w:t>
      </w:r>
      <w:r>
        <w:rPr>
          <w:rFonts w:hint="eastAsia"/>
          <w:lang w:val="en-US" w:eastAsia="zh-CN"/>
        </w:rPr>
        <w:t>0</w:t>
      </w:r>
      <w:r>
        <w:t>%。2023年度一般公共预算财政拨款“三公”经费支出决算与预算差异原因</w:t>
      </w:r>
      <w:r>
        <w:rPr>
          <w:rFonts w:hint="eastAsia"/>
          <w:lang w:eastAsia="zh-CN"/>
        </w:rPr>
        <w:t>：</w:t>
      </w:r>
      <w:r>
        <w:rPr>
          <w:rFonts w:hint="eastAsia"/>
          <w:lang w:val="en-US" w:eastAsia="zh-CN"/>
        </w:rPr>
        <w:t>本单位无</w:t>
      </w:r>
      <w:r>
        <w:t>“三公”经费支出。</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Style w:val="29"/>
        </w:rPr>
        <w:t>（二）财政拨款“三公”经费支出具体情况说明。</w:t>
      </w:r>
    </w:p>
    <w:p>
      <w:pPr>
        <w:bidi w:val="0"/>
      </w:pPr>
      <w:r>
        <w:rPr>
          <w:rFonts w:ascii="fang_song_gb2312" w:hAnsi="fang_song_gb2312" w:eastAsia="fang_song_gb2312" w:cs="fang_song_gb2312"/>
          <w:kern w:val="0"/>
          <w:szCs w:val="27"/>
        </w:rPr>
        <w:t xml:space="preserve">    </w:t>
      </w:r>
      <w:r>
        <w:t xml:space="preserve">赤峰市人力资源社会保障技术服务中心 2023年度财政拨款“三公”经费支出 0.00万元。因公出国（境）费支出 0.00万元，占 </w:t>
      </w:r>
      <w:r>
        <w:rPr>
          <w:rFonts w:hint="eastAsia"/>
          <w:lang w:val="en-US" w:eastAsia="zh-CN"/>
        </w:rPr>
        <w:t>0</w:t>
      </w:r>
      <w:r>
        <w:t xml:space="preserve">%；公务用车购置及运行维护费支出 0.00万元，占 </w:t>
      </w:r>
      <w:r>
        <w:rPr>
          <w:rFonts w:hint="eastAsia"/>
          <w:lang w:val="en-US" w:eastAsia="zh-CN"/>
        </w:rPr>
        <w:t>0</w:t>
      </w:r>
      <w:r>
        <w:t xml:space="preserve">%；公务接待费支出 0.00万元，占 </w:t>
      </w:r>
      <w:r>
        <w:rPr>
          <w:rFonts w:hint="eastAsia"/>
          <w:lang w:val="en-US" w:eastAsia="zh-CN"/>
        </w:rPr>
        <w:t>0</w:t>
      </w:r>
      <w:r>
        <w:t>%。其中：</w:t>
      </w:r>
    </w:p>
    <w:p>
      <w:pPr>
        <w:bidi w:val="0"/>
      </w:pPr>
      <w:r>
        <w:t xml:space="preserve">    1.因公出国（境）费支出 0.00万元，全年出国（境）团组0 个，累计0 人次。与上年决算相比，增加 0.00万元，增长 </w:t>
      </w:r>
      <w:r>
        <w:rPr>
          <w:rFonts w:hint="eastAsia"/>
          <w:lang w:val="en-US" w:eastAsia="zh-CN"/>
        </w:rPr>
        <w:t>0</w:t>
      </w:r>
      <w:r>
        <w:t>%，变动原因：</w:t>
      </w:r>
      <w:r>
        <w:rPr>
          <w:rFonts w:hint="eastAsia"/>
          <w:lang w:val="en-US" w:eastAsia="zh-CN"/>
        </w:rPr>
        <w:t>本单位无</w:t>
      </w:r>
      <w:r>
        <w:t>因公出国（境）费支出。</w:t>
      </w:r>
    </w:p>
    <w:p>
      <w:pPr>
        <w:bidi w:val="0"/>
      </w:pPr>
      <w:r>
        <w:t>    2.公务用车购置及运行维护费支出 0.00万元。其中：</w:t>
      </w:r>
    </w:p>
    <w:p>
      <w:pPr>
        <w:bidi w:val="0"/>
      </w:pPr>
      <w:r>
        <w:t>    （1）公务用车购置支出 0.00万元。本年度使用财政拨款购置公务用车0 辆，开支内容：</w:t>
      </w:r>
      <w:r>
        <w:rPr>
          <w:rFonts w:hint="eastAsia"/>
          <w:lang w:val="en-US" w:eastAsia="zh-CN"/>
        </w:rPr>
        <w:t>无</w:t>
      </w:r>
      <w:r>
        <w:t xml:space="preserve">。与上年决算相比，增加 0.00万元，增长 </w:t>
      </w:r>
      <w:r>
        <w:rPr>
          <w:rFonts w:hint="eastAsia"/>
          <w:lang w:val="en-US" w:eastAsia="zh-CN"/>
        </w:rPr>
        <w:t>0</w:t>
      </w:r>
      <w:r>
        <w:t>%，变动原因：</w:t>
      </w:r>
      <w:r>
        <w:rPr>
          <w:rFonts w:hint="eastAsia"/>
          <w:lang w:val="en-US" w:eastAsia="zh-CN"/>
        </w:rPr>
        <w:t>本单位无</w:t>
      </w:r>
      <w:r>
        <w:t>公务用车购置支出。</w:t>
      </w:r>
    </w:p>
    <w:p>
      <w:pPr>
        <w:bidi w:val="0"/>
      </w:pPr>
      <w:r>
        <w:t xml:space="preserve">    （2）公务用车运行维护费支出 0.00万元。公务用车运行维护费主要用于按规定保留的公务用车的燃料费、维修费、过桥过路费、保险费、安全奖励费用等支出。截至2023年12月31日，使用财政拨款开支的公务用车保有量为0 辆。与上年决算相比，增加0.00万元，增长 </w:t>
      </w:r>
      <w:r>
        <w:rPr>
          <w:rFonts w:hint="eastAsia"/>
          <w:lang w:val="en-US" w:eastAsia="zh-CN"/>
        </w:rPr>
        <w:t>0</w:t>
      </w:r>
      <w:r>
        <w:t>%，变动原因：</w:t>
      </w:r>
      <w:r>
        <w:rPr>
          <w:rFonts w:hint="eastAsia"/>
          <w:lang w:val="en-US" w:eastAsia="zh-CN"/>
        </w:rPr>
        <w:t>本单位无</w:t>
      </w:r>
      <w:r>
        <w:t>公务用车运行维护费支出。</w:t>
      </w:r>
    </w:p>
    <w:p>
      <w:pPr>
        <w:bidi w:val="0"/>
      </w:pPr>
      <w:r>
        <w:t>    3.公务接待费支出 0.00万元。其中：国内公务接待支出 0.00万元，接待0 批次，0 人次，开支内容：</w:t>
      </w:r>
      <w:r>
        <w:rPr>
          <w:rFonts w:hint="eastAsia"/>
          <w:lang w:val="en-US" w:eastAsia="zh-CN"/>
        </w:rPr>
        <w:t>无</w:t>
      </w:r>
      <w:r>
        <w:t>；国（境）外公务接待支出 0.00万元，接待0 批次，0 人次，开支内容：</w:t>
      </w:r>
      <w:r>
        <w:rPr>
          <w:rFonts w:hint="eastAsia"/>
          <w:lang w:val="en-US" w:eastAsia="zh-CN"/>
        </w:rPr>
        <w:t>无</w:t>
      </w:r>
      <w:r>
        <w:t xml:space="preserve">。与上年决算相比，增加 0.00万元，增长 </w:t>
      </w:r>
      <w:r>
        <w:rPr>
          <w:rFonts w:hint="eastAsia"/>
          <w:lang w:val="en-US" w:eastAsia="zh-CN"/>
        </w:rPr>
        <w:t>0</w:t>
      </w:r>
      <w:r>
        <w:t>%，变动原因：</w:t>
      </w:r>
      <w:r>
        <w:rPr>
          <w:rFonts w:hint="eastAsia"/>
          <w:lang w:val="en-US" w:eastAsia="zh-CN"/>
        </w:rPr>
        <w:t>本单位无</w:t>
      </w:r>
      <w:r>
        <w:t>公务接待费支出。</w:t>
      </w:r>
    </w:p>
    <w:p>
      <w:pPr>
        <w:widowControl/>
        <w:spacing w:before="240" w:after="240"/>
        <w:jc w:val="left"/>
        <w:rPr>
          <w:rStyle w:val="33"/>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Style w:val="33"/>
        </w:rPr>
        <w:t xml:space="preserve"> 九、政府性基金预算财政拨款支出决算情况说明</w:t>
      </w:r>
    </w:p>
    <w:p>
      <w:pPr>
        <w:bidi w:val="0"/>
        <w:ind w:firstLine="640" w:firstLineChars="200"/>
      </w:pPr>
      <w:r>
        <w:t xml:space="preserve">赤峰市人力资源社会保障技术服务中心 2023年度政府性基金预算财政拨款支出决算 0.00万元。与上年决算相比，增加 0.00万元，增长 </w:t>
      </w:r>
      <w:r>
        <w:rPr>
          <w:rFonts w:hint="eastAsia"/>
          <w:lang w:val="en-US" w:eastAsia="zh-CN"/>
        </w:rPr>
        <w:t>0</w:t>
      </w:r>
      <w:r>
        <w:t>%，变动原因：本单位无政府性基金预算财政拨款收、支、余。</w:t>
      </w:r>
    </w:p>
    <w:p>
      <w:pPr>
        <w:widowControl/>
        <w:spacing w:before="240" w:after="240"/>
        <w:jc w:val="left"/>
        <w:rPr>
          <w:rStyle w:val="33"/>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Style w:val="33"/>
        </w:rPr>
        <w:t xml:space="preserve"> 十、国有资本经营预算财政拨款支出决算情况说明</w:t>
      </w:r>
    </w:p>
    <w:p>
      <w:pPr>
        <w:bidi w:val="0"/>
        <w:ind w:firstLine="640" w:firstLineChars="200"/>
      </w:pPr>
      <w:r>
        <w:t>赤峰市人力资源社会保障技术服务中心 2023年度国有资本经营预算财政拨款支出决算 0.00万元。与上年决算相比，增加0.00万元，增长</w:t>
      </w:r>
      <w:r>
        <w:rPr>
          <w:rFonts w:hint="eastAsia"/>
          <w:lang w:val="en-US" w:eastAsia="zh-CN"/>
        </w:rPr>
        <w:t>0</w:t>
      </w:r>
      <w:r>
        <w:t>%，变动原因：本单位无国有资本经营预算财政拨款收、支、余。</w:t>
      </w:r>
    </w:p>
    <w:p>
      <w:pPr>
        <w:widowControl/>
        <w:spacing w:before="240" w:after="240"/>
        <w:rPr>
          <w:rStyle w:val="33"/>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Style w:val="33"/>
        </w:rPr>
        <w:t>十一、机构运行经费支出决算情况说明</w:t>
      </w:r>
    </w:p>
    <w:p>
      <w:pPr>
        <w:bidi w:val="0"/>
        <w:ind w:firstLine="640" w:firstLineChars="200"/>
      </w:pPr>
      <w:r>
        <w:t>赤峰市人力资源社会保障技术服务中心 2023年度机构运行经费支出决算 15.97万元。比上年决算相比，增加 2.05万元，增长 14.68%，变动原因：</w:t>
      </w:r>
      <w:r>
        <w:rPr>
          <w:rFonts w:hint="eastAsia"/>
          <w:lang w:val="en-US" w:eastAsia="zh-CN"/>
        </w:rPr>
        <w:t>本单位人员增加，由于工作需要机构运行经费增加</w:t>
      </w:r>
      <w:r>
        <w:t>。</w:t>
      </w:r>
    </w:p>
    <w:p>
      <w:pPr>
        <w:widowControl/>
        <w:spacing w:before="240" w:after="240"/>
        <w:jc w:val="left"/>
        <w:rPr>
          <w:rStyle w:val="33"/>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Style w:val="33"/>
        </w:rPr>
        <w:t xml:space="preserve"> 十二、政府采购支出决算情况说明</w:t>
      </w:r>
    </w:p>
    <w:p>
      <w:pPr>
        <w:bidi w:val="0"/>
        <w:ind w:firstLine="640" w:firstLineChars="200"/>
      </w:pPr>
      <w:r>
        <w:t>赤峰市人力资源社会保障技术服务中心 2023年度政府采购支出总额 3.87万元，其中：政府采购货物支出 1.67万元、政府采购工程支出 0.00万元、政府采购服务支出 2.20万元。政府采购授予中小企业合同金额 0.12万元，占政府采购支出总额的</w:t>
      </w:r>
      <w:r>
        <w:rPr>
          <w:rFonts w:hint="eastAsia"/>
          <w:lang w:val="en-US" w:eastAsia="zh-CN"/>
        </w:rPr>
        <w:t>3.1</w:t>
      </w:r>
      <w:r>
        <w:t>%，其中：授予小微企业合同金额  0.12万元，占政府采购支出总额的</w:t>
      </w:r>
      <w:r>
        <w:rPr>
          <w:rFonts w:hint="eastAsia"/>
          <w:lang w:val="en-US" w:eastAsia="zh-CN"/>
        </w:rPr>
        <w:t>3.1</w:t>
      </w:r>
      <w:r>
        <w:t>%；货物采购授予中小企业合同金额占货物支出金额的</w:t>
      </w:r>
      <w:r>
        <w:rPr>
          <w:rFonts w:hint="eastAsia"/>
          <w:lang w:val="en-US" w:eastAsia="zh-CN"/>
        </w:rPr>
        <w:t>7.2</w:t>
      </w:r>
      <w:r>
        <w:t>%，工程采购授予中小企业合同金额占工程支出金额的</w:t>
      </w:r>
      <w:r>
        <w:rPr>
          <w:rFonts w:hint="eastAsia"/>
          <w:lang w:val="en-US" w:eastAsia="zh-CN"/>
        </w:rPr>
        <w:t>100</w:t>
      </w:r>
      <w:r>
        <w:t>%，服务采购授予中小企业合同金额占服务支出金额的</w:t>
      </w:r>
      <w:r>
        <w:rPr>
          <w:rFonts w:hint="eastAsia"/>
          <w:lang w:val="en-US" w:eastAsia="zh-CN"/>
        </w:rPr>
        <w:t>0</w:t>
      </w:r>
      <w:r>
        <w:t>%。</w:t>
      </w:r>
    </w:p>
    <w:p>
      <w:pPr>
        <w:widowControl/>
        <w:spacing w:before="240" w:after="240"/>
        <w:jc w:val="left"/>
        <w:rPr>
          <w:rStyle w:val="33"/>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Style w:val="33"/>
        </w:rPr>
        <w:t>十三、国有资产占用情况说明</w:t>
      </w:r>
    </w:p>
    <w:p>
      <w:pPr>
        <w:bidi w:val="0"/>
        <w:ind w:firstLine="640" w:firstLineChars="200"/>
      </w:pPr>
      <w:r>
        <w:t>赤峰市人力资源社会保障技术服务中心 截至2023年12月31日，本部门（单位）共有车辆 0辆，其中：副部（省）级及以上领导用车0 辆、主要负责人用车 0辆、机要通信用车 0辆、应急保障用车 0辆、执法执勤用车 0辆、特种专业技术用车 0辆、离退休干部服务用车 0辆，其他用车 0辆；单价100万元（含）以上的设备（不含车辆） 0台（套）。</w:t>
      </w:r>
    </w:p>
    <w:p>
      <w:pPr>
        <w:pStyle w:val="5"/>
        <w:bidi w:val="0"/>
        <w:ind w:firstLine="640" w:firstLineChars="200"/>
      </w:pPr>
      <w:r>
        <w:t>十四、预算绩效情况说明</w:t>
      </w:r>
    </w:p>
    <w:p>
      <w:pPr>
        <w:pStyle w:val="6"/>
        <w:bidi w:val="0"/>
        <w:ind w:firstLine="640" w:firstLineChars="200"/>
      </w:pPr>
      <w:r>
        <w:t>（一）预算绩效管理工作开展情况。</w:t>
      </w:r>
    </w:p>
    <w:p>
      <w:pPr>
        <w:bidi w:val="0"/>
        <w:ind w:firstLine="640" w:firstLineChars="200"/>
        <w:rPr>
          <w:rFonts w:hint="eastAsia"/>
          <w:lang w:eastAsia="zh-CN"/>
        </w:rPr>
      </w:pPr>
      <w:r>
        <w:t>赤峰市人力资源社会保障技术服务中心单位根据预算绩效管理要求组织对</w:t>
      </w:r>
      <w:r>
        <w:rPr>
          <w:rFonts w:hint="eastAsia"/>
          <w:lang w:val="en-US" w:eastAsia="zh-CN"/>
        </w:rPr>
        <w:t>2023</w:t>
      </w:r>
      <w:r>
        <w:t>年项目支出开展绩效自评，其中一般公共预算项目</w:t>
      </w:r>
      <w:r>
        <w:rPr>
          <w:rFonts w:hint="eastAsia"/>
          <w:lang w:val="en-US" w:eastAsia="zh-CN"/>
        </w:rPr>
        <w:t>4</w:t>
      </w:r>
      <w:r>
        <w:t>个，涉及资金</w:t>
      </w:r>
      <w:r>
        <w:rPr>
          <w:rFonts w:hint="eastAsia"/>
          <w:lang w:val="en-US" w:eastAsia="zh-CN"/>
        </w:rPr>
        <w:t>40.99</w:t>
      </w:r>
      <w:r>
        <w:t>万元，占一般公共预算项目支出总额的</w:t>
      </w:r>
      <w:r>
        <w:rPr>
          <w:lang w:eastAsia="en-US"/>
        </w:rPr>
        <w:t>100%</w:t>
      </w:r>
      <w:r>
        <w:t>；政府性基金预算项目</w:t>
      </w:r>
      <w:r>
        <w:rPr>
          <w:lang w:eastAsia="en-US"/>
        </w:rPr>
        <w:t> </w:t>
      </w:r>
      <w:r>
        <w:rPr>
          <w:rFonts w:hint="eastAsia"/>
          <w:lang w:val="en-US" w:eastAsia="zh-CN"/>
        </w:rPr>
        <w:t>0</w:t>
      </w:r>
      <w:r>
        <w:t>个，涉及资金</w:t>
      </w:r>
      <w:r>
        <w:rPr>
          <w:lang w:eastAsia="en-US"/>
        </w:rPr>
        <w:t> </w:t>
      </w:r>
      <w:r>
        <w:rPr>
          <w:rFonts w:hint="eastAsia"/>
          <w:lang w:val="en-US" w:eastAsia="zh-CN"/>
        </w:rPr>
        <w:t>0</w:t>
      </w:r>
      <w:r>
        <w:t>万元，占应纳入绩效自评的政府性基金预算项目支出总额的</w:t>
      </w:r>
      <w:r>
        <w:rPr>
          <w:lang w:eastAsia="en-US"/>
        </w:rPr>
        <w:t>100%</w:t>
      </w:r>
      <w:r>
        <w:rPr>
          <w:rFonts w:hint="eastAsia"/>
          <w:lang w:eastAsia="zh-CN"/>
        </w:rPr>
        <w:t>。</w:t>
      </w:r>
    </w:p>
    <w:p>
      <w:pPr>
        <w:pStyle w:val="6"/>
        <w:bidi w:val="0"/>
        <w:ind w:firstLine="640" w:firstLineChars="200"/>
      </w:pPr>
      <w:r>
        <w:t>（二）单位决算中项目绩效自评结果。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t>赤峰市人力资源社会保障技术服务中心单位</w:t>
      </w:r>
      <w:r>
        <w:rPr>
          <w:rFonts w:hint="eastAsia"/>
          <w:lang w:val="en-US" w:eastAsia="zh-CN"/>
        </w:rPr>
        <w:t>2023</w:t>
      </w:r>
      <w:r>
        <w:t>年度在决算中反映“</w:t>
      </w:r>
      <w:r>
        <w:rPr>
          <w:rFonts w:hint="eastAsia"/>
          <w:lang w:eastAsia="en-US"/>
        </w:rPr>
        <w:t>人社大厅设备更新及维护</w:t>
      </w:r>
      <w:r>
        <w:t>”、“</w:t>
      </w:r>
      <w:r>
        <w:rPr>
          <w:rFonts w:hint="eastAsia"/>
          <w:lang w:eastAsia="en-US"/>
        </w:rPr>
        <w:t>金保工程网络维护费</w:t>
      </w:r>
      <w:r>
        <w:t>”、“</w:t>
      </w:r>
      <w:r>
        <w:rPr>
          <w:rFonts w:hint="eastAsia"/>
          <w:lang w:eastAsia="en-US"/>
        </w:rPr>
        <w:t>2021年引进人才安置费</w:t>
      </w:r>
      <w:r>
        <w:t>”等</w:t>
      </w:r>
      <w:r>
        <w:rPr>
          <w:lang w:eastAsia="en-US"/>
        </w:rPr>
        <w:t> </w:t>
      </w:r>
      <w:r>
        <w:rPr>
          <w:rFonts w:hint="eastAsia"/>
          <w:lang w:val="en-US" w:eastAsia="zh-CN"/>
        </w:rPr>
        <w:t>4</w:t>
      </w:r>
      <w:r>
        <w:t>个一般公共预算项目，</w:t>
      </w:r>
      <w:r>
        <w:rPr>
          <w:rFonts w:hint="eastAsia"/>
          <w:lang w:val="en-US" w:eastAsia="zh-CN"/>
        </w:rPr>
        <w:t>0</w:t>
      </w:r>
      <w:r>
        <w:t>个政府性基金项目，共</w:t>
      </w:r>
      <w:r>
        <w:rPr>
          <w:rFonts w:hint="eastAsia"/>
          <w:lang w:val="en-US" w:eastAsia="zh-CN"/>
        </w:rPr>
        <w:t>4</w:t>
      </w:r>
      <w:r>
        <w:t>个项目的绩效自评结果。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rPr>
          <w:lang w:eastAsia="en-US"/>
        </w:rPr>
        <w:t>1</w:t>
      </w:r>
      <w:r>
        <w:rPr>
          <w:rFonts w:hint="eastAsia"/>
          <w:lang w:eastAsia="en-US"/>
        </w:rPr>
        <w:t>人社大厅设备更新及维护</w:t>
      </w:r>
      <w:r>
        <w:t>项目自评综述：根据年初设定的绩效目标，项目自评得分</w:t>
      </w:r>
      <w:r>
        <w:rPr>
          <w:rFonts w:hint="eastAsia"/>
          <w:lang w:val="en-US" w:eastAsia="zh-CN"/>
        </w:rPr>
        <w:t>100</w:t>
      </w:r>
      <w:r>
        <w:rPr>
          <w:lang w:eastAsia="en-US"/>
        </w:rPr>
        <w:t xml:space="preserve"> </w:t>
      </w:r>
      <w:r>
        <w:t>分。全年预算数为</w:t>
      </w:r>
      <w:r>
        <w:rPr>
          <w:rFonts w:hint="eastAsia"/>
          <w:lang w:val="en-US" w:eastAsia="zh-CN"/>
        </w:rPr>
        <w:t>6.08</w:t>
      </w:r>
      <w:r>
        <w:t>万元，执行数为</w:t>
      </w:r>
      <w:r>
        <w:rPr>
          <w:rFonts w:hint="eastAsia"/>
          <w:lang w:val="en-US" w:eastAsia="zh-CN"/>
        </w:rPr>
        <w:t>6.08</w:t>
      </w:r>
      <w:r>
        <w:t>万元，完成预算的</w:t>
      </w:r>
      <w:r>
        <w:rPr>
          <w:rFonts w:hint="eastAsia"/>
          <w:lang w:val="en-US" w:eastAsia="zh-CN"/>
        </w:rPr>
        <w:t>100</w:t>
      </w:r>
      <w:r>
        <w:rPr>
          <w:lang w:eastAsia="en-US"/>
        </w:rPr>
        <w:t>%</w:t>
      </w:r>
      <w:r>
        <w:t>。项目绩效目标完成情况：</w:t>
      </w:r>
      <w:r>
        <w:rPr>
          <w:rFonts w:hint="eastAsia"/>
        </w:rPr>
        <w:t>市人社大厅对旧设备进行了维护和更新，提高了人社系统经办机构服务群众的效能，群众对人社工作给予高度认可。群众满意度高</w:t>
      </w:r>
      <w:r>
        <w:t>。发现的主要问题及原因：</w:t>
      </w:r>
      <w:r>
        <w:rPr>
          <w:rFonts w:hint="eastAsia"/>
          <w:lang w:val="en-US" w:eastAsia="zh-CN"/>
        </w:rPr>
        <w:t>无</w:t>
      </w:r>
      <w:r>
        <w:t>。下一步改进措施：</w:t>
      </w:r>
      <w:r>
        <w:rPr>
          <w:rFonts w:hint="eastAsia"/>
          <w:lang w:val="en-US" w:eastAsia="zh-CN"/>
        </w:rPr>
        <w:t>无</w:t>
      </w:r>
      <w: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rPr>
          <w:rFonts w:hint="eastAsia"/>
          <w:lang w:val="en-US" w:eastAsia="zh-CN"/>
        </w:rPr>
        <w:t>2.</w:t>
      </w:r>
      <w:r>
        <w:rPr>
          <w:rFonts w:hint="eastAsia"/>
        </w:rPr>
        <w:t>金保工程网络维护费</w:t>
      </w:r>
      <w:r>
        <w:t>项目自评综述：根据年初设定的绩效目标，项目自评得分</w:t>
      </w:r>
      <w:r>
        <w:rPr>
          <w:rFonts w:hint="eastAsia"/>
          <w:lang w:val="en-US" w:eastAsia="zh-CN"/>
        </w:rPr>
        <w:t>99.46</w:t>
      </w:r>
      <w:r>
        <w:rPr>
          <w:lang w:eastAsia="en-US"/>
        </w:rPr>
        <w:t xml:space="preserve"> </w:t>
      </w:r>
      <w:r>
        <w:t>分。全年预算数为</w:t>
      </w:r>
      <w:r>
        <w:rPr>
          <w:rFonts w:hint="eastAsia"/>
          <w:lang w:val="en-US" w:eastAsia="zh-CN"/>
        </w:rPr>
        <w:t>18</w:t>
      </w:r>
      <w:r>
        <w:t>万元，执行数为</w:t>
      </w:r>
      <w:r>
        <w:rPr>
          <w:rFonts w:hint="eastAsia"/>
          <w:lang w:val="en-US" w:eastAsia="zh-CN"/>
        </w:rPr>
        <w:t>18</w:t>
      </w:r>
      <w:r>
        <w:t>万元，完成预算的</w:t>
      </w:r>
      <w:r>
        <w:rPr>
          <w:rFonts w:hint="eastAsia"/>
          <w:lang w:val="en-US" w:eastAsia="zh-CN"/>
        </w:rPr>
        <w:t>100</w:t>
      </w:r>
      <w:r>
        <w:rPr>
          <w:lang w:eastAsia="en-US"/>
        </w:rPr>
        <w:t>%</w:t>
      </w:r>
      <w:r>
        <w:t>。项目绩效目标完成情况：</w:t>
      </w:r>
      <w:r>
        <w:rPr>
          <w:rFonts w:hint="eastAsia"/>
        </w:rPr>
        <w:t>2023顺利完成了金保工程网络维护，确保所有接入专网的单位正常运行，人民群众可以正常在经办机构办理业务。</w:t>
      </w:r>
      <w:r>
        <w:t>发现的主要问题及原因：</w:t>
      </w:r>
      <w:r>
        <w:rPr>
          <w:rFonts w:hint="eastAsia"/>
          <w:lang w:val="en-US" w:eastAsia="zh-CN"/>
        </w:rPr>
        <w:t>无</w:t>
      </w:r>
      <w:r>
        <w:t>。下一步改进措施：</w:t>
      </w:r>
      <w:r>
        <w:rPr>
          <w:rFonts w:hint="eastAsia"/>
          <w:lang w:val="en-US" w:eastAsia="zh-CN"/>
        </w:rPr>
        <w:t>无</w:t>
      </w:r>
      <w: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pPr>
      <w:r>
        <w:rPr>
          <w:rFonts w:hint="eastAsia"/>
          <w:lang w:val="en-US" w:eastAsia="zh-CN"/>
        </w:rPr>
        <w:t>3.</w:t>
      </w:r>
      <w:r>
        <w:rPr>
          <w:rFonts w:hint="eastAsia"/>
          <w:lang w:eastAsia="en-US"/>
        </w:rPr>
        <w:t>2021年引进人才安置费</w:t>
      </w:r>
      <w:r>
        <w:t>项目自评综述：根据年初设定的绩效目标，项目自评得分</w:t>
      </w:r>
      <w:r>
        <w:rPr>
          <w:rFonts w:hint="eastAsia"/>
          <w:lang w:val="en-US" w:eastAsia="zh-CN"/>
        </w:rPr>
        <w:t>100</w:t>
      </w:r>
      <w:r>
        <w:rPr>
          <w:lang w:eastAsia="en-US"/>
        </w:rPr>
        <w:t xml:space="preserve"> </w:t>
      </w:r>
      <w:r>
        <w:t>分。全年预算数为</w:t>
      </w:r>
      <w:r>
        <w:rPr>
          <w:rFonts w:hint="eastAsia"/>
          <w:lang w:val="en-US" w:eastAsia="zh-CN"/>
        </w:rPr>
        <w:t>12.5</w:t>
      </w:r>
      <w:r>
        <w:t>万元，执行数为</w:t>
      </w:r>
      <w:r>
        <w:rPr>
          <w:rFonts w:hint="eastAsia"/>
          <w:lang w:val="en-US" w:eastAsia="zh-CN"/>
        </w:rPr>
        <w:t>12.5</w:t>
      </w:r>
      <w:r>
        <w:t>万元，完成预算的</w:t>
      </w:r>
      <w:r>
        <w:rPr>
          <w:rFonts w:hint="eastAsia"/>
          <w:lang w:val="en-US" w:eastAsia="zh-CN"/>
        </w:rPr>
        <w:t>100</w:t>
      </w:r>
      <w:r>
        <w:rPr>
          <w:lang w:eastAsia="en-US"/>
        </w:rPr>
        <w:t>%</w:t>
      </w:r>
      <w:r>
        <w:t>。项目绩效目标完成情况：</w:t>
      </w:r>
      <w:r>
        <w:rPr>
          <w:rFonts w:hint="eastAsia"/>
        </w:rPr>
        <w:t>按时足额发放人才引进安置费。</w:t>
      </w:r>
      <w:r>
        <w:t>发现的主要问题及原因：</w:t>
      </w:r>
      <w:r>
        <w:rPr>
          <w:rFonts w:hint="eastAsia"/>
          <w:lang w:val="en-US" w:eastAsia="zh-CN"/>
        </w:rPr>
        <w:t>无</w:t>
      </w:r>
      <w:r>
        <w:t>。下一步改进措施：</w:t>
      </w:r>
      <w:r>
        <w:rPr>
          <w:rFonts w:hint="eastAsia"/>
          <w:lang w:val="en-US" w:eastAsia="zh-CN"/>
        </w:rPr>
        <w:t>无</w:t>
      </w:r>
      <w: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ascii="Times New Roman" w:hAnsi="Times New Roman" w:eastAsia="Times New Roman" w:cs="Times New Roman"/>
          <w:kern w:val="0"/>
          <w:sz w:val="24"/>
        </w:rPr>
      </w:pPr>
      <w:r>
        <w:rPr>
          <w:rFonts w:hint="eastAsia"/>
          <w:lang w:val="en-US" w:eastAsia="zh-CN"/>
        </w:rPr>
        <w:t>4.</w:t>
      </w:r>
      <w:r>
        <w:rPr>
          <w:rFonts w:hint="eastAsia"/>
          <w:lang w:eastAsia="en-US"/>
        </w:rPr>
        <w:t>金保工程网络维护费</w:t>
      </w:r>
      <w:r>
        <w:t>项目自评综述：根据年初设定的绩效目标，项目自评得分</w:t>
      </w:r>
      <w:r>
        <w:rPr>
          <w:rFonts w:hint="eastAsia"/>
          <w:lang w:val="en-US" w:eastAsia="zh-CN"/>
        </w:rPr>
        <w:t>100</w:t>
      </w:r>
      <w:r>
        <w:rPr>
          <w:lang w:eastAsia="en-US"/>
        </w:rPr>
        <w:t xml:space="preserve"> </w:t>
      </w:r>
      <w:r>
        <w:t>分。全年预算数为</w:t>
      </w:r>
      <w:r>
        <w:rPr>
          <w:rFonts w:hint="eastAsia"/>
          <w:lang w:val="en-US" w:eastAsia="zh-CN"/>
        </w:rPr>
        <w:t>4.41</w:t>
      </w:r>
      <w:r>
        <w:t>万元，执行数为</w:t>
      </w:r>
      <w:r>
        <w:rPr>
          <w:rFonts w:hint="eastAsia"/>
          <w:lang w:val="en-US" w:eastAsia="zh-CN"/>
        </w:rPr>
        <w:t>4.41</w:t>
      </w:r>
      <w:r>
        <w:t>万元，完成预算的</w:t>
      </w:r>
      <w:r>
        <w:rPr>
          <w:rFonts w:hint="eastAsia"/>
          <w:lang w:val="en-US" w:eastAsia="zh-CN"/>
        </w:rPr>
        <w:t>100</w:t>
      </w:r>
      <w:r>
        <w:rPr>
          <w:lang w:eastAsia="en-US"/>
        </w:rPr>
        <w:t>%</w:t>
      </w:r>
      <w:r>
        <w:t>。项目绩效目标完成情况：</w:t>
      </w:r>
      <w:r>
        <w:rPr>
          <w:rFonts w:hint="eastAsia"/>
        </w:rPr>
        <w:t>网络维护用于人社中心机房的网络维护，确保所有接入专网的单位运行正常，人民群众可以正常在经办机构办理业务。</w:t>
      </w:r>
      <w:r>
        <w:t>发现的主要问题及原因：</w:t>
      </w:r>
      <w:r>
        <w:rPr>
          <w:rFonts w:hint="eastAsia"/>
          <w:lang w:val="en-US" w:eastAsia="zh-CN"/>
        </w:rPr>
        <w:t>无</w:t>
      </w:r>
      <w:r>
        <w:t>。下一步改进措施：</w:t>
      </w:r>
      <w:r>
        <w:rPr>
          <w:rFonts w:hint="eastAsia"/>
          <w:lang w:val="en-US" w:eastAsia="zh-CN"/>
        </w:rPr>
        <w:t>无</w:t>
      </w:r>
      <w:r>
        <w:t>。</w:t>
      </w:r>
    </w:p>
    <w:p>
      <w:pPr>
        <w:pStyle w:val="6"/>
        <w:bidi w:val="0"/>
        <w:ind w:firstLine="640" w:firstLineChars="200"/>
      </w:pPr>
      <w:r>
        <w:t>（三）单位项目绩效评价结果。</w:t>
      </w:r>
    </w:p>
    <w:p>
      <w:pPr>
        <w:bidi w:val="0"/>
        <w:ind w:firstLine="640" w:firstLineChars="200"/>
      </w:pPr>
      <w:r>
        <w:t>以</w:t>
      </w:r>
      <w:r>
        <w:rPr>
          <w:rFonts w:hint="eastAsia"/>
        </w:rPr>
        <w:t>金保工程网络维护费</w:t>
      </w:r>
      <w:r>
        <w:t>项目为例，该项目绩效评价综合得分为</w:t>
      </w:r>
      <w:r>
        <w:rPr>
          <w:lang w:eastAsia="en-US"/>
        </w:rPr>
        <w:t> </w:t>
      </w:r>
      <w:r>
        <w:rPr>
          <w:rFonts w:hint="eastAsia"/>
          <w:lang w:val="en-US" w:eastAsia="zh-CN"/>
        </w:rPr>
        <w:t>99.46</w:t>
      </w:r>
      <w:r>
        <w:t>分，绩效评价结果为“优”。</w:t>
      </w:r>
      <w:r>
        <w:rPr>
          <w:rFonts w:hint="eastAsia"/>
        </w:rPr>
        <w:t>金保工程网络维护费</w:t>
      </w:r>
      <w:r>
        <w:t>项目绩效评价报告见附件。</w:t>
      </w:r>
    </w:p>
    <w:p>
      <w:pPr>
        <w:pStyle w:val="4"/>
        <w:bidi w:val="0"/>
        <w:jc w:val="center"/>
      </w:pPr>
      <w:r>
        <w:t>第三部分  名词解释</w:t>
      </w:r>
    </w:p>
    <w:p>
      <w:pPr>
        <w:bidi w:val="0"/>
      </w:pPr>
      <w:r>
        <w:rPr>
          <w:rFonts w:ascii="fang_song_gb2312" w:hAnsi="fang_song_gb2312" w:eastAsia="fang_song_gb2312" w:cs="fang_song_gb2312"/>
          <w:b/>
          <w:bCs/>
          <w:kern w:val="0"/>
          <w:szCs w:val="27"/>
        </w:rPr>
        <w:t xml:space="preserve">  </w:t>
      </w:r>
      <w:r>
        <w:t>  一、财政拨款收入：从同级财政部门取得的各类财政拨款，包括一般公共预算财政拨款、政府性基金预算财政拨款、国有资本经营预算财政拨款。</w:t>
      </w:r>
    </w:p>
    <w:p>
      <w:pPr>
        <w:bidi w:val="0"/>
      </w:pPr>
      <w:r>
        <w:t>    二、上级补助收入：指事业单位从主管部门和上级单位取得的非财政补助收入。</w:t>
      </w:r>
    </w:p>
    <w:p>
      <w:pPr>
        <w:bidi w:val="0"/>
      </w:pPr>
      <w:r>
        <w:t>    三、财政专户管理教育收费：指缴入财政专户、实行专项管理的高中以上学费、住宿费、高校委托培养费、函大、电大、夜大及短训班培训费等教育收费。</w:t>
      </w:r>
    </w:p>
    <w:p>
      <w:pPr>
        <w:bidi w:val="0"/>
      </w:pPr>
      <w:r>
        <w:t>    四、事业收入：指事业单位开展专业业务活动及其辅助活动取得的收入。</w:t>
      </w:r>
    </w:p>
    <w:p>
      <w:pPr>
        <w:bidi w:val="0"/>
      </w:pPr>
      <w:r>
        <w:t>    五、经营收入：指事业单位在专业业务活动及其辅助活动之外开展非独立核算经营活动取得的收入。</w:t>
      </w:r>
    </w:p>
    <w:p>
      <w:pPr>
        <w:bidi w:val="0"/>
      </w:pPr>
      <w:r>
        <w:t>    六、附属单位上缴收入：指事业单位取得附属独立核算单位按照有关规定上缴的收入。</w:t>
      </w:r>
    </w:p>
    <w:p>
      <w:pPr>
        <w:bidi w:val="0"/>
      </w:pPr>
      <w:r>
        <w:t>    七、其他收入：取得的除上述“财政拨款收入”、“上级补助收入”、“事业收入”、“经营收入”、“附属单位上缴收入”等以外的各项收入。</w:t>
      </w:r>
    </w:p>
    <w:p>
      <w:pPr>
        <w:bidi w:val="0"/>
      </w:pPr>
      <w:r>
        <w:t>    八、使用非财政拨款结余和专用结余：指事业单位按照预算管理要求使用非财政拨款结余和专用结余弥补当年收支差额的数额。</w:t>
      </w:r>
    </w:p>
    <w:p>
      <w:pPr>
        <w:bidi w:val="0"/>
      </w:pPr>
      <w:r>
        <w:t>    九、年初结转和结余：指单位上年结转本年使用的基本支出结转、项目支出结转和结余、经营结余。</w:t>
      </w:r>
    </w:p>
    <w:p>
      <w:pPr>
        <w:bidi w:val="0"/>
      </w:pPr>
      <w:r>
        <w:t>    十、结余分配：指事业单位按规定缴纳企业所得税以及从非财政拨款结余或经营结余中提取各类结余的情况。</w:t>
      </w:r>
    </w:p>
    <w:p>
      <w:pPr>
        <w:bidi w:val="0"/>
      </w:pPr>
      <w:r>
        <w:t>    十一、年末结转和结余资金：指单位结转下年的基本支出结转、项目支出结转和结余、经营结余。</w:t>
      </w:r>
    </w:p>
    <w:p>
      <w:pPr>
        <w:bidi w:val="0"/>
      </w:pPr>
      <w:r>
        <w:t>    十二、基本支出：指为保障机构正常运转、完成日常工作任务所发生的支出，包括人员经费和公用经费。</w:t>
      </w:r>
    </w:p>
    <w:p>
      <w:pPr>
        <w:bidi w:val="0"/>
      </w:pPr>
      <w:r>
        <w:t>    十三、项目支出：指在为完成特定的工作任务和事业发展目标所发生的支出。</w:t>
      </w:r>
    </w:p>
    <w:p>
      <w:pPr>
        <w:bidi w:val="0"/>
      </w:pPr>
      <w:r>
        <w:t>    十四、上缴上级支出：指事业单位按照财政部门和主管部门的规定上缴上级单位的支出。</w:t>
      </w:r>
    </w:p>
    <w:p>
      <w:pPr>
        <w:bidi w:val="0"/>
      </w:pPr>
      <w:r>
        <w:t>    十五、经营支出：指事业单位在专业业务活动及其辅助活动之外开展非独立核算经营活动发生的支出。</w:t>
      </w:r>
    </w:p>
    <w:p>
      <w:pPr>
        <w:bidi w:val="0"/>
      </w:pPr>
      <w:r>
        <w:t>    十六、对附属单位补助支出：指事业单位用财政拨款收入之外的收入对附属单位补助发生的支出。</w:t>
      </w:r>
    </w:p>
    <w:p>
      <w:pPr>
        <w:bidi w:val="0"/>
      </w:pPr>
      <w:r>
        <w:t>    十七、“三公”经费：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bidi w:val="0"/>
      </w:pPr>
      <w:r>
        <w:t>    十八、机构运行经费：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p>
    <w:p>
      <w:pPr>
        <w:widowControl/>
        <w:spacing w:before="240" w:after="240"/>
        <w:jc w:val="left"/>
        <w:rPr>
          <w:rFonts w:ascii="Times New Roman" w:hAnsi="Times New Roman" w:eastAsia="Times New Roman" w:cs="Times New Roman"/>
          <w:kern w:val="0"/>
          <w:sz w:val="24"/>
        </w:rPr>
      </w:pPr>
    </w:p>
    <w:p>
      <w:pPr>
        <w:pStyle w:val="4"/>
        <w:bidi w:val="0"/>
        <w:jc w:val="center"/>
        <w:rPr>
          <w:rFonts w:ascii="Times New Roman" w:hAnsi="Times New Roman" w:eastAsia="Times New Roman" w:cs="Times New Roman"/>
          <w:kern w:val="0"/>
          <w:sz w:val="24"/>
        </w:rPr>
      </w:pPr>
      <w:r>
        <w:t>第四部分 决算公开联系方式及信息反馈渠道</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pPr>
      <w:r>
        <w:t>本单位决算公开信息反馈和联系方式：</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pPr>
      <w:r>
        <w:t>联系人：李君彦           联系电话：0476-8838030-</w:t>
      </w:r>
    </w:p>
    <w:p>
      <w:pPr>
        <w:widowControl/>
        <w:spacing w:before="240" w:after="240"/>
        <w:jc w:val="center"/>
        <w:rPr>
          <w:rFonts w:ascii="Times New Roman" w:hAnsi="Times New Roman" w:eastAsia="Times New Roman" w:cs="Times New Roman"/>
          <w:kern w:val="0"/>
          <w:sz w:val="24"/>
        </w:rPr>
      </w:pPr>
    </w:p>
    <w:p>
      <w:pPr>
        <w:pStyle w:val="4"/>
        <w:bidi w:val="0"/>
        <w:jc w:val="center"/>
      </w:pPr>
      <w:r>
        <w:t>第五部分 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仿宋_GB2312"/>
          <w:kern w:val="0"/>
          <w:sz w:val="32"/>
          <w:szCs w:val="32"/>
        </w:rPr>
        <w:t>  见附件。1</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ang_zheng_xiao_biao_song_ti">
    <w:altName w:val="仿宋_GB2312"/>
    <w:panose1 w:val="00000000000000000000"/>
    <w:charset w:val="00"/>
    <w:family w:val="auto"/>
    <w:pitch w:val="default"/>
    <w:sig w:usb0="00000000" w:usb1="00000000" w:usb2="00000000" w:usb3="00000000" w:csb0="00000000" w:csb1="00000000"/>
  </w:font>
  <w:font w:name="times_new_roman">
    <w:altName w:val="仿宋_GB2312"/>
    <w:panose1 w:val="00000000000000000000"/>
    <w:charset w:val="00"/>
    <w:family w:val="auto"/>
    <w:pitch w:val="default"/>
    <w:sig w:usb0="00000000" w:usb1="00000000" w:usb2="00000000" w:usb3="00000000" w:csb0="00000000" w:csb1="00000000"/>
  </w:font>
  <w:font w:name="kai_ti_gb2312">
    <w:altName w:val="仿宋_GB2312"/>
    <w:panose1 w:val="00000000000000000000"/>
    <w:charset w:val="00"/>
    <w:family w:val="auto"/>
    <w:pitch w:val="default"/>
    <w:sig w:usb0="00000000" w:usb1="00000000" w:usb2="00000000" w:usb3="00000000" w:csb0="00000000" w:csb1="00000000"/>
  </w:font>
  <w:font w:name="fang_song_gb2312">
    <w:altName w:val="仿宋_GB2312"/>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26</w:t>
    </w:r>
    <w:r>
      <w:rPr>
        <w:lang w:val="zh-CN"/>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53455"/>
    <w:multiLevelType w:val="singleLevel"/>
    <w:tmpl w:val="812534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MzlmMTk1YjU4NDU3MzliOGRlOTU4NDk3NTVmZTc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155A6A75"/>
    <w:rsid w:val="35FE18D5"/>
    <w:rsid w:val="67640889"/>
    <w:rsid w:val="7F77D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方正小标宋简体"/>
      <w:bCs/>
      <w:kern w:val="44"/>
      <w:sz w:val="44"/>
      <w:szCs w:val="44"/>
    </w:rPr>
  </w:style>
  <w:style w:type="paragraph" w:styleId="5">
    <w:name w:val="heading 2"/>
    <w:basedOn w:val="1"/>
    <w:next w:val="1"/>
    <w:link w:val="33"/>
    <w:qFormat/>
    <w:uiPriority w:val="0"/>
    <w:pPr>
      <w:keepNext/>
      <w:keepLines/>
      <w:spacing w:before="260" w:after="260" w:line="416" w:lineRule="auto"/>
      <w:outlineLvl w:val="1"/>
    </w:pPr>
    <w:rPr>
      <w:rFonts w:ascii="Arial" w:hAnsi="Arial" w:eastAsia="黑体"/>
      <w:bCs/>
      <w:szCs w:val="32"/>
    </w:rPr>
  </w:style>
  <w:style w:type="paragraph" w:styleId="6">
    <w:name w:val="heading 3"/>
    <w:basedOn w:val="1"/>
    <w:next w:val="1"/>
    <w:link w:val="29"/>
    <w:qFormat/>
    <w:uiPriority w:val="0"/>
    <w:pPr>
      <w:keepNext/>
      <w:keepLines/>
      <w:spacing w:before="260" w:after="260" w:line="416" w:lineRule="auto"/>
      <w:outlineLvl w:val="2"/>
    </w:pPr>
    <w:rPr>
      <w:rFonts w:eastAsia="方正楷体_GB2312"/>
      <w:bCs/>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rPr>
      <w:rFonts w:hint="eastAsia"/>
      <w:sz w:val="24"/>
      <w:szCs w:val="24"/>
    </w:rPr>
  </w:style>
  <w:style w:type="paragraph" w:styleId="3">
    <w:name w:val="Body Text Indent"/>
    <w:basedOn w:val="1"/>
    <w:unhideWhenUsed/>
    <w:qFormat/>
    <w:uiPriority w:val="0"/>
    <w:pPr>
      <w:spacing w:after="120"/>
      <w:ind w:left="420" w:leftChars="200"/>
    </w:pPr>
    <w:rPr>
      <w:rFonts w:hint="eastAsia" w:ascii="宋体" w:hAnsi="宋体" w:eastAsia="宋体" w:cs="宋体"/>
      <w:sz w:val="24"/>
      <w:szCs w:val="24"/>
      <w:lang w:bidi="ar"/>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字符"/>
    <w:basedOn w:val="21"/>
    <w:link w:val="7"/>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字符"/>
    <w:link w:val="25"/>
    <w:qFormat/>
    <w:locked/>
    <w:uiPriority w:val="0"/>
    <w:rPr>
      <w:rFonts w:eastAsia="仿宋_GB2312"/>
      <w:sz w:val="30"/>
      <w:szCs w:val="22"/>
      <w:lang w:bidi="ar-SA"/>
    </w:rPr>
  </w:style>
  <w:style w:type="character" w:customStyle="1" w:styleId="27">
    <w:name w:val="页脚 字符"/>
    <w:basedOn w:val="21"/>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字符"/>
    <w:basedOn w:val="21"/>
    <w:link w:val="6"/>
    <w:qFormat/>
    <w:uiPriority w:val="0"/>
    <w:rPr>
      <w:rFonts w:eastAsia="方正楷体_GB2312"/>
      <w:bCs/>
      <w:kern w:val="2"/>
      <w:sz w:val="32"/>
      <w:szCs w:val="32"/>
    </w:rPr>
  </w:style>
  <w:style w:type="paragraph" w:customStyle="1" w:styleId="30">
    <w:name w:val="MsoNormal"/>
    <w:basedOn w:val="1"/>
    <w:qFormat/>
    <w:uiPriority w:val="0"/>
  </w:style>
  <w:style w:type="paragraph" w:customStyle="1" w:styleId="31">
    <w:name w:val="MsoBodyText"/>
    <w:basedOn w:val="1"/>
    <w:qFormat/>
    <w:uiPriority w:val="0"/>
  </w:style>
  <w:style w:type="paragraph" w:customStyle="1" w:styleId="32">
    <w:name w:val="MsoBodyTextFirstIndent2"/>
    <w:basedOn w:val="1"/>
    <w:qFormat/>
    <w:uiPriority w:val="0"/>
  </w:style>
  <w:style w:type="character" w:customStyle="1" w:styleId="33">
    <w:name w:val="标题 2 Char"/>
    <w:link w:val="5"/>
    <w:qFormat/>
    <w:uiPriority w:val="0"/>
    <w:rPr>
      <w:rFonts w:ascii="Arial" w:hAnsi="Arial" w:eastAsia="黑体"/>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21</Pages>
  <Words>8258</Words>
  <Characters>9077</Characters>
  <Lines>1</Lines>
  <Paragraphs>1</Paragraphs>
  <TotalTime>16</TotalTime>
  <ScaleCrop>false</ScaleCrop>
  <LinksUpToDate>false</LinksUpToDate>
  <CharactersWithSpaces>9699</CharactersWithSpaces>
  <Application>WPS Office_11.8.2.12012_F1E327BC-269C-435d-A152-05C5408002CA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2022-03-23T20:40:00Z</dcterms:created>
  <dc:creator>Administrator</dc:creator>
  <cp:lastModifiedBy>czj</cp:lastModifiedBy>
  <cp:lastPrinted>2021-04-16T08:45:00Z</cp:lastPrinted>
  <dcterms:modified xsi:type="dcterms:W3CDTF">2024-07-29T14:40:04Z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2052-11.8.2.12012</vt:lpwstr>
  </property>
  <property fmtid="{D5CDD505-2E9C-101B-9397-08002B2CF9AE}" pid="3" name="ICV">
    <vt:lpwstr>83B7E2BF481A46B69E5421F628C60BC7_13</vt:lpwstr>
  </property>
</Properties>
</file>