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9A6D05">
      <w:pPr>
        <w:ind w:firstLineChars="0" w:firstLine="0"/>
        <w:jc w:val="center"/>
        <w:outlineLvl w:val="0"/>
        <w:rPr>
          <w:rFonts w:ascii="Times New Roman Regular" w:eastAsia="仿宋" w:hAnsi="Times New Roman Regular" w:cs="Times New Roman Regular"/>
          <w:b/>
          <w:bCs/>
          <w:color w:val="000000"/>
          <w:kern w:val="0"/>
          <w:sz w:val="52"/>
          <w:szCs w:val="52"/>
        </w:rPr>
      </w:pPr>
      <w:r>
        <w:rPr>
          <w:rFonts w:ascii="Times New Roman Regular" w:eastAsia="仿宋" w:hAnsi="Times New Roman Regular" w:cs="Times New Roman Regular"/>
          <w:b/>
          <w:bCs/>
          <w:color w:val="000000"/>
          <w:kern w:val="0"/>
          <w:sz w:val="52"/>
          <w:szCs w:val="52"/>
        </w:rPr>
        <w:t>项目支出绩效自评报告</w:t>
      </w:r>
    </w:p>
    <w:p w:rsidR="00B43BA9" w:rsidRDefault="009A6D05">
      <w:pPr>
        <w:pStyle w:val="HTML"/>
        <w:widowControl/>
        <w:shd w:val="clear" w:color="auto" w:fill="FFFFFF"/>
        <w:ind w:firstLineChars="0" w:firstLine="0"/>
        <w:jc w:val="center"/>
        <w:rPr>
          <w:rFonts w:ascii="Times New Roman Regular" w:eastAsia="仿宋" w:hAnsi="Times New Roman Regular" w:cs="Times New Roman Regular" w:hint="default"/>
          <w:b/>
          <w:bCs/>
          <w:color w:val="000000"/>
          <w:sz w:val="36"/>
          <w:szCs w:val="36"/>
        </w:rPr>
      </w:pPr>
      <w:r>
        <w:rPr>
          <w:rFonts w:ascii="Times New Roman Regular" w:eastAsia="仿宋" w:hAnsi="Times New Roman Regular" w:cs="Times New Roman Regular" w:hint="default"/>
          <w:b/>
          <w:bCs/>
          <w:color w:val="000000"/>
          <w:sz w:val="36"/>
          <w:szCs w:val="36"/>
        </w:rPr>
        <w:t>（</w:t>
      </w:r>
      <w:r>
        <w:rPr>
          <w:rFonts w:ascii="仿宋" w:eastAsia="仿宋" w:hAnsi="仿宋" w:cs="仿宋"/>
          <w:b/>
          <w:bCs/>
          <w:sz w:val="44"/>
          <w:szCs w:val="44"/>
        </w:rPr>
        <w:t>2024</w:t>
      </w:r>
      <w:r>
        <w:rPr>
          <w:rFonts w:ascii="Times New Roman Regular" w:eastAsia="仿宋" w:hAnsi="Times New Roman Regular" w:cs="Times New Roman Regular" w:hint="default"/>
          <w:b/>
          <w:bCs/>
          <w:color w:val="000000"/>
          <w:sz w:val="36"/>
          <w:szCs w:val="36"/>
        </w:rPr>
        <w:t>年度）</w:t>
      </w: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B43BA9" w:rsidP="00E13B62">
      <w:pPr>
        <w:ind w:firstLine="482"/>
        <w:jc w:val="center"/>
        <w:rPr>
          <w:rFonts w:ascii="Times New Roman Regular" w:hAnsi="Times New Roman Regular" w:cs="Times New Roman Regular"/>
          <w:b/>
          <w:bCs/>
          <w:color w:val="000000"/>
          <w:kern w:val="0"/>
          <w:szCs w:val="24"/>
        </w:rPr>
      </w:pPr>
    </w:p>
    <w:p w:rsidR="00B43BA9" w:rsidRDefault="009A6D05">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项目名称：</w:t>
      </w:r>
      <w:r>
        <w:rPr>
          <w:rFonts w:ascii="仿宋" w:eastAsia="仿宋" w:hAnsi="仿宋" w:cs="仿宋" w:hint="eastAsia"/>
          <w:b/>
          <w:bCs/>
          <w:sz w:val="32"/>
          <w:szCs w:val="32"/>
        </w:rPr>
        <w:t>青少年宫工作经费</w:t>
      </w:r>
    </w:p>
    <w:p w:rsidR="00B43BA9" w:rsidRDefault="009A6D05">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实施单位：</w:t>
      </w:r>
      <w:r w:rsidR="00E13B62">
        <w:rPr>
          <w:rFonts w:ascii="Times New Roman Regular" w:eastAsia="仿宋" w:hAnsi="Times New Roman Regular" w:cs="Times New Roman Regular" w:hint="eastAsia"/>
          <w:b/>
          <w:bCs/>
          <w:sz w:val="32"/>
          <w:szCs w:val="32"/>
        </w:rPr>
        <w:t>赤峰市青少年宫</w:t>
      </w:r>
    </w:p>
    <w:p w:rsidR="00E13B62" w:rsidRDefault="009A6D05" w:rsidP="00E13B62">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主管部门：</w:t>
      </w:r>
      <w:r>
        <w:rPr>
          <w:rFonts w:ascii="仿宋" w:eastAsia="仿宋" w:hAnsi="仿宋" w:cs="仿宋" w:hint="eastAsia"/>
          <w:b/>
          <w:bCs/>
          <w:sz w:val="32"/>
          <w:szCs w:val="32"/>
        </w:rPr>
        <w:t>中国共产主义青年团赤峰市委员会</w:t>
      </w:r>
    </w:p>
    <w:p w:rsidR="00B43BA9" w:rsidRDefault="00B43BA9">
      <w:pPr>
        <w:ind w:firstLineChars="500" w:firstLine="1606"/>
        <w:rPr>
          <w:rFonts w:ascii="Times New Roman Regular" w:eastAsia="仿宋" w:hAnsi="Times New Roman Regular" w:cs="Times New Roman Regular"/>
          <w:b/>
          <w:bCs/>
          <w:sz w:val="32"/>
          <w:szCs w:val="32"/>
        </w:rPr>
        <w:sectPr w:rsidR="00B43BA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rsidR="00B43BA9" w:rsidRPr="007668FA" w:rsidRDefault="009A6D05">
      <w:pPr>
        <w:spacing w:line="620" w:lineRule="exact"/>
        <w:ind w:firstLineChars="0" w:firstLine="0"/>
        <w:jc w:val="center"/>
        <w:rPr>
          <w:rFonts w:ascii="仿宋" w:eastAsia="仿宋" w:hAnsi="仿宋" w:cs="仿宋"/>
          <w:sz w:val="44"/>
          <w:szCs w:val="44"/>
        </w:rPr>
      </w:pPr>
      <w:r>
        <w:rPr>
          <w:rFonts w:ascii="仿宋" w:eastAsia="仿宋" w:hAnsi="仿宋" w:cs="仿宋" w:hint="eastAsia"/>
          <w:sz w:val="44"/>
          <w:szCs w:val="44"/>
        </w:rPr>
        <w:lastRenderedPageBreak/>
        <w:t>2024</w:t>
      </w:r>
      <w:r w:rsidRPr="007668FA">
        <w:rPr>
          <w:rFonts w:ascii="仿宋" w:eastAsia="仿宋" w:hAnsi="仿宋" w:cs="仿宋"/>
          <w:sz w:val="44"/>
          <w:szCs w:val="44"/>
        </w:rPr>
        <w:t>年度</w:t>
      </w:r>
      <w:r>
        <w:rPr>
          <w:rFonts w:ascii="仿宋" w:eastAsia="仿宋" w:hAnsi="仿宋" w:cs="仿宋" w:hint="eastAsia"/>
          <w:sz w:val="44"/>
          <w:szCs w:val="44"/>
        </w:rPr>
        <w:t>青少年宫工作经费</w:t>
      </w:r>
      <w:r w:rsidRPr="007668FA">
        <w:rPr>
          <w:rFonts w:ascii="仿宋" w:eastAsia="仿宋" w:hAnsi="仿宋" w:cs="仿宋"/>
          <w:sz w:val="44"/>
          <w:szCs w:val="44"/>
        </w:rPr>
        <w:t>项目绩效自评报告</w:t>
      </w:r>
    </w:p>
    <w:p w:rsidR="00B43BA9" w:rsidRDefault="00B43BA9">
      <w:pPr>
        <w:spacing w:line="620" w:lineRule="exact"/>
        <w:ind w:firstLineChars="0" w:firstLine="0"/>
        <w:jc w:val="center"/>
        <w:rPr>
          <w:rFonts w:ascii="Times New Roman Regular" w:eastAsia="方正小标宋简体" w:hAnsi="Times New Roman Regular" w:cs="Times New Roman Regular"/>
          <w:sz w:val="44"/>
          <w:szCs w:val="44"/>
        </w:rPr>
      </w:pPr>
    </w:p>
    <w:p w:rsidR="00B43BA9" w:rsidRPr="007E670B" w:rsidRDefault="009A6D05" w:rsidP="007E670B">
      <w:pPr>
        <w:pStyle w:val="1"/>
        <w:ind w:firstLine="640"/>
        <w:rPr>
          <w:rFonts w:ascii="黑体" w:eastAsia="黑体" w:hAnsi="黑体" w:cs="黑体"/>
          <w:b w:val="0"/>
          <w:sz w:val="32"/>
          <w:szCs w:val="32"/>
        </w:rPr>
      </w:pPr>
      <w:r w:rsidRPr="007E670B">
        <w:rPr>
          <w:rFonts w:ascii="黑体" w:eastAsia="黑体" w:hAnsi="黑体" w:cs="黑体" w:hint="eastAsia"/>
          <w:b w:val="0"/>
          <w:sz w:val="32"/>
          <w:szCs w:val="32"/>
        </w:rPr>
        <w:t>一、项目基本情况</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（一）项目基本情况简介。</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项目目标：学员人数≥1400人，课程种类≥30门；开展活动次数≥100次；环境卫生良好，安保设施齐全，水电暖、消防等系统正常运行，保证教学计划顺利进行，各项活动顺利开展，为全市青少年儿童提供优质服务。资金来源：财政全额拨款。</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（二）绩效目标设定及指标完成情况。</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年度绩效</w:t>
      </w:r>
      <w:r>
        <w:rPr>
          <w:rFonts w:ascii="Times New Roman Regular" w:eastAsia="仿宋" w:hAnsi="Times New Roman Regular" w:cs="Times New Roman Regular"/>
          <w:sz w:val="32"/>
          <w:szCs w:val="32"/>
        </w:rPr>
        <w:t>目标：</w:t>
      </w:r>
      <w:r>
        <w:rPr>
          <w:rFonts w:ascii="仿宋" w:eastAsia="仿宋" w:hAnsi="仿宋" w:cs="仿宋" w:hint="eastAsia"/>
          <w:sz w:val="32"/>
          <w:szCs w:val="32"/>
        </w:rPr>
        <w:t>年初申请9万元工作经费，主要用于支付办公费、咨询费、邮电费、培训费、其他商品和服务支出等。通过项目实施，保证教学计划顺利进行，各项活动顺利开展，为全市青少年儿童提供优质服务，提高青少年宫服务能力和社会影响力。</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年度</w:t>
      </w:r>
      <w:r>
        <w:rPr>
          <w:rFonts w:ascii="Times New Roman Regular" w:eastAsia="仿宋" w:hAnsi="Times New Roman Regular" w:cs="Times New Roman Regular"/>
          <w:sz w:val="32"/>
          <w:szCs w:val="32"/>
        </w:rPr>
        <w:t>绩效目标完成情况：</w:t>
      </w:r>
      <w:r>
        <w:rPr>
          <w:rFonts w:ascii="仿宋" w:eastAsia="仿宋" w:hAnsi="仿宋" w:cs="仿宋" w:hint="eastAsia"/>
          <w:sz w:val="32"/>
          <w:szCs w:val="32"/>
        </w:rPr>
        <w:t xml:space="preserve"> 绩效目标实际完成情况：学员人数1400余人，课程种类32门； 开展活动次数100余次 ；环境卫生良好，安保设施齐全，水电暖、消防等系统运行正常，以保证教学计划顺利进行，各项活动顺利开展，为全市青少年儿童提供优质服务。</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（三）偏差分析及整改措施。</w:t>
      </w:r>
    </w:p>
    <w:p w:rsidR="00B43BA9" w:rsidRDefault="00B43BA9">
      <w:pPr>
        <w:topLinePunct/>
        <w:spacing w:line="520" w:lineRule="exact"/>
        <w:ind w:firstLine="640"/>
        <w:rPr>
          <w:rFonts w:ascii="Times New Roman Regular" w:eastAsia="仿宋" w:hAnsi="Times New Roman Regular" w:cs="Times New Roman Regular"/>
          <w:sz w:val="32"/>
          <w:szCs w:val="32"/>
        </w:rPr>
      </w:pPr>
    </w:p>
    <w:p w:rsidR="00B43BA9" w:rsidRPr="007E670B" w:rsidRDefault="009A6D05" w:rsidP="007E670B">
      <w:pPr>
        <w:pStyle w:val="1"/>
        <w:ind w:firstLine="640"/>
        <w:rPr>
          <w:rFonts w:ascii="黑体" w:eastAsia="黑体" w:hAnsi="黑体" w:cs="黑体"/>
          <w:b w:val="0"/>
          <w:sz w:val="32"/>
          <w:szCs w:val="32"/>
        </w:rPr>
      </w:pPr>
      <w:r w:rsidRPr="007E670B">
        <w:rPr>
          <w:rFonts w:ascii="黑体" w:eastAsia="黑体" w:hAnsi="黑体" w:cs="黑体" w:hint="eastAsia"/>
          <w:b w:val="0"/>
          <w:sz w:val="32"/>
          <w:szCs w:val="32"/>
        </w:rPr>
        <w:t>二、绩效自评工作情况</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（一）绩效自评目的。</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lastRenderedPageBreak/>
        <w:t>为提高资金使用效益，规范和加强财政支出管理，建立科学规范的财政支出绩效评价管理体系，及时发现自身存在的问题并提出解决方案，确保项目顺利实施，充分发挥资金效益，我单位对工作经费项目进行绩效自评。通过自评工作，准确了解赤峰市青少年宫工作经费项目的预算执行和绩效目标完成情况，查看指标设置是否合理，预算目标是否完成，人员职责履行是否到位等。</w:t>
      </w:r>
    </w:p>
    <w:p w:rsidR="00B43BA9" w:rsidRDefault="009A6D05">
      <w:pPr>
        <w:topLinePunct/>
        <w:spacing w:line="520" w:lineRule="exact"/>
        <w:ind w:firstLine="640"/>
        <w:outlineLvl w:val="1"/>
        <w:rPr>
          <w:rFonts w:ascii="仿宋" w:eastAsia="仿宋" w:hAnsi="仿宋" w:cs="仿宋"/>
          <w:sz w:val="32"/>
          <w:szCs w:val="32"/>
        </w:rPr>
      </w:pPr>
      <w:r>
        <w:rPr>
          <w:rFonts w:ascii="仿宋" w:eastAsia="仿宋" w:hAnsi="仿宋" w:cs="仿宋" w:hint="eastAsia"/>
          <w:sz w:val="32"/>
          <w:szCs w:val="32"/>
        </w:rPr>
        <w:t>（二）项目资金投入情况。</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项目资金</w:t>
      </w:r>
      <w:r>
        <w:rPr>
          <w:rFonts w:ascii="Times New Roman Regular" w:eastAsia="仿宋" w:hAnsi="Times New Roman Regular" w:cs="Times New Roman Regular"/>
          <w:sz w:val="32"/>
          <w:szCs w:val="32"/>
        </w:rPr>
        <w:t>年初预算数</w:t>
      </w:r>
      <w:r>
        <w:rPr>
          <w:rFonts w:ascii="仿宋" w:eastAsia="仿宋" w:hAnsi="仿宋" w:cs="仿宋" w:hint="eastAsia"/>
          <w:sz w:val="32"/>
          <w:szCs w:val="32"/>
        </w:rPr>
        <w:t>9</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9</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w:t>
      </w:r>
      <w:r>
        <w:rPr>
          <w:rFonts w:ascii="Times New Roman Regular" w:eastAsia="仿宋" w:hAnsi="Times New Roman Regular" w:cs="Times New Roman Regular" w:hint="eastAsia"/>
          <w:sz w:val="32"/>
          <w:szCs w:val="32"/>
        </w:rPr>
        <w:t>年度调整金额</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w:t>
      </w:r>
      <w:r>
        <w:rPr>
          <w:rFonts w:ascii="Times New Roman Regular" w:eastAsia="仿宋" w:hAnsi="Times New Roman Regular" w:cs="Times New Roman Regular" w:hint="eastAsia"/>
          <w:sz w:val="32"/>
          <w:szCs w:val="32"/>
        </w:rPr>
        <w:t>变动后预算数</w:t>
      </w:r>
      <w:r>
        <w:rPr>
          <w:rFonts w:ascii="仿宋" w:eastAsia="仿宋" w:hAnsi="仿宋" w:cs="仿宋" w:hint="eastAsia"/>
          <w:sz w:val="32"/>
          <w:szCs w:val="32"/>
        </w:rPr>
        <w:t>9</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9</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资金全年执行数</w:t>
      </w:r>
      <w:r>
        <w:rPr>
          <w:rFonts w:ascii="仿宋" w:eastAsia="仿宋" w:hAnsi="仿宋" w:cs="仿宋" w:hint="eastAsia"/>
          <w:sz w:val="32"/>
          <w:szCs w:val="32"/>
        </w:rPr>
        <w:t>8.15</w:t>
      </w:r>
      <w:r>
        <w:rPr>
          <w:rFonts w:ascii="Times New Roman Regular" w:eastAsia="仿宋" w:hAnsi="Times New Roman Regular" w:cs="Times New Roman Regular"/>
          <w:sz w:val="32"/>
          <w:szCs w:val="32"/>
        </w:rPr>
        <w:t>万元</w:t>
      </w:r>
      <w:r>
        <w:rPr>
          <w:rFonts w:ascii="Times New Roman Regular" w:eastAsia="仿宋" w:hAnsi="Times New Roman Regular" w:cs="Times New Roman Regular" w:hint="eastAsia"/>
          <w:sz w:val="32"/>
          <w:szCs w:val="32"/>
        </w:rPr>
        <w:t>、执行率为</w:t>
      </w:r>
      <w:r>
        <w:rPr>
          <w:rFonts w:ascii="仿宋" w:eastAsia="仿宋" w:hAnsi="仿宋" w:cs="仿宋" w:hint="eastAsia"/>
          <w:sz w:val="32"/>
          <w:szCs w:val="32"/>
        </w:rPr>
        <w:t>90.56</w:t>
      </w:r>
      <w:r>
        <w:rPr>
          <w:rFonts w:ascii="仿宋" w:eastAsia="仿宋" w:hAnsi="仿宋" w:cs="仿宋"/>
          <w:sz w:val="32"/>
        </w:rPr>
        <w:t>%</w:t>
      </w:r>
      <w:r>
        <w:rPr>
          <w:rFonts w:ascii="Times New Roman Regular" w:eastAsia="仿宋" w:hAnsi="Times New Roman Regular" w:cs="Times New Roman Regular"/>
          <w:sz w:val="32"/>
          <w:szCs w:val="32"/>
        </w:rPr>
        <w:t>，其中：财政拨款</w:t>
      </w:r>
      <w:r>
        <w:rPr>
          <w:rFonts w:ascii="仿宋" w:eastAsia="仿宋" w:hAnsi="仿宋" w:cs="仿宋" w:hint="eastAsia"/>
          <w:sz w:val="32"/>
          <w:szCs w:val="32"/>
        </w:rPr>
        <w:t>8.15</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（三）项目资金产出情况。</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本项目预算资金9万元，到位资金9万元，实际支出资金8.15万元，预算执行率90.56%。资金主要用于赤峰市青少年宫的办公费、咨询费、邮电费及其他商品和服务支出。各类资金支出准确无误，有完整的审批手续，不存在超范围、超标准支出、挤占挪用等违法违规问题，财务处理合法合规，从而确保我单位教学计划及各项活动得以顺利开展。</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（四）项目资金管理情况。</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项目预算目标已完成，我单位在遵守国家、自治区相关政策与管理办法的同时，还制定了单位财务管理制度，在制</w:t>
      </w:r>
      <w:r>
        <w:rPr>
          <w:rFonts w:ascii="仿宋" w:eastAsia="仿宋" w:hAnsi="仿宋" w:cs="仿宋" w:hint="eastAsia"/>
          <w:sz w:val="32"/>
          <w:szCs w:val="32"/>
        </w:rPr>
        <w:lastRenderedPageBreak/>
        <w:t>度上为工作经费项目资金的管理和使用提供了指导以及规范。实际支出与项目规定的用途一致，不存在超范围、超标准支出、挤占挪用等违法违规问题，资金管理状况良好。水费用于单位的办公费用的支出，邮电费用于单位的网费、电话费支出，咨询费用于单位的律师咨询费用。</w:t>
      </w:r>
    </w:p>
    <w:p w:rsidR="00B43BA9" w:rsidRDefault="00B43BA9">
      <w:pPr>
        <w:topLinePunct/>
        <w:spacing w:line="520" w:lineRule="exact"/>
        <w:ind w:firstLine="640"/>
        <w:rPr>
          <w:rFonts w:ascii="Times New Roman Regular" w:eastAsia="仿宋" w:hAnsi="Times New Roman Regular" w:cs="Times New Roman Regular"/>
          <w:sz w:val="32"/>
          <w:szCs w:val="32"/>
        </w:rPr>
      </w:pPr>
    </w:p>
    <w:p w:rsidR="00B43BA9" w:rsidRPr="007E670B" w:rsidRDefault="009A6D05" w:rsidP="007E670B">
      <w:pPr>
        <w:pStyle w:val="1"/>
        <w:ind w:firstLine="640"/>
        <w:rPr>
          <w:rFonts w:ascii="黑体" w:eastAsia="黑体" w:hAnsi="黑体" w:cs="黑体"/>
          <w:b w:val="0"/>
          <w:sz w:val="32"/>
          <w:szCs w:val="32"/>
        </w:rPr>
      </w:pPr>
      <w:r w:rsidRPr="007E670B">
        <w:rPr>
          <w:rFonts w:ascii="黑体" w:eastAsia="黑体" w:hAnsi="黑体" w:cs="黑体" w:hint="eastAsia"/>
          <w:b w:val="0"/>
          <w:sz w:val="32"/>
          <w:szCs w:val="32"/>
        </w:rPr>
        <w:t>三、项目绩效情况</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(一) 产出指标</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1.数量指标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（1）法律咨询业务委托次数(次)，</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（2）网络覆盖楼层数(层)，</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（3）缴纳场地意外保险人数(人)，</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1400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1400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（4）采购办公用品次数(次)，</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3</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2.质量指标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（1）办公用品验收合格率(%)，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（2）法律咨询采取率(%)，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（3）网络使用覆盖率(%)，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4</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4</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（4）意外保险赔偿率(%)，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0</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lastRenderedPageBreak/>
        <w:t>3.时效指标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（1）提供法律咨询业务年限(年)，</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5</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（2）网络覆盖使用年限(年)，</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5</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4.成本指标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（1）项目总成本(万元)，</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9</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9</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（2）全年咨询服务费用(万元)，</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（3）全年网络使用费用(万元)，</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4.2</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4.2</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（4）全年场地险费用(万元)，</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1.9</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1.9</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（5）办公用品采购成本(万元)，</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0.9</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0.41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(二) 效益指标</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5.社会效益指标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（1）保障青少年宫场馆日常工作开展，</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保障</w:t>
      </w:r>
      <w:r>
        <w:rPr>
          <w:rFonts w:ascii="Times New Roman Regular" w:eastAsia="仿宋" w:hAnsi="Times New Roman Regular" w:cs="Times New Roman Regular"/>
          <w:sz w:val="32"/>
          <w:szCs w:val="32"/>
        </w:rPr>
        <w:t>，完成值，分值</w:t>
      </w:r>
      <w:r>
        <w:rPr>
          <w:rFonts w:ascii="仿宋" w:eastAsia="仿宋" w:hAnsi="仿宋" w:cs="仿宋" w:hint="eastAsia"/>
          <w:sz w:val="32"/>
          <w:szCs w:val="32"/>
        </w:rPr>
        <w:t>15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15</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6.可持续影响指标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（1）长期提升青少年宫服务能力和社会影响力，</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长期</w:t>
      </w:r>
      <w:r>
        <w:rPr>
          <w:rFonts w:ascii="Times New Roman Regular" w:eastAsia="仿宋" w:hAnsi="Times New Roman Regular" w:cs="Times New Roman Regular"/>
          <w:sz w:val="32"/>
          <w:szCs w:val="32"/>
        </w:rPr>
        <w:t>，完成值，分值</w:t>
      </w:r>
      <w:r>
        <w:rPr>
          <w:rFonts w:ascii="仿宋" w:eastAsia="仿宋" w:hAnsi="仿宋" w:cs="仿宋" w:hint="eastAsia"/>
          <w:sz w:val="32"/>
          <w:szCs w:val="32"/>
        </w:rPr>
        <w:t>15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15</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(三) 满意度指标</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sz w:val="32"/>
        </w:rPr>
        <w:t>7.服务对象满意度指标</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（1）工作人员满意度(%)，</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95</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w:t>
      </w:r>
      <w:r>
        <w:rPr>
          <w:rFonts w:ascii="Times New Roman Regular" w:eastAsia="仿宋" w:hAnsi="Times New Roman Regular" w:cs="Times New Roman Regular"/>
          <w:sz w:val="32"/>
          <w:szCs w:val="32"/>
        </w:rPr>
        <w:lastRenderedPageBreak/>
        <w:t>值</w:t>
      </w:r>
      <w:r>
        <w:rPr>
          <w:rFonts w:ascii="仿宋" w:eastAsia="仿宋" w:hAnsi="仿宋" w:cs="仿宋" w:hint="eastAsia"/>
          <w:sz w:val="32"/>
          <w:szCs w:val="32"/>
        </w:rPr>
        <w:t>10</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10</w:t>
      </w:r>
      <w:r>
        <w:rPr>
          <w:rFonts w:ascii="Times New Roman Regular" w:eastAsia="仿宋" w:hAnsi="Times New Roman Regular" w:cs="Times New Roman Regular"/>
          <w:sz w:val="32"/>
          <w:szCs w:val="32"/>
        </w:rPr>
        <w:t>。</w:t>
      </w:r>
    </w:p>
    <w:p w:rsidR="00B43BA9" w:rsidRDefault="009A6D05">
      <w:pPr>
        <w:topLinePunct/>
        <w:spacing w:line="520" w:lineRule="exact"/>
        <w:ind w:firstLine="640"/>
        <w:rPr>
          <w:rFonts w:ascii="仿宋" w:eastAsia="仿宋" w:hAnsi="仿宋" w:cs="仿宋"/>
          <w:sz w:val="32"/>
          <w:szCs w:val="32"/>
        </w:rPr>
      </w:pPr>
      <w:r>
        <w:rPr>
          <w:rFonts w:ascii="仿宋" w:eastAsia="仿宋" w:hAnsi="仿宋" w:cs="仿宋" w:hint="eastAsia"/>
          <w:sz w:val="32"/>
          <w:szCs w:val="32"/>
        </w:rPr>
        <w:t>(四) 自评得分情况</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本项目绩效自评得分</w:t>
      </w:r>
      <w:r>
        <w:rPr>
          <w:rFonts w:ascii="仿宋" w:eastAsia="仿宋" w:hAnsi="仿宋" w:cs="仿宋" w:hint="eastAsia"/>
          <w:sz w:val="32"/>
          <w:szCs w:val="32"/>
        </w:rPr>
        <w:t>96.06</w:t>
      </w:r>
      <w:r>
        <w:rPr>
          <w:rFonts w:ascii="Times New Roman Regular" w:eastAsia="仿宋" w:hAnsi="Times New Roman Regular" w:cs="Times New Roman Regular"/>
          <w:sz w:val="32"/>
          <w:szCs w:val="32"/>
        </w:rPr>
        <w:t>分，等级为</w:t>
      </w:r>
      <w:r>
        <w:rPr>
          <w:rFonts w:ascii="仿宋" w:eastAsia="仿宋" w:hAnsi="仿宋" w:cs="仿宋" w:hint="eastAsia"/>
          <w:sz w:val="32"/>
          <w:szCs w:val="32"/>
        </w:rPr>
        <w:t>优</w:t>
      </w:r>
      <w:r>
        <w:rPr>
          <w:rFonts w:ascii="Times New Roman Regular" w:eastAsia="仿宋" w:hAnsi="Times New Roman Regular" w:cs="Times New Roman Regular"/>
          <w:sz w:val="32"/>
          <w:szCs w:val="32"/>
        </w:rPr>
        <w:t>。</w:t>
      </w:r>
    </w:p>
    <w:p w:rsidR="00B43BA9" w:rsidRPr="007E670B" w:rsidRDefault="009A6D05" w:rsidP="007E670B">
      <w:pPr>
        <w:pStyle w:val="1"/>
        <w:ind w:firstLine="880"/>
        <w:rPr>
          <w:b w:val="0"/>
        </w:rPr>
      </w:pPr>
      <w:r w:rsidRPr="007E670B">
        <w:rPr>
          <w:b w:val="0"/>
        </w:rPr>
        <w:t>四、存在问题</w:t>
      </w:r>
    </w:p>
    <w:p w:rsidR="00B43BA9" w:rsidRDefault="005D021A">
      <w:pPr>
        <w:topLinePunct/>
        <w:spacing w:line="520" w:lineRule="exact"/>
        <w:ind w:firstLine="640"/>
        <w:outlineLvl w:val="1"/>
        <w:rPr>
          <w:rFonts w:ascii="Times New Roman Regular" w:eastAsia="仿宋" w:hAnsi="Times New Roman Regular" w:cs="Times New Roman Regular" w:hint="eastAsia"/>
          <w:sz w:val="32"/>
          <w:szCs w:val="32"/>
        </w:rPr>
      </w:pPr>
      <w:r>
        <w:rPr>
          <w:rFonts w:ascii="Times New Roman Regular" w:eastAsia="仿宋" w:hAnsi="Times New Roman Regular" w:cs="Times New Roman Regular"/>
          <w:sz w:val="32"/>
          <w:szCs w:val="32"/>
        </w:rPr>
        <w:t>（一）项目立项、实施存在问题</w:t>
      </w:r>
    </w:p>
    <w:p w:rsidR="005D021A" w:rsidRDefault="005D021A" w:rsidP="005D021A">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部分指标值完成情况欠佳，由于绩效目标设置时不够合理，无法达成</w:t>
      </w:r>
      <w:r>
        <w:rPr>
          <w:rFonts w:ascii="Times New Roman Regular" w:eastAsia="仿宋" w:hAnsi="Times New Roman Regular" w:cs="Times New Roman Regular"/>
          <w:sz w:val="32"/>
          <w:szCs w:val="32"/>
        </w:rPr>
        <w:t>。</w:t>
      </w:r>
    </w:p>
    <w:p w:rsidR="005D021A" w:rsidRPr="005D021A" w:rsidRDefault="005D021A">
      <w:pPr>
        <w:topLinePunct/>
        <w:spacing w:line="520" w:lineRule="exact"/>
        <w:ind w:firstLine="640"/>
        <w:outlineLvl w:val="1"/>
        <w:rPr>
          <w:rFonts w:ascii="Times New Roman Regular" w:eastAsia="仿宋" w:hAnsi="Times New Roman Regular" w:cs="Times New Roman Regular"/>
          <w:sz w:val="32"/>
          <w:szCs w:val="32"/>
        </w:rPr>
      </w:pP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（二）资金管理使用存在问题</w:t>
      </w:r>
    </w:p>
    <w:p w:rsidR="00B43BA9" w:rsidRDefault="00B43BA9">
      <w:pPr>
        <w:topLinePunct/>
        <w:spacing w:line="520" w:lineRule="exact"/>
        <w:ind w:firstLine="640"/>
        <w:rPr>
          <w:rFonts w:ascii="Times New Roman Regular" w:eastAsia="仿宋" w:hAnsi="Times New Roman Regular" w:cs="Times New Roman Regular"/>
          <w:sz w:val="32"/>
          <w:szCs w:val="32"/>
        </w:rPr>
      </w:pPr>
    </w:p>
    <w:p w:rsidR="00B43BA9" w:rsidRPr="007E670B" w:rsidRDefault="009A6D05" w:rsidP="007E670B">
      <w:pPr>
        <w:pStyle w:val="1"/>
        <w:ind w:firstLine="880"/>
        <w:rPr>
          <w:b w:val="0"/>
        </w:rPr>
      </w:pPr>
      <w:r w:rsidRPr="007E670B">
        <w:rPr>
          <w:b w:val="0"/>
        </w:rPr>
        <w:t>五、其他需要说明的问题</w:t>
      </w:r>
    </w:p>
    <w:p w:rsidR="00B43BA9" w:rsidRDefault="009A6D05">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（一）后续工作计划。</w:t>
      </w:r>
    </w:p>
    <w:p w:rsidR="00B43BA9" w:rsidRDefault="009A6D05">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本项目资金是为保证我单位2024年度正常运行的基本工作费用，下一步，我单位会根据项目的实施情况、产出情况、资金管理情况、评价结果等信息，进一步了解并掌握赤峰市青少年宫工作经费的管理和使用情况，找出绩效管理工作中的不足之处，并及时加以改正，保证财政资金得到更加合理充分的使用，为日后科学的开展绩效工作提供基础。同时，下一年度会继续开展此项工作，从而确保我单位教学计划及各项活动顺利开展。</w:t>
      </w:r>
    </w:p>
    <w:p w:rsidR="00B43BA9" w:rsidRDefault="00B43BA9">
      <w:pPr>
        <w:topLinePunct/>
        <w:spacing w:line="520" w:lineRule="exact"/>
        <w:ind w:firstLine="640"/>
        <w:rPr>
          <w:rFonts w:ascii="Times New Roman Regular" w:eastAsia="仿宋" w:hAnsi="Times New Roman Regular" w:cs="Times New Roman Regular"/>
          <w:sz w:val="32"/>
          <w:szCs w:val="32"/>
        </w:rPr>
      </w:pPr>
      <w:bookmarkStart w:id="0" w:name="_GoBack"/>
      <w:bookmarkEnd w:id="0"/>
    </w:p>
    <w:sectPr w:rsidR="00B43BA9" w:rsidSect="00B43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AF5" w:rsidRDefault="00685AF5">
      <w:pPr>
        <w:spacing w:line="240" w:lineRule="auto"/>
      </w:pPr>
    </w:p>
  </w:endnote>
  <w:endnote w:type="continuationSeparator" w:id="1">
    <w:p w:rsidR="00685AF5" w:rsidRDefault="00685AF5">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Regular">
    <w:altName w:val="Arial Unicode MS"/>
    <w:charset w:val="00"/>
    <w:family w:val="auto"/>
    <w:pitch w:val="default"/>
    <w:sig w:usb0="00000000" w:usb1="00007843" w:usb2="00000001" w:usb3="00000000" w:csb0="400001BF" w:csb1="DFF7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汉仪书宋二KW"/>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AF5" w:rsidRDefault="00685AF5"/>
  </w:footnote>
  <w:footnote w:type="continuationSeparator" w:id="1">
    <w:p w:rsidR="00685AF5" w:rsidRDefault="00685A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A9" w:rsidRDefault="00B43BA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Y2OTMyNGMyN2EzYzcxNDNmMDdlYzA4ZmI3ZmEyMmYifQ=="/>
  </w:docVars>
  <w:rsids>
    <w:rsidRoot w:val="2B6F4C9D"/>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 w:val="000A297C"/>
    <w:rsid w:val="004C2775"/>
    <w:rsid w:val="004D77F5"/>
    <w:rsid w:val="005723D4"/>
    <w:rsid w:val="005D021A"/>
    <w:rsid w:val="00685AF5"/>
    <w:rsid w:val="00756160"/>
    <w:rsid w:val="007668FA"/>
    <w:rsid w:val="007E670B"/>
    <w:rsid w:val="00852652"/>
    <w:rsid w:val="00867BA5"/>
    <w:rsid w:val="0096249A"/>
    <w:rsid w:val="009A6D05"/>
    <w:rsid w:val="00AF50B8"/>
    <w:rsid w:val="00B12946"/>
    <w:rsid w:val="00B43BA9"/>
    <w:rsid w:val="00CA048F"/>
    <w:rsid w:val="00E024D2"/>
    <w:rsid w:val="00E13B6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3BA9"/>
    <w:pPr>
      <w:widowControl w:val="0"/>
      <w:spacing w:line="360" w:lineRule="auto"/>
      <w:ind w:firstLineChars="200" w:firstLine="480"/>
      <w:jc w:val="both"/>
    </w:pPr>
    <w:rPr>
      <w:rFonts w:ascii="宋体" w:hAnsi="宋体"/>
      <w:kern w:val="2"/>
      <w:sz w:val="24"/>
      <w:szCs w:val="22"/>
    </w:rPr>
  </w:style>
  <w:style w:type="paragraph" w:styleId="1">
    <w:name w:val="heading 1"/>
    <w:basedOn w:val="a"/>
    <w:next w:val="a"/>
    <w:link w:val="1Char"/>
    <w:qFormat/>
    <w:rsid w:val="00B43BA9"/>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43BA9"/>
    <w:pPr>
      <w:jc w:val="left"/>
    </w:pPr>
  </w:style>
  <w:style w:type="paragraph" w:styleId="a4">
    <w:name w:val="footer"/>
    <w:basedOn w:val="a"/>
    <w:link w:val="Char"/>
    <w:qFormat/>
    <w:rsid w:val="00B43BA9"/>
    <w:pPr>
      <w:tabs>
        <w:tab w:val="center" w:pos="4153"/>
        <w:tab w:val="right" w:pos="8306"/>
      </w:tabs>
      <w:snapToGrid w:val="0"/>
      <w:spacing w:line="240" w:lineRule="auto"/>
      <w:jc w:val="left"/>
    </w:pPr>
    <w:rPr>
      <w:sz w:val="18"/>
      <w:szCs w:val="18"/>
    </w:rPr>
  </w:style>
  <w:style w:type="paragraph" w:styleId="a5">
    <w:name w:val="header"/>
    <w:basedOn w:val="a"/>
    <w:link w:val="Char0"/>
    <w:qFormat/>
    <w:rsid w:val="00B43BA9"/>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qFormat/>
    <w:rsid w:val="00B43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Char0">
    <w:name w:val="页眉 Char"/>
    <w:basedOn w:val="a0"/>
    <w:link w:val="a5"/>
    <w:qFormat/>
    <w:rsid w:val="00B43BA9"/>
    <w:rPr>
      <w:rFonts w:ascii="宋体" w:hAnsi="宋体"/>
      <w:kern w:val="2"/>
      <w:sz w:val="18"/>
      <w:szCs w:val="18"/>
    </w:rPr>
  </w:style>
  <w:style w:type="character" w:customStyle="1" w:styleId="Char">
    <w:name w:val="页脚 Char"/>
    <w:basedOn w:val="a0"/>
    <w:link w:val="a4"/>
    <w:qFormat/>
    <w:rsid w:val="00B43BA9"/>
    <w:rPr>
      <w:rFonts w:ascii="宋体" w:hAnsi="宋体"/>
      <w:kern w:val="2"/>
      <w:sz w:val="18"/>
      <w:szCs w:val="18"/>
    </w:rPr>
  </w:style>
  <w:style w:type="character" w:customStyle="1" w:styleId="1Char">
    <w:name w:val="标题 1 Char"/>
    <w:link w:val="1"/>
    <w:qFormat/>
    <w:rsid w:val="00B43BA9"/>
    <w:rPr>
      <w:b/>
      <w:kern w:val="44"/>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test</cp:lastModifiedBy>
  <cp:revision>9</cp:revision>
  <dcterms:created xsi:type="dcterms:W3CDTF">2021-01-21T07:13:00Z</dcterms:created>
  <dcterms:modified xsi:type="dcterms:W3CDTF">2025-07-17T08:38:00Z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1E783D06E0A64A039549809408296BD7_13</vt:lpwstr>
  </property>
</Properties>
</file>