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6669"/>
        </w:tabs>
        <w:ind w:left="198" w:firstLine="640" w:firstLineChars="200"/>
        <w:rPr>
          <w:rFonts w:hint="default" w:ascii="仿宋_GB2312" w:eastAsia="仿宋_GB2312"/>
          <w:b w:val="0"/>
          <w:bCs/>
          <w:sz w:val="32"/>
          <w:szCs w:val="32"/>
          <w:highlight w:val="none"/>
          <w:lang w:val="en-US" w:eastAsia="zh-CN"/>
        </w:rPr>
      </w:pPr>
    </w:p>
    <w:p>
      <w:pPr>
        <w:rPr>
          <w:rFonts w:ascii="仿宋_GB2312" w:eastAsia="仿宋_GB2312"/>
          <w:b w:val="0"/>
          <w:bCs/>
          <w:sz w:val="32"/>
          <w:szCs w:val="32"/>
          <w:highlight w:val="none"/>
        </w:rPr>
      </w:pPr>
    </w:p>
    <w:p>
      <w:pPr>
        <w:pStyle w:val="8"/>
        <w:rPr>
          <w:rFonts w:hint="default" w:ascii="仿宋_GB2312" w:eastAsia="仿宋_GB2312"/>
          <w:b w:val="0"/>
          <w:bCs/>
          <w:sz w:val="32"/>
          <w:szCs w:val="32"/>
          <w:highlight w:val="none"/>
        </w:rPr>
      </w:pPr>
    </w:p>
    <w:p>
      <w:pPr>
        <w:pStyle w:val="8"/>
        <w:rPr>
          <w:rFonts w:hint="default" w:ascii="仿宋_GB2312" w:eastAsia="仿宋_GB2312"/>
          <w:b w:val="0"/>
          <w:bCs/>
          <w:sz w:val="32"/>
          <w:szCs w:val="32"/>
          <w:highlight w:val="none"/>
        </w:rPr>
      </w:pPr>
    </w:p>
    <w:p>
      <w:pPr>
        <w:pStyle w:val="8"/>
        <w:rPr>
          <w:rFonts w:hint="default" w:ascii="仿宋_GB2312" w:eastAsia="仿宋_GB2312"/>
          <w:b w:val="0"/>
          <w:bCs/>
          <w:sz w:val="32"/>
          <w:szCs w:val="32"/>
          <w:highlight w:val="none"/>
        </w:rPr>
      </w:pPr>
    </w:p>
    <w:p>
      <w:pPr>
        <w:pStyle w:val="8"/>
        <w:rPr>
          <w:rFonts w:hint="default" w:ascii="仿宋_GB2312" w:eastAsia="仿宋_GB2312"/>
          <w:b w:val="0"/>
          <w:bCs/>
          <w:sz w:val="32"/>
          <w:szCs w:val="32"/>
          <w:highlight w:val="none"/>
        </w:rPr>
      </w:pPr>
    </w:p>
    <w:p>
      <w:pPr>
        <w:pStyle w:val="8"/>
        <w:rPr>
          <w:rFonts w:hint="default" w:ascii="仿宋_GB2312" w:eastAsia="仿宋_GB2312"/>
          <w:b w:val="0"/>
          <w:bCs/>
          <w:sz w:val="32"/>
          <w:szCs w:val="32"/>
          <w:highlight w:val="none"/>
        </w:rPr>
      </w:pPr>
    </w:p>
    <w:p>
      <w:pPr>
        <w:keepNext/>
        <w:keepLines/>
        <w:tabs>
          <w:tab w:val="left" w:pos="6669"/>
        </w:tabs>
        <w:ind w:left="198"/>
        <w:jc w:val="center"/>
        <w:rPr>
          <w:b w:val="0"/>
          <w:bCs/>
          <w:sz w:val="52"/>
          <w:szCs w:val="52"/>
          <w:highlight w:val="none"/>
        </w:rPr>
      </w:pPr>
      <w:r>
        <w:rPr>
          <w:rFonts w:hint="eastAsia" w:ascii="方正小标宋简体" w:hAnsi="方正小标宋简体" w:eastAsia="方正小标宋简体" w:cs="方正小标宋简体"/>
          <w:b w:val="0"/>
          <w:bCs/>
          <w:sz w:val="44"/>
          <w:szCs w:val="44"/>
          <w:highlight w:val="none"/>
        </w:rPr>
        <w:t>2024年度赤峰市公共资源交易中心决算公开</w:t>
      </w:r>
    </w:p>
    <w:p>
      <w:pPr>
        <w:rPr>
          <w:b w:val="0"/>
          <w:bCs/>
          <w:highlight w:val="none"/>
        </w:rPr>
      </w:pPr>
    </w:p>
    <w:p>
      <w:pPr>
        <w:pStyle w:val="8"/>
        <w:rPr>
          <w:rFonts w:hint="default"/>
          <w:b w:val="0"/>
          <w:bCs/>
          <w:highlight w:val="none"/>
        </w:rPr>
      </w:pPr>
    </w:p>
    <w:p>
      <w:pPr>
        <w:pStyle w:val="8"/>
        <w:rPr>
          <w:rFonts w:hint="default"/>
          <w:b w:val="0"/>
          <w:bCs/>
          <w:highlight w:val="none"/>
        </w:rPr>
      </w:pPr>
    </w:p>
    <w:p>
      <w:pPr>
        <w:pStyle w:val="8"/>
        <w:rPr>
          <w:rFonts w:hint="default"/>
          <w:b w:val="0"/>
          <w:bCs/>
          <w:highlight w:val="none"/>
        </w:rPr>
      </w:pPr>
    </w:p>
    <w:p>
      <w:pPr>
        <w:pStyle w:val="8"/>
        <w:rPr>
          <w:rFonts w:hint="default"/>
          <w:b w:val="0"/>
          <w:bCs/>
          <w:highlight w:val="none"/>
        </w:rPr>
      </w:pPr>
    </w:p>
    <w:p>
      <w:pPr>
        <w:pStyle w:val="8"/>
        <w:rPr>
          <w:rFonts w:hint="default"/>
          <w:b w:val="0"/>
          <w:bCs/>
          <w:highlight w:val="none"/>
        </w:rPr>
      </w:pPr>
    </w:p>
    <w:p>
      <w:pPr>
        <w:pStyle w:val="8"/>
        <w:rPr>
          <w:rFonts w:hint="default"/>
          <w:b w:val="0"/>
          <w:bCs/>
          <w:highlight w:val="none"/>
        </w:rPr>
      </w:pPr>
    </w:p>
    <w:p>
      <w:pPr>
        <w:pStyle w:val="8"/>
        <w:rPr>
          <w:rFonts w:hint="default"/>
          <w:b w:val="0"/>
          <w:bCs/>
          <w:highlight w:val="none"/>
        </w:rPr>
      </w:pPr>
    </w:p>
    <w:p>
      <w:pPr>
        <w:pStyle w:val="8"/>
        <w:rPr>
          <w:rFonts w:hint="default"/>
          <w:b w:val="0"/>
          <w:bCs/>
          <w:highlight w:val="none"/>
        </w:rPr>
      </w:pPr>
    </w:p>
    <w:p>
      <w:pPr>
        <w:pStyle w:val="8"/>
        <w:spacing w:after="0" w:line="600" w:lineRule="exact"/>
        <w:ind w:left="0" w:leftChars="0" w:firstLine="0"/>
        <w:jc w:val="center"/>
        <w:rPr>
          <w:rFonts w:ascii="黑体" w:hAnsi="黑体" w:eastAsia="黑体" w:cs="黑体"/>
          <w:b w:val="0"/>
          <w:bCs/>
          <w:sz w:val="32"/>
          <w:szCs w:val="32"/>
          <w:highlight w:val="none"/>
        </w:rPr>
      </w:pPr>
    </w:p>
    <w:p>
      <w:pPr>
        <w:pStyle w:val="8"/>
        <w:spacing w:after="0" w:line="600" w:lineRule="exact"/>
        <w:ind w:left="0" w:leftChars="0" w:firstLine="0"/>
        <w:jc w:val="center"/>
        <w:rPr>
          <w:rFonts w:ascii="黑体" w:hAnsi="黑体" w:eastAsia="黑体" w:cs="黑体"/>
          <w:b w:val="0"/>
          <w:bCs/>
          <w:sz w:val="32"/>
          <w:szCs w:val="32"/>
          <w:highlight w:val="none"/>
        </w:rPr>
      </w:pPr>
    </w:p>
    <w:p>
      <w:pPr>
        <w:pStyle w:val="8"/>
        <w:spacing w:after="0" w:line="600" w:lineRule="exact"/>
        <w:ind w:left="0" w:leftChars="0" w:firstLine="0"/>
        <w:jc w:val="center"/>
        <w:rPr>
          <w:rFonts w:ascii="黑体" w:hAnsi="黑体" w:eastAsia="黑体" w:cs="黑体"/>
          <w:b w:val="0"/>
          <w:bCs/>
          <w:sz w:val="32"/>
          <w:szCs w:val="32"/>
          <w:highlight w:val="none"/>
        </w:rPr>
      </w:pPr>
    </w:p>
    <w:p>
      <w:pPr>
        <w:pStyle w:val="8"/>
        <w:spacing w:after="0" w:line="600" w:lineRule="exact"/>
        <w:ind w:left="0" w:leftChars="0" w:firstLine="0"/>
        <w:jc w:val="center"/>
        <w:rPr>
          <w:rFonts w:hint="default" w:ascii="黑体" w:hAnsi="黑体" w:eastAsia="黑体" w:cs="黑体"/>
          <w:b w:val="0"/>
          <w:bCs/>
          <w:highlight w:val="none"/>
        </w:rPr>
      </w:pPr>
      <w:r>
        <w:rPr>
          <w:rFonts w:ascii="黑体" w:hAnsi="黑体" w:eastAsia="黑体" w:cs="黑体"/>
          <w:b w:val="0"/>
          <w:bCs/>
          <w:sz w:val="32"/>
          <w:szCs w:val="32"/>
          <w:highlight w:val="none"/>
        </w:rPr>
        <w:t>批复时间：</w:t>
      </w:r>
      <w:r>
        <w:rPr>
          <w:rFonts w:hint="eastAsia" w:ascii="黑体" w:hAnsi="黑体" w:eastAsia="黑体" w:cs="黑体"/>
          <w:b w:val="0"/>
          <w:bCs/>
          <w:sz w:val="32"/>
          <w:szCs w:val="32"/>
          <w:highlight w:val="none"/>
          <w:u w:val="single"/>
          <w:lang w:val="en-US" w:eastAsia="zh-CN"/>
        </w:rPr>
        <w:t>2024</w:t>
      </w:r>
      <w:r>
        <w:rPr>
          <w:rFonts w:ascii="黑体" w:hAnsi="黑体" w:eastAsia="黑体" w:cs="黑体"/>
          <w:b w:val="0"/>
          <w:bCs/>
          <w:sz w:val="32"/>
          <w:szCs w:val="32"/>
          <w:highlight w:val="none"/>
          <w:u w:val="single"/>
        </w:rPr>
        <w:t>年</w:t>
      </w:r>
      <w:r>
        <w:rPr>
          <w:rFonts w:hint="eastAsia" w:ascii="黑体" w:hAnsi="黑体" w:eastAsia="黑体" w:cs="黑体"/>
          <w:b w:val="0"/>
          <w:bCs/>
          <w:sz w:val="32"/>
          <w:szCs w:val="32"/>
          <w:highlight w:val="none"/>
          <w:u w:val="single"/>
          <w:lang w:val="en-US" w:eastAsia="zh-CN"/>
        </w:rPr>
        <w:t>07</w:t>
      </w:r>
      <w:r>
        <w:rPr>
          <w:rFonts w:ascii="黑体" w:hAnsi="黑体" w:eastAsia="黑体" w:cs="黑体"/>
          <w:b w:val="0"/>
          <w:bCs/>
          <w:sz w:val="32"/>
          <w:szCs w:val="32"/>
          <w:highlight w:val="none"/>
          <w:u w:val="single"/>
        </w:rPr>
        <w:t>月</w:t>
      </w:r>
      <w:r>
        <w:rPr>
          <w:rFonts w:hint="eastAsia" w:ascii="黑体" w:hAnsi="黑体" w:eastAsia="黑体" w:cs="黑体"/>
          <w:b w:val="0"/>
          <w:bCs/>
          <w:sz w:val="32"/>
          <w:szCs w:val="32"/>
          <w:highlight w:val="none"/>
          <w:u w:val="single"/>
          <w:lang w:val="en-US" w:eastAsia="zh-CN"/>
        </w:rPr>
        <w:t>10</w:t>
      </w:r>
      <w:r>
        <w:rPr>
          <w:rFonts w:ascii="黑体" w:hAnsi="黑体" w:eastAsia="黑体" w:cs="黑体"/>
          <w:b w:val="0"/>
          <w:bCs/>
          <w:sz w:val="32"/>
          <w:szCs w:val="32"/>
          <w:highlight w:val="none"/>
          <w:u w:val="single"/>
        </w:rPr>
        <w:t>日</w:t>
      </w:r>
    </w:p>
    <w:p>
      <w:pPr>
        <w:pStyle w:val="8"/>
        <w:spacing w:after="0" w:line="600" w:lineRule="exact"/>
        <w:ind w:left="0" w:leftChars="0" w:firstLine="0"/>
        <w:jc w:val="center"/>
        <w:rPr>
          <w:rFonts w:hint="default" w:ascii="黑体" w:hAnsi="黑体" w:eastAsia="黑体" w:cs="黑体"/>
          <w:b w:val="0"/>
          <w:bCs/>
          <w:highlight w:val="none"/>
        </w:rPr>
      </w:pPr>
      <w:r>
        <w:rPr>
          <w:rFonts w:ascii="黑体" w:hAnsi="黑体" w:eastAsia="黑体" w:cs="黑体"/>
          <w:b w:val="0"/>
          <w:bCs/>
          <w:sz w:val="32"/>
          <w:szCs w:val="32"/>
          <w:highlight w:val="none"/>
        </w:rPr>
        <w:t>公开时间：</w:t>
      </w:r>
      <w:r>
        <w:rPr>
          <w:rFonts w:hint="eastAsia" w:ascii="黑体" w:hAnsi="黑体" w:eastAsia="黑体" w:cs="黑体"/>
          <w:b w:val="0"/>
          <w:bCs/>
          <w:sz w:val="32"/>
          <w:szCs w:val="32"/>
          <w:highlight w:val="none"/>
          <w:u w:val="single"/>
          <w:lang w:val="en-US" w:eastAsia="zh-CN"/>
        </w:rPr>
        <w:t>2024</w:t>
      </w:r>
      <w:r>
        <w:rPr>
          <w:rFonts w:ascii="黑体" w:hAnsi="黑体" w:eastAsia="黑体" w:cs="黑体"/>
          <w:b w:val="0"/>
          <w:bCs/>
          <w:sz w:val="32"/>
          <w:szCs w:val="32"/>
          <w:highlight w:val="none"/>
          <w:u w:val="single"/>
        </w:rPr>
        <w:t>年</w:t>
      </w:r>
      <w:r>
        <w:rPr>
          <w:rFonts w:hint="eastAsia" w:ascii="黑体" w:hAnsi="黑体" w:eastAsia="黑体" w:cs="黑体"/>
          <w:b w:val="0"/>
          <w:bCs/>
          <w:sz w:val="32"/>
          <w:szCs w:val="32"/>
          <w:highlight w:val="none"/>
          <w:u w:val="single"/>
          <w:lang w:val="en-US" w:eastAsia="zh-CN"/>
        </w:rPr>
        <w:t>07</w:t>
      </w:r>
      <w:r>
        <w:rPr>
          <w:rFonts w:ascii="黑体" w:hAnsi="黑体" w:eastAsia="黑体" w:cs="黑体"/>
          <w:b w:val="0"/>
          <w:bCs/>
          <w:sz w:val="32"/>
          <w:szCs w:val="32"/>
          <w:highlight w:val="none"/>
          <w:u w:val="single"/>
        </w:rPr>
        <w:t>月</w:t>
      </w:r>
      <w:r>
        <w:rPr>
          <w:rFonts w:hint="eastAsia" w:ascii="黑体" w:hAnsi="黑体" w:eastAsia="黑体" w:cs="黑体"/>
          <w:b w:val="0"/>
          <w:bCs/>
          <w:sz w:val="32"/>
          <w:szCs w:val="32"/>
          <w:highlight w:val="none"/>
          <w:u w:val="single"/>
          <w:lang w:val="en-US" w:eastAsia="zh-CN"/>
        </w:rPr>
        <w:t>18</w:t>
      </w:r>
      <w:r>
        <w:rPr>
          <w:rFonts w:ascii="黑体" w:hAnsi="黑体" w:eastAsia="黑体" w:cs="黑体"/>
          <w:b w:val="0"/>
          <w:bCs/>
          <w:sz w:val="32"/>
          <w:szCs w:val="32"/>
          <w:highlight w:val="none"/>
          <w:u w:val="single"/>
        </w:rPr>
        <w:t>日</w:t>
      </w:r>
    </w:p>
    <w:p>
      <w:pPr>
        <w:adjustRightInd w:val="0"/>
        <w:snapToGrid w:val="0"/>
        <w:spacing w:line="600" w:lineRule="exact"/>
        <w:ind w:firstLine="960" w:firstLineChars="300"/>
        <w:jc w:val="left"/>
        <w:rPr>
          <w:rFonts w:ascii="Times New Roman" w:hAnsi="Times New Roman" w:eastAsia="仿宋_GB2312"/>
          <w:b w:val="0"/>
          <w:bCs/>
          <w:sz w:val="32"/>
          <w:szCs w:val="32"/>
          <w:highlight w:val="none"/>
        </w:rPr>
        <w:sectPr>
          <w:footerReference r:id="rId3" w:type="default"/>
          <w:pgSz w:w="11910" w:h="16840"/>
          <w:pgMar w:top="1580" w:right="1560" w:bottom="280" w:left="1480" w:header="720" w:footer="720" w:gutter="0"/>
          <w:pgNumType w:fmt="numberInDash"/>
          <w:cols w:space="720" w:num="1"/>
        </w:sectPr>
      </w:pPr>
    </w:p>
    <w:p>
      <w:pPr>
        <w:jc w:val="center"/>
        <w:rPr>
          <w:b w:val="0"/>
          <w:bCs/>
          <w:sz w:val="48"/>
          <w:szCs w:val="48"/>
          <w:highlight w:val="none"/>
        </w:rPr>
      </w:pPr>
      <w:r>
        <w:rPr>
          <w:b w:val="0"/>
          <w:bCs/>
          <w:sz w:val="48"/>
          <w:szCs w:val="48"/>
          <w:highlight w:val="none"/>
        </w:rPr>
        <w:t>目</w:t>
      </w:r>
      <w:r>
        <w:rPr>
          <w:b w:val="0"/>
          <w:bCs/>
          <w:sz w:val="48"/>
          <w:szCs w:val="48"/>
          <w:highlight w:val="none"/>
        </w:rPr>
        <w:tab/>
      </w:r>
      <w:r>
        <w:rPr>
          <w:b w:val="0"/>
          <w:bCs/>
          <w:sz w:val="48"/>
          <w:szCs w:val="48"/>
          <w:highlight w:val="none"/>
        </w:rPr>
        <w:t>录</w:t>
      </w:r>
    </w:p>
    <w:p>
      <w:pPr>
        <w:jc w:val="center"/>
        <w:rPr>
          <w:b w:val="0"/>
          <w:bCs/>
          <w:sz w:val="48"/>
          <w:szCs w:val="48"/>
          <w:highlight w:val="none"/>
        </w:rPr>
      </w:pPr>
    </w:p>
    <w:p>
      <w:pPr>
        <w:pStyle w:val="4"/>
        <w:spacing w:after="0" w:line="360" w:lineRule="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第一部分部门（单位）概况</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一、主要职能、职责</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二、部门（单位）机构设置及决算单位构成情况</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三、2024年度部门（单位）主要工作完成情况</w:t>
      </w:r>
    </w:p>
    <w:p>
      <w:pPr>
        <w:pStyle w:val="4"/>
        <w:spacing w:after="0" w:line="360" w:lineRule="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第二部分部门（单位）决算情况说明</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一、收入支出决算总体情况说明</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二、收入决算情况说明</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三、支出决算情况说明</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四、财政拨款收入支出决算总体情况说明</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五、一般公共预算财政拨款支出决算情况说明</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六、一般公共预算财政拨款基本支出决算情况说明</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七、一般公共预算财政拨款项目支出决算情况说明</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八、财政拨款“三公”经费支出决算情况说明</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九、政府性基金预算财政拨款支出决算情况说明</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十、国有资本经营预算财政拨款支出决算情况说明</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十一、机构运行经费支出决算情况说明</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十二、政府采购支出决算情况说明</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十三、国有资产占用情况说明</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十四、预算绩效情况说明</w:t>
      </w:r>
    </w:p>
    <w:p>
      <w:pPr>
        <w:pStyle w:val="4"/>
        <w:spacing w:after="0" w:line="360" w:lineRule="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第三部分名词解释</w:t>
      </w:r>
    </w:p>
    <w:p>
      <w:pPr>
        <w:pStyle w:val="4"/>
        <w:spacing w:after="0" w:line="360" w:lineRule="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第四部分决算公开联系方式及信息反馈渠道</w:t>
      </w:r>
    </w:p>
    <w:p>
      <w:pPr>
        <w:pStyle w:val="4"/>
        <w:spacing w:after="0" w:line="360" w:lineRule="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第五部分部门（单位）决算表</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一、收入支出决算总表</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二、收入决算表</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三、支出决算表</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四、财政拨款收入支出决算总表</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五、一般公共预算财政拨款支出决算表</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六、一般公共预算财政拨款基本支出决算明细表</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七、一般公共预算财政拨款项目支出决算明细表</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八、政府性基金预算财政拨款收入支出决算表</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九、国有资本经营预算财政拨款支出决算表</w:t>
      </w:r>
    </w:p>
    <w:p>
      <w:pPr>
        <w:pStyle w:val="4"/>
        <w:spacing w:after="0" w:line="360" w:lineRule="auto"/>
        <w:rPr>
          <w:rFonts w:hint="eastAsia" w:ascii="Times New Roman" w:hAnsi="Times New Roman" w:eastAsia="仿宋_GB2312" w:cs="仿宋"/>
          <w:b w:val="0"/>
          <w:bCs/>
          <w:w w:val="95"/>
          <w:sz w:val="32"/>
          <w:szCs w:val="32"/>
          <w:highlight w:val="none"/>
        </w:rPr>
      </w:pPr>
      <w:r>
        <w:rPr>
          <w:rFonts w:hint="eastAsia" w:ascii="Times New Roman" w:hAnsi="Times New Roman" w:eastAsia="仿宋_GB2312" w:cs="仿宋"/>
          <w:b w:val="0"/>
          <w:bCs/>
          <w:w w:val="95"/>
          <w:sz w:val="32"/>
          <w:szCs w:val="32"/>
          <w:highlight w:val="none"/>
        </w:rPr>
        <w:t>十、财政拨款“三公”经费支出决算表</w:t>
      </w:r>
    </w:p>
    <w:p>
      <w:pPr>
        <w:pStyle w:val="4"/>
        <w:spacing w:after="0" w:line="360" w:lineRule="auto"/>
        <w:rPr>
          <w:b w:val="0"/>
          <w:bCs/>
          <w:highlight w:val="none"/>
        </w:rPr>
      </w:pPr>
      <w:r>
        <w:rPr>
          <w:rFonts w:hint="eastAsia" w:ascii="Times New Roman" w:hAnsi="Times New Roman" w:eastAsia="仿宋_GB2312" w:cs="仿宋"/>
          <w:b w:val="0"/>
          <w:bCs/>
          <w:w w:val="95"/>
          <w:sz w:val="32"/>
          <w:szCs w:val="32"/>
          <w:highlight w:val="none"/>
        </w:rPr>
        <w:t>十一、机构运行经费支出、国有资产占用情况及政府采购支出信息表</w:t>
      </w:r>
      <w:r>
        <w:rPr>
          <w:b w:val="0"/>
          <w:bCs/>
          <w:highlight w:val="none"/>
        </w:rPr>
        <w:br w:type="page"/>
      </w:r>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sz w:val="36"/>
          <w:szCs w:val="36"/>
          <w:highlight w:val="none"/>
        </w:rPr>
      </w:pPr>
      <w:r>
        <w:rPr>
          <w:rFonts w:hint="eastAsia" w:ascii="方正小标宋简体" w:hAnsi="方正小标宋简体" w:eastAsia="方正小标宋简体" w:cs="方正小标宋简体"/>
          <w:b w:val="0"/>
          <w:bCs/>
          <w:sz w:val="36"/>
          <w:szCs w:val="36"/>
          <w:highlight w:val="none"/>
        </w:rPr>
        <w:t>第一部分部门（单位）概况</w:t>
      </w:r>
    </w:p>
    <w:p>
      <w:pPr>
        <w:spacing w:line="600" w:lineRule="exact"/>
        <w:ind w:left="424" w:leftChars="202" w:firstLine="211" w:firstLineChars="66"/>
        <w:outlineLvl w:val="2"/>
        <w:rPr>
          <w:rFonts w:hint="eastAsia" w:eastAsia="黑体" w:cs="黑体"/>
          <w:b w:val="0"/>
          <w:bCs/>
          <w:sz w:val="32"/>
          <w:szCs w:val="36"/>
          <w:highlight w:val="none"/>
        </w:rPr>
      </w:pPr>
    </w:p>
    <w:p>
      <w:pPr>
        <w:spacing w:line="600" w:lineRule="exact"/>
        <w:ind w:left="424" w:leftChars="202" w:firstLine="211" w:firstLineChars="66"/>
        <w:outlineLvl w:val="2"/>
        <w:rPr>
          <w:rFonts w:hint="eastAsia" w:eastAsia="仿宋_GB2312" w:cstheme="minorBidi"/>
          <w:b w:val="0"/>
          <w:bCs/>
          <w:sz w:val="32"/>
          <w:szCs w:val="32"/>
          <w:highlight w:val="none"/>
        </w:rPr>
      </w:pPr>
      <w:r>
        <w:rPr>
          <w:rFonts w:hint="eastAsia" w:eastAsia="黑体" w:cs="黑体"/>
          <w:b w:val="0"/>
          <w:bCs/>
          <w:sz w:val="32"/>
          <w:szCs w:val="36"/>
          <w:highlight w:val="none"/>
        </w:rPr>
        <w:t>一、主要职能、职责</w:t>
      </w:r>
    </w:p>
    <w:p>
      <w:pPr>
        <w:spacing w:line="600" w:lineRule="exact"/>
        <w:ind w:firstLine="640" w:firstLineChars="200"/>
        <w:rPr>
          <w:rFonts w:hint="eastAsia" w:eastAsia="仿宋_GB2312" w:cstheme="minorBidi"/>
          <w:b w:val="0"/>
          <w:bCs/>
          <w:sz w:val="32"/>
          <w:szCs w:val="32"/>
          <w:highlight w:val="none"/>
        </w:rPr>
      </w:pPr>
      <w:r>
        <w:rPr>
          <w:rFonts w:hint="eastAsia" w:eastAsia="仿宋_GB2312" w:cstheme="minorBidi"/>
          <w:b w:val="0"/>
          <w:bCs/>
          <w:sz w:val="32"/>
          <w:szCs w:val="32"/>
          <w:highlight w:val="none"/>
        </w:rPr>
        <w:t>赤峰市公共资源交易中心为市政务服务局所属公益一类事业单位</w:t>
      </w:r>
      <w:r>
        <w:rPr>
          <w:rFonts w:hint="eastAsia" w:eastAsia="仿宋_GB2312" w:cstheme="minorBidi"/>
          <w:b w:val="0"/>
          <w:bCs/>
          <w:sz w:val="32"/>
          <w:szCs w:val="32"/>
          <w:highlight w:val="none"/>
          <w:lang w:eastAsia="zh-CN"/>
        </w:rPr>
        <w:t>，</w:t>
      </w:r>
      <w:r>
        <w:rPr>
          <w:rFonts w:hint="eastAsia" w:eastAsia="仿宋_GB2312" w:cstheme="minorBidi"/>
          <w:b w:val="0"/>
          <w:bCs/>
          <w:sz w:val="32"/>
          <w:szCs w:val="32"/>
          <w:highlight w:val="none"/>
        </w:rPr>
        <w:t>主要职责是：</w:t>
      </w:r>
    </w:p>
    <w:p>
      <w:pPr>
        <w:spacing w:line="600" w:lineRule="exact"/>
        <w:ind w:firstLine="640" w:firstLineChars="200"/>
        <w:rPr>
          <w:rFonts w:hint="eastAsia" w:eastAsia="仿宋_GB2312" w:cstheme="minorBidi"/>
          <w:b w:val="0"/>
          <w:bCs/>
          <w:sz w:val="32"/>
          <w:szCs w:val="32"/>
          <w:highlight w:val="none"/>
        </w:rPr>
      </w:pPr>
      <w:r>
        <w:rPr>
          <w:rFonts w:hint="eastAsia" w:eastAsia="仿宋_GB2312" w:cstheme="minorBidi"/>
          <w:b w:val="0"/>
          <w:bCs/>
          <w:sz w:val="32"/>
          <w:szCs w:val="32"/>
          <w:highlight w:val="none"/>
        </w:rPr>
        <w:t>（1）管理赤峰市本级公共资源交易场所；</w:t>
      </w:r>
    </w:p>
    <w:p>
      <w:pPr>
        <w:spacing w:line="600" w:lineRule="exact"/>
        <w:ind w:firstLine="640" w:firstLineChars="200"/>
        <w:rPr>
          <w:rFonts w:hint="eastAsia" w:eastAsia="仿宋_GB2312" w:cstheme="minorBidi"/>
          <w:b w:val="0"/>
          <w:bCs/>
          <w:sz w:val="32"/>
          <w:szCs w:val="32"/>
          <w:highlight w:val="none"/>
        </w:rPr>
      </w:pPr>
      <w:r>
        <w:rPr>
          <w:rFonts w:hint="eastAsia" w:eastAsia="仿宋_GB2312" w:cstheme="minorBidi"/>
          <w:b w:val="0"/>
          <w:bCs/>
          <w:sz w:val="32"/>
          <w:szCs w:val="32"/>
          <w:highlight w:val="none"/>
        </w:rPr>
        <w:t>（2）协助行业监管部门依法对各类交易活动进行规范化管理；</w:t>
      </w:r>
    </w:p>
    <w:p>
      <w:pPr>
        <w:spacing w:line="600" w:lineRule="exact"/>
        <w:ind w:firstLine="640" w:firstLineChars="200"/>
        <w:rPr>
          <w:rFonts w:hint="eastAsia" w:eastAsia="仿宋_GB2312" w:cstheme="minorBidi"/>
          <w:b w:val="0"/>
          <w:bCs/>
          <w:sz w:val="32"/>
          <w:szCs w:val="32"/>
          <w:highlight w:val="none"/>
        </w:rPr>
      </w:pPr>
      <w:r>
        <w:rPr>
          <w:rFonts w:hint="eastAsia" w:eastAsia="仿宋_GB2312" w:cstheme="minorBidi"/>
          <w:b w:val="0"/>
          <w:bCs/>
          <w:sz w:val="32"/>
          <w:szCs w:val="32"/>
          <w:highlight w:val="none"/>
        </w:rPr>
        <w:t>（3）承担赤峰市统一的公共资源交易平台建设、管理和运维，承担公共资源交易信息公开、数据汇集和统计分析工作；</w:t>
      </w:r>
    </w:p>
    <w:p>
      <w:pPr>
        <w:spacing w:line="600" w:lineRule="exact"/>
        <w:ind w:firstLine="640" w:firstLineChars="200"/>
        <w:rPr>
          <w:rFonts w:hint="eastAsia" w:eastAsia="仿宋_GB2312" w:cstheme="minorBidi"/>
          <w:b w:val="0"/>
          <w:bCs/>
          <w:sz w:val="32"/>
          <w:szCs w:val="32"/>
          <w:highlight w:val="none"/>
        </w:rPr>
      </w:pPr>
      <w:r>
        <w:rPr>
          <w:rFonts w:hint="eastAsia" w:eastAsia="仿宋_GB2312" w:cstheme="minorBidi"/>
          <w:b w:val="0"/>
          <w:bCs/>
          <w:sz w:val="32"/>
          <w:szCs w:val="32"/>
          <w:highlight w:val="none"/>
        </w:rPr>
        <w:t>（4）承担工程建设项目招标投标、自然资源交易、国有产权交易等交易活动的组织实施和管理服务工作；</w:t>
      </w:r>
    </w:p>
    <w:p>
      <w:pPr>
        <w:spacing w:line="600" w:lineRule="exact"/>
        <w:ind w:firstLine="640" w:firstLineChars="200"/>
        <w:rPr>
          <w:rFonts w:hint="eastAsia" w:eastAsia="仿宋_GB2312" w:cstheme="minorBidi"/>
          <w:b w:val="0"/>
          <w:bCs/>
          <w:sz w:val="32"/>
          <w:szCs w:val="32"/>
          <w:highlight w:val="none"/>
        </w:rPr>
      </w:pPr>
      <w:r>
        <w:rPr>
          <w:rFonts w:hint="eastAsia" w:eastAsia="仿宋_GB2312" w:cstheme="minorBidi"/>
          <w:b w:val="0"/>
          <w:bCs/>
          <w:sz w:val="32"/>
          <w:szCs w:val="32"/>
          <w:highlight w:val="none"/>
        </w:rPr>
        <w:t>（5）为纳入市本级公共资源交易平台的各类交易活动提供咨询、见证、场所、信息、档案、专家抽取、查询等公共服务和管理性工作；</w:t>
      </w:r>
    </w:p>
    <w:p>
      <w:pPr>
        <w:spacing w:line="600" w:lineRule="exact"/>
        <w:ind w:firstLine="640" w:firstLineChars="200"/>
        <w:rPr>
          <w:rFonts w:hint="eastAsia" w:eastAsia="仿宋_GB2312" w:cstheme="minorBidi"/>
          <w:b w:val="0"/>
          <w:bCs/>
          <w:sz w:val="32"/>
          <w:szCs w:val="32"/>
          <w:highlight w:val="none"/>
        </w:rPr>
      </w:pPr>
      <w:r>
        <w:rPr>
          <w:rFonts w:hint="eastAsia" w:eastAsia="仿宋_GB2312" w:cstheme="minorBidi"/>
          <w:b w:val="0"/>
          <w:bCs/>
          <w:sz w:val="32"/>
          <w:szCs w:val="32"/>
          <w:highlight w:val="none"/>
        </w:rPr>
        <w:t>（6）承担赤峰市本级政府集中采购相关工作；</w:t>
      </w:r>
    </w:p>
    <w:p>
      <w:pPr>
        <w:spacing w:line="600" w:lineRule="exact"/>
        <w:ind w:firstLine="640" w:firstLineChars="200"/>
        <w:rPr>
          <w:rFonts w:hint="eastAsia" w:eastAsia="仿宋_GB2312" w:cstheme="minorBidi"/>
          <w:b w:val="0"/>
          <w:bCs/>
          <w:sz w:val="32"/>
          <w:szCs w:val="32"/>
          <w:highlight w:val="none"/>
        </w:rPr>
      </w:pPr>
      <w:r>
        <w:rPr>
          <w:rFonts w:hint="eastAsia" w:eastAsia="仿宋_GB2312" w:cstheme="minorBidi"/>
          <w:b w:val="0"/>
          <w:bCs/>
          <w:sz w:val="32"/>
          <w:szCs w:val="32"/>
          <w:highlight w:val="none"/>
        </w:rPr>
        <w:t>（7）为各类交易主体提供全流程服务，为政府部门实施监督提供技术支持；</w:t>
      </w:r>
    </w:p>
    <w:p>
      <w:pPr>
        <w:spacing w:line="600" w:lineRule="exact"/>
        <w:ind w:firstLine="640" w:firstLineChars="200"/>
        <w:rPr>
          <w:rFonts w:hint="eastAsia" w:eastAsia="仿宋_GB2312" w:cstheme="minorBidi"/>
          <w:b w:val="0"/>
          <w:bCs/>
          <w:sz w:val="32"/>
          <w:szCs w:val="32"/>
          <w:highlight w:val="none"/>
        </w:rPr>
      </w:pPr>
      <w:r>
        <w:rPr>
          <w:rFonts w:hint="eastAsia" w:eastAsia="仿宋_GB2312" w:cstheme="minorBidi"/>
          <w:b w:val="0"/>
          <w:bCs/>
          <w:sz w:val="32"/>
          <w:szCs w:val="32"/>
          <w:highlight w:val="none"/>
        </w:rPr>
        <w:t>（8）接受国家有关部门、各省区市以及其他盟市的委托提供公共资源交易相关服务；</w:t>
      </w:r>
    </w:p>
    <w:p>
      <w:pPr>
        <w:spacing w:line="600" w:lineRule="exact"/>
        <w:ind w:firstLine="640" w:firstLineChars="200"/>
        <w:rPr>
          <w:rFonts w:hint="eastAsia" w:eastAsia="仿宋_GB2312" w:cstheme="minorBidi"/>
          <w:b w:val="0"/>
          <w:bCs/>
          <w:sz w:val="32"/>
          <w:szCs w:val="32"/>
          <w:highlight w:val="none"/>
        </w:rPr>
      </w:pPr>
      <w:r>
        <w:rPr>
          <w:rFonts w:hint="eastAsia" w:eastAsia="仿宋_GB2312" w:cstheme="minorBidi"/>
          <w:b w:val="0"/>
          <w:bCs/>
          <w:sz w:val="32"/>
          <w:szCs w:val="32"/>
          <w:highlight w:val="none"/>
        </w:rPr>
        <w:t>（9）对市公共资源交易平台分支机构运行情况进行业务指导；</w:t>
      </w:r>
    </w:p>
    <w:p>
      <w:pPr>
        <w:spacing w:line="600" w:lineRule="exact"/>
        <w:ind w:firstLine="640" w:firstLineChars="200"/>
        <w:rPr>
          <w:rFonts w:hint="eastAsia" w:eastAsia="仿宋_GB2312" w:cstheme="minorBidi"/>
          <w:b w:val="0"/>
          <w:bCs/>
          <w:sz w:val="32"/>
          <w:szCs w:val="32"/>
          <w:highlight w:val="none"/>
        </w:rPr>
      </w:pPr>
      <w:r>
        <w:rPr>
          <w:rFonts w:hint="eastAsia" w:eastAsia="仿宋_GB2312" w:cstheme="minorBidi"/>
          <w:b w:val="0"/>
          <w:bCs/>
          <w:sz w:val="32"/>
          <w:szCs w:val="32"/>
          <w:highlight w:val="none"/>
        </w:rPr>
        <w:t>（10）对市公共资源交易平台分支机构提供公共服务情况组织评价和业务培训；</w:t>
      </w:r>
    </w:p>
    <w:p>
      <w:pPr>
        <w:spacing w:line="600" w:lineRule="exact"/>
        <w:ind w:firstLine="640" w:firstLineChars="200"/>
        <w:rPr>
          <w:rFonts w:eastAsia="仿宋_GB2312" w:cstheme="minorBidi"/>
          <w:b w:val="0"/>
          <w:bCs/>
          <w:sz w:val="32"/>
          <w:szCs w:val="32"/>
          <w:highlight w:val="none"/>
        </w:rPr>
      </w:pPr>
      <w:r>
        <w:rPr>
          <w:rFonts w:hint="eastAsia" w:eastAsia="仿宋_GB2312" w:cstheme="minorBidi"/>
          <w:b w:val="0"/>
          <w:bCs/>
          <w:sz w:val="32"/>
          <w:szCs w:val="32"/>
          <w:highlight w:val="none"/>
        </w:rPr>
        <w:t>（11）完成市政务服务局交办的其他任务。</w:t>
      </w:r>
    </w:p>
    <w:p>
      <w:pPr>
        <w:spacing w:line="600" w:lineRule="exact"/>
        <w:ind w:left="424" w:leftChars="202" w:firstLine="211" w:firstLineChars="66"/>
        <w:outlineLvl w:val="2"/>
        <w:rPr>
          <w:rFonts w:hint="eastAsia" w:ascii="Times New Roman" w:hAnsi="Times New Roman" w:eastAsia="仿宋_GB2312" w:cstheme="minorBidi"/>
          <w:b w:val="0"/>
          <w:bCs/>
          <w:kern w:val="2"/>
          <w:sz w:val="32"/>
          <w:szCs w:val="32"/>
          <w:highlight w:val="none"/>
          <w:lang w:eastAsia="zh-CN"/>
        </w:rPr>
      </w:pPr>
      <w:r>
        <w:rPr>
          <w:rFonts w:hint="eastAsia" w:eastAsia="黑体" w:cs="黑体"/>
          <w:b w:val="0"/>
          <w:bCs/>
          <w:sz w:val="32"/>
          <w:szCs w:val="36"/>
          <w:highlight w:val="none"/>
        </w:rPr>
        <w:t>二、部门（单位）机构设置及决算单位构成情况</w:t>
      </w:r>
    </w:p>
    <w:p>
      <w:pPr>
        <w:pStyle w:val="12"/>
        <w:tabs>
          <w:tab w:val="left" w:pos="1151"/>
        </w:tabs>
        <w:spacing w:line="360" w:lineRule="auto"/>
        <w:ind w:left="0" w:right="0" w:firstLine="640" w:firstLineChars="200"/>
        <w:jc w:val="both"/>
        <w:rPr>
          <w:rFonts w:hint="eastAsia" w:ascii="Times New Roman" w:hAnsi="Times New Roman" w:eastAsia="仿宋_GB2312" w:cstheme="minorBidi"/>
          <w:b w:val="0"/>
          <w:bCs/>
          <w:kern w:val="2"/>
          <w:sz w:val="32"/>
          <w:szCs w:val="32"/>
          <w:highlight w:val="none"/>
          <w:lang w:eastAsia="zh-CN"/>
        </w:rPr>
      </w:pPr>
      <w:r>
        <w:rPr>
          <w:rFonts w:hint="eastAsia" w:ascii="Times New Roman" w:hAnsi="Times New Roman" w:eastAsia="仿宋_GB2312" w:cstheme="minorBidi"/>
          <w:b w:val="0"/>
          <w:bCs/>
          <w:kern w:val="2"/>
          <w:sz w:val="32"/>
          <w:szCs w:val="32"/>
          <w:highlight w:val="none"/>
          <w:lang w:eastAsia="zh-CN"/>
        </w:rPr>
        <w:t>1.根据单位职责分工，本单位内设机构包括综合科、运行保障科、交易评审科、交易组织科、采购组织科、采购评审科。本单位无下属单位。</w:t>
      </w:r>
    </w:p>
    <w:p>
      <w:pPr>
        <w:pStyle w:val="12"/>
        <w:tabs>
          <w:tab w:val="left" w:pos="1151"/>
        </w:tabs>
        <w:spacing w:line="360" w:lineRule="auto"/>
        <w:ind w:left="0" w:right="0" w:firstLine="640" w:firstLineChars="200"/>
        <w:jc w:val="both"/>
        <w:rPr>
          <w:rFonts w:hint="eastAsia" w:ascii="Times New Roman" w:hAnsi="Times New Roman" w:eastAsia="仿宋_GB2312" w:cstheme="minorBidi"/>
          <w:b w:val="0"/>
          <w:bCs/>
          <w:kern w:val="2"/>
          <w:sz w:val="32"/>
          <w:szCs w:val="32"/>
          <w:highlight w:val="none"/>
          <w:lang w:eastAsia="zh-CN"/>
        </w:rPr>
      </w:pPr>
      <w:r>
        <w:rPr>
          <w:rFonts w:hint="eastAsia" w:ascii="Times New Roman" w:hAnsi="Times New Roman" w:eastAsia="仿宋_GB2312" w:cstheme="minorBidi"/>
          <w:b w:val="0"/>
          <w:bCs/>
          <w:kern w:val="2"/>
          <w:sz w:val="32"/>
          <w:szCs w:val="32"/>
          <w:highlight w:val="none"/>
          <w:lang w:eastAsia="zh-CN"/>
        </w:rPr>
        <w:t>2.从决算单位构成看，纳入本部门</w:t>
      </w:r>
      <w:r>
        <w:rPr>
          <w:rFonts w:hint="eastAsia" w:ascii="仿宋_GB2312" w:hAnsi="仿宋_GB2312" w:eastAsia="仿宋_GB2312" w:cs="仿宋_GB2312"/>
          <w:b w:val="0"/>
          <w:bCs/>
          <w:kern w:val="2"/>
          <w:sz w:val="32"/>
          <w:szCs w:val="32"/>
          <w:highlight w:val="none"/>
          <w:lang w:eastAsia="zh-CN"/>
        </w:rPr>
        <w:t>202</w:t>
      </w:r>
      <w:r>
        <w:rPr>
          <w:rFonts w:hint="eastAsia" w:ascii="仿宋_GB2312" w:hAnsi="仿宋_GB2312" w:eastAsia="仿宋_GB2312" w:cs="仿宋_GB2312"/>
          <w:b w:val="0"/>
          <w:bCs/>
          <w:kern w:val="2"/>
          <w:sz w:val="32"/>
          <w:szCs w:val="32"/>
          <w:highlight w:val="none"/>
          <w:lang w:val="en-US" w:eastAsia="zh-CN"/>
        </w:rPr>
        <w:t>4</w:t>
      </w:r>
      <w:r>
        <w:rPr>
          <w:rFonts w:hint="eastAsia" w:ascii="Times New Roman" w:hAnsi="Times New Roman" w:eastAsia="仿宋_GB2312" w:cstheme="minorBidi"/>
          <w:b w:val="0"/>
          <w:bCs/>
          <w:kern w:val="2"/>
          <w:sz w:val="32"/>
          <w:szCs w:val="32"/>
          <w:highlight w:val="none"/>
          <w:lang w:eastAsia="zh-CN"/>
        </w:rPr>
        <w:t>年部门汇总决算编制范围的预算单位共计1家，具体包括：赤峰市公共资源交易中心。详细情况见表：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3875"/>
        <w:gridCol w:w="3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widowControl/>
              <w:jc w:val="center"/>
              <w:rPr>
                <w:rFonts w:ascii="仿宋" w:hAnsi="仿宋" w:eastAsia="仿宋" w:cs="仿宋"/>
                <w:b w:val="0"/>
                <w:bCs/>
                <w:color w:val="000000"/>
                <w:kern w:val="0"/>
                <w:sz w:val="31"/>
                <w:szCs w:val="31"/>
                <w:highlight w:val="none"/>
                <w:lang w:bidi="ar"/>
              </w:rPr>
            </w:pPr>
            <w:r>
              <w:rPr>
                <w:rFonts w:hint="eastAsia" w:ascii="Times New Roman" w:hAnsi="Times New Roman" w:eastAsia="仿宋_GB2312" w:cs="仿宋"/>
                <w:b w:val="0"/>
                <w:bCs/>
                <w:color w:val="000000"/>
                <w:kern w:val="0"/>
                <w:sz w:val="31"/>
                <w:szCs w:val="31"/>
                <w:highlight w:val="none"/>
                <w:lang w:bidi="ar"/>
              </w:rPr>
              <w:t>序号</w:t>
            </w:r>
          </w:p>
        </w:tc>
        <w:tc>
          <w:tcPr>
            <w:tcW w:w="3875" w:type="dxa"/>
            <w:vAlign w:val="center"/>
          </w:tcPr>
          <w:p>
            <w:pPr>
              <w:widowControl/>
              <w:jc w:val="center"/>
              <w:rPr>
                <w:rFonts w:ascii="仿宋" w:hAnsi="仿宋" w:eastAsia="仿宋" w:cs="仿宋"/>
                <w:b w:val="0"/>
                <w:bCs/>
                <w:color w:val="000000"/>
                <w:kern w:val="0"/>
                <w:sz w:val="31"/>
                <w:szCs w:val="31"/>
                <w:highlight w:val="none"/>
                <w:lang w:bidi="ar"/>
              </w:rPr>
            </w:pPr>
            <w:r>
              <w:rPr>
                <w:rFonts w:hint="eastAsia" w:ascii="Times New Roman" w:hAnsi="Times New Roman" w:eastAsia="仿宋_GB2312" w:cs="仿宋"/>
                <w:b w:val="0"/>
                <w:bCs/>
                <w:color w:val="000000"/>
                <w:kern w:val="0"/>
                <w:sz w:val="31"/>
                <w:szCs w:val="31"/>
                <w:highlight w:val="none"/>
                <w:lang w:bidi="ar"/>
              </w:rPr>
              <w:t>单位名称</w:t>
            </w:r>
          </w:p>
        </w:tc>
        <w:tc>
          <w:tcPr>
            <w:tcW w:w="3800" w:type="dxa"/>
            <w:vAlign w:val="center"/>
          </w:tcPr>
          <w:p>
            <w:pPr>
              <w:widowControl/>
              <w:jc w:val="center"/>
              <w:rPr>
                <w:rFonts w:ascii="仿宋" w:hAnsi="仿宋" w:eastAsia="仿宋" w:cs="仿宋"/>
                <w:b w:val="0"/>
                <w:bCs/>
                <w:color w:val="000000"/>
                <w:kern w:val="0"/>
                <w:sz w:val="31"/>
                <w:szCs w:val="31"/>
                <w:highlight w:val="none"/>
                <w:lang w:bidi="ar"/>
              </w:rPr>
            </w:pPr>
            <w:r>
              <w:rPr>
                <w:rFonts w:hint="eastAsia" w:ascii="Times New Roman" w:hAnsi="Times New Roman" w:eastAsia="仿宋_GB2312" w:cs="仿宋"/>
                <w:b w:val="0"/>
                <w:bCs/>
                <w:color w:val="000000"/>
                <w:kern w:val="0"/>
                <w:sz w:val="31"/>
                <w:szCs w:val="31"/>
                <w:highlight w:val="none"/>
                <w:lang w:bidi="ar"/>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7" w:type="dxa"/>
            <w:vAlign w:val="center"/>
          </w:tcPr>
          <w:p>
            <w:pPr>
              <w:widowControl/>
              <w:jc w:val="center"/>
              <w:rPr>
                <w:rFonts w:hint="eastAsia" w:ascii="仿宋" w:hAnsi="仿宋" w:eastAsia="仿宋" w:cs="仿宋"/>
                <w:b w:val="0"/>
                <w:bCs/>
                <w:color w:val="000000"/>
                <w:kern w:val="0"/>
                <w:sz w:val="31"/>
                <w:szCs w:val="31"/>
                <w:highlight w:val="none"/>
                <w:lang w:eastAsia="zh-CN" w:bidi="ar"/>
              </w:rPr>
            </w:pPr>
            <w:r>
              <w:rPr>
                <w:rFonts w:hint="eastAsia" w:eastAsia="仿宋_GB2312" w:cs="仿宋"/>
                <w:b w:val="0"/>
                <w:bCs/>
                <w:color w:val="000000"/>
                <w:kern w:val="0"/>
                <w:sz w:val="31"/>
                <w:szCs w:val="31"/>
                <w:highlight w:val="none"/>
                <w:lang w:val="en-US" w:eastAsia="zh-CN" w:bidi="ar"/>
              </w:rPr>
              <w:t>1</w:t>
            </w:r>
          </w:p>
        </w:tc>
        <w:tc>
          <w:tcPr>
            <w:tcW w:w="3875" w:type="dxa"/>
          </w:tcPr>
          <w:p>
            <w:pPr>
              <w:widowControl/>
              <w:jc w:val="left"/>
              <w:rPr>
                <w:rFonts w:hint="eastAsia" w:ascii="仿宋" w:hAnsi="仿宋" w:eastAsia="仿宋" w:cs="仿宋"/>
                <w:b w:val="0"/>
                <w:bCs/>
                <w:color w:val="000000"/>
                <w:kern w:val="0"/>
                <w:sz w:val="31"/>
                <w:szCs w:val="31"/>
                <w:highlight w:val="none"/>
                <w:lang w:eastAsia="zh-CN" w:bidi="ar"/>
              </w:rPr>
            </w:pPr>
            <w:r>
              <w:rPr>
                <w:rFonts w:hint="eastAsia" w:ascii="仿宋_GB2312" w:hAnsi="仿宋_GB2312" w:eastAsia="仿宋_GB2312" w:cs="仿宋"/>
                <w:b w:val="0"/>
                <w:bCs/>
                <w:color w:val="000000"/>
                <w:kern w:val="0"/>
                <w:sz w:val="31"/>
                <w:szCs w:val="31"/>
                <w:highlight w:val="none"/>
                <w:lang w:eastAsia="zh-CN" w:bidi="ar"/>
              </w:rPr>
              <w:t>赤峰市公共资源交易中心</w:t>
            </w:r>
          </w:p>
        </w:tc>
        <w:tc>
          <w:tcPr>
            <w:tcW w:w="3800" w:type="dxa"/>
          </w:tcPr>
          <w:p>
            <w:pPr>
              <w:widowControl/>
              <w:jc w:val="left"/>
              <w:rPr>
                <w:rFonts w:ascii="仿宋" w:hAnsi="仿宋" w:eastAsia="仿宋" w:cs="仿宋"/>
                <w:b w:val="0"/>
                <w:bCs/>
                <w:color w:val="000000"/>
                <w:kern w:val="0"/>
                <w:sz w:val="31"/>
                <w:szCs w:val="31"/>
                <w:highlight w:val="none"/>
                <w:lang w:bidi="ar"/>
              </w:rPr>
            </w:pPr>
            <w:r>
              <w:rPr>
                <w:rFonts w:hint="eastAsia" w:ascii="Times New Roman" w:hAnsi="Times New Roman" w:eastAsia="仿宋_GB2312" w:cs="仿宋"/>
                <w:b w:val="0"/>
                <w:bCs/>
                <w:color w:val="000000"/>
                <w:kern w:val="0"/>
                <w:sz w:val="31"/>
                <w:szCs w:val="31"/>
                <w:highlight w:val="none"/>
                <w:lang w:bidi="ar"/>
              </w:rPr>
              <w:t>公益一类事业单位</w:t>
            </w:r>
          </w:p>
        </w:tc>
      </w:tr>
    </w:tbl>
    <w:p>
      <w:pPr>
        <w:spacing w:line="600" w:lineRule="exact"/>
        <w:ind w:left="0" w:leftChars="0" w:firstLine="640" w:firstLineChars="200"/>
        <w:outlineLvl w:val="2"/>
        <w:rPr>
          <w:rFonts w:hint="eastAsia" w:eastAsia="黑体" w:cs="黑体"/>
          <w:b w:val="0"/>
          <w:bCs/>
          <w:sz w:val="32"/>
          <w:szCs w:val="36"/>
          <w:highlight w:val="none"/>
        </w:rPr>
      </w:pPr>
      <w:r>
        <w:rPr>
          <w:rFonts w:hint="eastAsia" w:eastAsia="黑体" w:cs="黑体"/>
          <w:b w:val="0"/>
          <w:bCs/>
          <w:sz w:val="32"/>
          <w:szCs w:val="36"/>
          <w:highlight w:val="none"/>
        </w:rPr>
        <w:t>三、2024年度部门（单位）主要工作完成情况</w:t>
      </w:r>
    </w:p>
    <w:p>
      <w:pPr>
        <w:numPr>
          <w:ilvl w:val="0"/>
          <w:numId w:val="0"/>
        </w:numPr>
        <w:spacing w:line="600" w:lineRule="exact"/>
        <w:ind w:left="0" w:leftChars="0" w:firstLine="640" w:firstLineChars="200"/>
        <w:outlineLvl w:val="2"/>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kern w:val="2"/>
          <w:sz w:val="32"/>
          <w:szCs w:val="32"/>
          <w:highlight w:val="none"/>
          <w:lang w:val="en-US" w:eastAsia="zh-CN" w:bidi="ar-SA"/>
        </w:rPr>
        <w:t>（一）</w:t>
      </w:r>
      <w:r>
        <w:rPr>
          <w:rFonts w:hint="eastAsia" w:ascii="楷体" w:hAnsi="楷体" w:eastAsia="楷体" w:cs="楷体"/>
          <w:b w:val="0"/>
          <w:bCs/>
          <w:sz w:val="32"/>
          <w:szCs w:val="32"/>
          <w:highlight w:val="none"/>
        </w:rPr>
        <w:t>切实强化政治引领。</w:t>
      </w:r>
      <w:r>
        <w:rPr>
          <w:rFonts w:hint="eastAsia" w:ascii="仿宋_GB2312" w:hAnsi="仿宋_GB2312" w:eastAsia="仿宋_GB2312" w:cs="仿宋_GB2312"/>
          <w:b w:val="0"/>
          <w:bCs/>
          <w:sz w:val="32"/>
          <w:szCs w:val="32"/>
          <w:highlight w:val="none"/>
        </w:rPr>
        <w:t>全力抓好党员干部思想政治工作，制定2024年度学习计划，通过讲党课、读书会、支部讲堂、观看纪录片、研讨会等多种形式，教育引领广大党员干部坚定拥护“两个确立”、忠实践行“两个维护”。全年组织开展主题党日活动13次，集中学习24次，党课5次。积极开展“思想大解放、工作大提速、经济大发展”讨论活动，形成了关于赤峰市公共资源交易平台运行情况的调研报告，并汇集问题、任务、建议5条。</w:t>
      </w:r>
    </w:p>
    <w:p>
      <w:pPr>
        <w:numPr>
          <w:ilvl w:val="0"/>
          <w:numId w:val="0"/>
        </w:numPr>
        <w:spacing w:line="600" w:lineRule="exact"/>
        <w:ind w:left="0" w:leftChars="0" w:firstLine="640" w:firstLineChars="200"/>
        <w:outlineLvl w:val="2"/>
        <w:rPr>
          <w:rFonts w:hint="eastAsia" w:ascii="仿宋_GB2312" w:hAnsi="仿宋_GB2312" w:eastAsia="仿宋_GB2312" w:cs="仿宋_GB2312"/>
          <w:b w:val="0"/>
          <w:bCs/>
          <w:sz w:val="32"/>
          <w:szCs w:val="32"/>
          <w:highlight w:val="none"/>
        </w:rPr>
      </w:pPr>
      <w:r>
        <w:rPr>
          <w:rFonts w:hint="eastAsia" w:ascii="楷体" w:hAnsi="楷体" w:eastAsia="楷体" w:cs="楷体"/>
          <w:b w:val="0"/>
          <w:bCs/>
          <w:sz w:val="32"/>
          <w:szCs w:val="32"/>
          <w:highlight w:val="none"/>
        </w:rPr>
        <w:t>（二）不断夯实组织根基。</w:t>
      </w:r>
      <w:r>
        <w:rPr>
          <w:rFonts w:hint="eastAsia" w:ascii="仿宋_GB2312" w:hAnsi="仿宋_GB2312" w:eastAsia="仿宋_GB2312" w:cs="仿宋_GB2312"/>
          <w:b w:val="0"/>
          <w:bCs/>
          <w:sz w:val="32"/>
          <w:szCs w:val="32"/>
          <w:highlight w:val="none"/>
        </w:rPr>
        <w:t>充分发挥党支部战斗堡垒作用和党员先锋模范作用，认真落实“三会一课”、主题党日、民主生活会、组织生活会、民主评议党员等制度。全年召开党员大会4次、党支部委员会会议15次、党小组会议12次，党内政治生活严肃认真、规范有序。积极做好党员发展工作，强化对入党积极分子的经常性教育，为党组织注入新鲜血液，本年度支部有1名预备党员如期转正。积极落实定点帮扶工作任务，中心领导3次带队前往巴林左旗三山乡三山村，慰问老党员、困难群众，向村委捐赠办公桌50张、办公椅100把，为村民提供体育健身器材、种植养殖相关书籍以及米面粮油等生活必需品，帮助基层切实解决了实际困难。</w:t>
      </w:r>
    </w:p>
    <w:p>
      <w:pPr>
        <w:numPr>
          <w:ilvl w:val="0"/>
          <w:numId w:val="0"/>
        </w:numPr>
        <w:spacing w:line="600" w:lineRule="exact"/>
        <w:ind w:left="0" w:leftChars="0" w:firstLine="640" w:firstLineChars="200"/>
        <w:outlineLvl w:val="2"/>
        <w:rPr>
          <w:rFonts w:hint="eastAsia" w:ascii="仿宋_GB2312" w:hAnsi="仿宋_GB2312" w:eastAsia="仿宋_GB2312" w:cs="仿宋_GB2312"/>
          <w:b w:val="0"/>
          <w:bCs/>
          <w:sz w:val="32"/>
          <w:szCs w:val="32"/>
          <w:highlight w:val="none"/>
        </w:rPr>
      </w:pPr>
      <w:r>
        <w:rPr>
          <w:rFonts w:hint="eastAsia" w:ascii="楷体" w:hAnsi="楷体" w:eastAsia="楷体" w:cs="楷体"/>
          <w:b w:val="0"/>
          <w:bCs/>
          <w:sz w:val="32"/>
          <w:szCs w:val="32"/>
          <w:highlight w:val="none"/>
        </w:rPr>
        <w:t>（三）积极推进法治建设。</w:t>
      </w:r>
      <w:r>
        <w:rPr>
          <w:rFonts w:hint="eastAsia" w:ascii="仿宋_GB2312" w:hAnsi="仿宋_GB2312" w:eastAsia="仿宋_GB2312" w:cs="仿宋_GB2312"/>
          <w:b w:val="0"/>
          <w:bCs/>
          <w:sz w:val="32"/>
          <w:szCs w:val="32"/>
          <w:highlight w:val="none"/>
        </w:rPr>
        <w:t>将法治建设纳入重要的议事日程。一是强化干部职工法律意识。深入学习贯彻习近平法治思想，将党内法规和国家法律等纳入年度学习计划，定期举办线上线下法治学习活动，拓宽学法渠道。由中心妇联牵头，联合工会、共青团开展知识竞赛，提升职工法治素养。二是营造浓厚法治氛围。利用宣传栏、横幅、电子显示屏、中心网站等平台，发布法律法规解读和法治建设动态。三是完善内部规章制度。以制度管理人、事、权，明确科室职责权限，规范工作流程，确保单位运行规范化和法治化。</w:t>
      </w:r>
    </w:p>
    <w:p>
      <w:pPr>
        <w:numPr>
          <w:ilvl w:val="0"/>
          <w:numId w:val="0"/>
        </w:numPr>
        <w:spacing w:line="600" w:lineRule="exact"/>
        <w:ind w:left="0" w:leftChars="0" w:firstLine="640" w:firstLineChars="200"/>
        <w:outlineLvl w:val="2"/>
        <w:rPr>
          <w:rFonts w:hint="eastAsia" w:ascii="仿宋_GB2312" w:hAnsi="仿宋_GB2312" w:eastAsia="仿宋_GB2312" w:cs="仿宋_GB2312"/>
          <w:b w:val="0"/>
          <w:bCs/>
          <w:sz w:val="32"/>
          <w:szCs w:val="32"/>
          <w:highlight w:val="none"/>
        </w:rPr>
      </w:pPr>
      <w:r>
        <w:rPr>
          <w:rFonts w:hint="eastAsia" w:ascii="楷体" w:hAnsi="楷体" w:eastAsia="楷体" w:cs="楷体"/>
          <w:b w:val="0"/>
          <w:bCs/>
          <w:sz w:val="32"/>
          <w:szCs w:val="32"/>
          <w:highlight w:val="none"/>
        </w:rPr>
        <w:t>（四）守牢意识形态阵地。</w:t>
      </w:r>
      <w:r>
        <w:rPr>
          <w:rFonts w:hint="eastAsia" w:ascii="仿宋_GB2312" w:hAnsi="仿宋_GB2312" w:eastAsia="仿宋_GB2312" w:cs="仿宋_GB2312"/>
          <w:b w:val="0"/>
          <w:bCs/>
          <w:sz w:val="32"/>
          <w:szCs w:val="32"/>
          <w:highlight w:val="none"/>
        </w:rPr>
        <w:t>高度重视意识形态工作，定期组织召开意识形态专题工作会议，研判意识形态工作形势，排查风险隐患。压紧压实网络意识形态工作责任，在门户网站公示网络意识形态工作部署，加强网络舆情监控。严把信息审核发布关，强化对中心内部微信群的管理。通过悬挂标语条幅、在LED显示屏上滚动展示宣传标语、设置公示板等多种渠道积极宣传习近平新时代中国特色社会主义思想，传递主流价值，弘扬新风正气。</w:t>
      </w:r>
    </w:p>
    <w:p>
      <w:pPr>
        <w:numPr>
          <w:ilvl w:val="0"/>
          <w:numId w:val="0"/>
        </w:numPr>
        <w:spacing w:line="600" w:lineRule="exact"/>
        <w:ind w:left="0" w:leftChars="0" w:firstLine="640" w:firstLineChars="200"/>
        <w:outlineLvl w:val="2"/>
        <w:rPr>
          <w:rFonts w:hint="default"/>
          <w:b w:val="0"/>
          <w:bCs/>
          <w:highlight w:val="none"/>
        </w:rPr>
      </w:pPr>
      <w:r>
        <w:rPr>
          <w:rFonts w:hint="eastAsia" w:ascii="仿宋_GB2312" w:hAnsi="仿宋_GB2312" w:eastAsia="仿宋_GB2312" w:cs="仿宋_GB2312"/>
          <w:b w:val="0"/>
          <w:bCs/>
          <w:sz w:val="32"/>
          <w:szCs w:val="32"/>
          <w:highlight w:val="none"/>
        </w:rPr>
        <w:t>2024年，全市共完成各类公共资源交易项目2967项（不含电子卖场），交易总额247.32亿元，较上年项目数同比下降18.2%，交易总额同比下降23.57%，其中：市本级交易项目405项，交易额59.94亿元；旗县区交易项目2562项，交易额187.38亿元。建设工程和政府采购类项目预算金额225.26亿元，中标金额216.92亿元，节约资金8.34亿元；国有产权、土地使用权、采矿权出让项目预算金额27.26亿元，中标金额30.4亿元，增值3.14亿元。此外，保障政府采购电子卖场交易26782项，订单金额6.39亿元，预算内项目节约资金0.15亿元。</w:t>
      </w:r>
    </w:p>
    <w:p>
      <w:pPr>
        <w:pStyle w:val="3"/>
        <w:tabs>
          <w:tab w:val="left" w:pos="4392"/>
        </w:tabs>
        <w:adjustRightInd/>
        <w:snapToGrid/>
        <w:spacing w:before="0" w:after="0" w:line="360" w:lineRule="auto"/>
        <w:ind w:firstLine="0" w:firstLineChars="0"/>
        <w:jc w:val="center"/>
        <w:rPr>
          <w:rFonts w:ascii="方正小标宋简体" w:hAnsi="方正小标宋简体" w:eastAsia="方正小标宋简体" w:cs="方正小标宋简体"/>
          <w:b w:val="0"/>
          <w:bCs/>
          <w:sz w:val="36"/>
          <w:szCs w:val="36"/>
          <w:highlight w:val="none"/>
        </w:rPr>
      </w:pPr>
      <w:r>
        <w:rPr>
          <w:rFonts w:hint="eastAsia" w:ascii="方正小标宋简体" w:hAnsi="方正小标宋简体" w:eastAsia="方正小标宋简体" w:cs="方正小标宋简体"/>
          <w:b w:val="0"/>
          <w:bCs/>
          <w:sz w:val="36"/>
          <w:szCs w:val="36"/>
          <w:highlight w:val="none"/>
        </w:rPr>
        <w:t>第二部分 部门（单位）决算情况说明</w:t>
      </w:r>
    </w:p>
    <w:p>
      <w:pPr>
        <w:spacing w:line="600" w:lineRule="exact"/>
        <w:ind w:left="0" w:leftChars="0" w:firstLine="640" w:firstLineChars="200"/>
        <w:outlineLvl w:val="2"/>
        <w:rPr>
          <w:rFonts w:eastAsia="黑体" w:cs="黑体"/>
          <w:b w:val="0"/>
          <w:bCs/>
          <w:sz w:val="32"/>
          <w:szCs w:val="36"/>
          <w:highlight w:val="none"/>
        </w:rPr>
      </w:pPr>
      <w:r>
        <w:rPr>
          <w:rFonts w:hint="eastAsia" w:eastAsia="黑体" w:cs="黑体"/>
          <w:b w:val="0"/>
          <w:bCs/>
          <w:sz w:val="32"/>
          <w:szCs w:val="36"/>
          <w:highlight w:val="none"/>
        </w:rPr>
        <w:t>一、收入支出决算总体情况说明</w:t>
      </w:r>
    </w:p>
    <w:p>
      <w:pPr>
        <w:pStyle w:val="4"/>
        <w:tabs>
          <w:tab w:val="left" w:pos="4275"/>
        </w:tabs>
        <w:spacing w:after="0" w:line="560" w:lineRule="exact"/>
        <w:ind w:firstLine="640" w:firstLineChars="200"/>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赤峰市公共资源交易中心 </w:t>
      </w:r>
      <w:r>
        <w:rPr>
          <w:rFonts w:hint="eastAsia" w:ascii="仿宋_GB2312" w:hAnsi="仿宋_GB2312" w:eastAsia="仿宋_GB2312" w:cs="仿宋_GB2312"/>
          <w:b w:val="0"/>
          <w:bCs/>
          <w:sz w:val="32"/>
          <w:szCs w:val="32"/>
          <w:highlight w:val="none"/>
          <w:u w:val="none"/>
        </w:rPr>
        <w:t>2024</w:t>
      </w:r>
      <w:r>
        <w:rPr>
          <w:rFonts w:hint="eastAsia" w:ascii="Times New Roman" w:hAnsi="Times New Roman" w:eastAsia="仿宋_GB2312" w:cs="仿宋"/>
          <w:b w:val="0"/>
          <w:bCs/>
          <w:sz w:val="32"/>
          <w:szCs w:val="32"/>
          <w:highlight w:val="none"/>
        </w:rPr>
        <w:t>年度收入、支出决算总计</w:t>
      </w:r>
      <w:r>
        <w:rPr>
          <w:rFonts w:hint="eastAsia" w:ascii="仿宋_GB2312" w:hAnsi="仿宋_GB2312" w:eastAsia="仿宋_GB2312" w:cs="仿宋_GB2312"/>
          <w:b w:val="0"/>
          <w:bCs/>
          <w:sz w:val="32"/>
          <w:szCs w:val="32"/>
          <w:highlight w:val="none"/>
          <w:u w:val="none"/>
        </w:rPr>
        <w:t>1464.29</w:t>
      </w:r>
      <w:r>
        <w:rPr>
          <w:rFonts w:hint="eastAsia" w:ascii="Times New Roman" w:hAnsi="Times New Roman" w:eastAsia="仿宋_GB2312" w:cs="仿宋"/>
          <w:b w:val="0"/>
          <w:bCs/>
          <w:sz w:val="32"/>
          <w:szCs w:val="32"/>
          <w:highlight w:val="none"/>
        </w:rPr>
        <w:t>万元。与年初预算相比，收、支总计各减少了79.83万元，减少了</w:t>
      </w:r>
      <w:r>
        <w:rPr>
          <w:rFonts w:hint="eastAsia" w:ascii="仿宋_GB2312" w:hAnsi="仿宋_GB2312" w:eastAsia="仿宋_GB2312" w:cs="仿宋_GB2312"/>
          <w:b w:val="0"/>
          <w:bCs/>
          <w:sz w:val="32"/>
          <w:szCs w:val="32"/>
          <w:highlight w:val="none"/>
          <w:u w:val="none"/>
        </w:rPr>
        <w:t>5.17</w:t>
      </w:r>
      <w:r>
        <w:rPr>
          <w:rFonts w:hint="eastAsia" w:ascii="Times New Roman" w:hAnsi="Times New Roman" w:eastAsia="仿宋_GB2312" w:cs="仿宋"/>
          <w:b w:val="0"/>
          <w:bCs/>
          <w:sz w:val="32"/>
          <w:szCs w:val="32"/>
          <w:highlight w:val="none"/>
        </w:rPr>
        <w:t>%，变动原因：未实施完成项目未支付，；与上年决算相比，收、支总计各减少 </w:t>
      </w:r>
      <w:r>
        <w:rPr>
          <w:rFonts w:hint="eastAsia" w:ascii="仿宋_GB2312" w:hAnsi="仿宋_GB2312" w:eastAsia="仿宋_GB2312" w:cs="仿宋_GB2312"/>
          <w:b w:val="0"/>
          <w:bCs/>
          <w:sz w:val="32"/>
          <w:szCs w:val="32"/>
          <w:highlight w:val="none"/>
          <w:u w:val="none"/>
        </w:rPr>
        <w:t>454.39</w:t>
      </w:r>
      <w:r>
        <w:rPr>
          <w:rFonts w:hint="eastAsia" w:ascii="Times New Roman" w:hAnsi="Times New Roman" w:eastAsia="仿宋_GB2312" w:cs="仿宋"/>
          <w:b w:val="0"/>
          <w:bCs/>
          <w:sz w:val="32"/>
          <w:szCs w:val="32"/>
          <w:highlight w:val="none"/>
        </w:rPr>
        <w:t>万元，减少</w:t>
      </w:r>
      <w:r>
        <w:rPr>
          <w:rFonts w:hint="eastAsia" w:ascii="仿宋_GB2312" w:hAnsi="仿宋_GB2312" w:eastAsia="仿宋_GB2312" w:cs="仿宋_GB2312"/>
          <w:b w:val="0"/>
          <w:bCs/>
          <w:sz w:val="32"/>
          <w:szCs w:val="32"/>
          <w:highlight w:val="none"/>
          <w:u w:val="none"/>
        </w:rPr>
        <w:t> 23.68%</w:t>
      </w:r>
      <w:r>
        <w:rPr>
          <w:rFonts w:hint="eastAsia" w:ascii="Times New Roman" w:hAnsi="Times New Roman" w:eastAsia="仿宋_GB2312" w:cs="仿宋"/>
          <w:b w:val="0"/>
          <w:bCs/>
          <w:sz w:val="32"/>
          <w:szCs w:val="32"/>
          <w:highlight w:val="none"/>
        </w:rPr>
        <w:t>。其中：</w:t>
      </w:r>
    </w:p>
    <w:p>
      <w:pPr>
        <w:pStyle w:val="4"/>
        <w:numPr>
          <w:ilvl w:val="0"/>
          <w:numId w:val="0"/>
        </w:numPr>
        <w:spacing w:after="0" w:line="560" w:lineRule="exact"/>
        <w:ind w:firstLine="640" w:firstLineChars="200"/>
        <w:rPr>
          <w:rFonts w:hint="eastAsia" w:ascii="楷体" w:hAnsi="楷体" w:eastAsia="楷体" w:cs="楷体"/>
          <w:b w:val="0"/>
          <w:bCs/>
          <w:sz w:val="32"/>
          <w:szCs w:val="32"/>
          <w:highlight w:val="none"/>
        </w:rPr>
      </w:pPr>
      <w:r>
        <w:rPr>
          <w:rFonts w:hint="eastAsia" w:ascii="楷体" w:hAnsi="楷体" w:eastAsia="楷体" w:cs="楷体"/>
          <w:b w:val="0"/>
          <w:bCs/>
          <w:kern w:val="2"/>
          <w:sz w:val="32"/>
          <w:szCs w:val="32"/>
          <w:highlight w:val="none"/>
          <w:lang w:val="en-US" w:eastAsia="zh-CN" w:bidi="ar-SA"/>
        </w:rPr>
        <w:t>（一）</w:t>
      </w:r>
      <w:r>
        <w:rPr>
          <w:rFonts w:hint="eastAsia" w:ascii="楷体" w:hAnsi="楷体" w:eastAsia="楷体" w:cs="楷体"/>
          <w:b w:val="0"/>
          <w:bCs/>
          <w:sz w:val="32"/>
          <w:szCs w:val="32"/>
          <w:highlight w:val="none"/>
        </w:rPr>
        <w:t>收入决算总计</w:t>
      </w:r>
      <w:r>
        <w:rPr>
          <w:rFonts w:hint="eastAsia" w:ascii="仿宋_GB2312" w:hAnsi="仿宋_GB2312" w:eastAsia="仿宋_GB2312" w:cs="仿宋_GB2312"/>
          <w:b w:val="0"/>
          <w:bCs/>
          <w:sz w:val="32"/>
          <w:szCs w:val="32"/>
          <w:highlight w:val="none"/>
          <w:u w:val="none"/>
        </w:rPr>
        <w:t> 1464.29</w:t>
      </w:r>
      <w:r>
        <w:rPr>
          <w:rFonts w:hint="eastAsia" w:ascii="楷体" w:hAnsi="楷体" w:eastAsia="楷体" w:cs="楷体"/>
          <w:b w:val="0"/>
          <w:bCs/>
          <w:sz w:val="32"/>
          <w:szCs w:val="32"/>
          <w:highlight w:val="none"/>
        </w:rPr>
        <w:t>万元。包括：</w:t>
      </w:r>
    </w:p>
    <w:p>
      <w:pPr>
        <w:pStyle w:val="4"/>
        <w:spacing w:after="0" w:line="560" w:lineRule="exact"/>
        <w:ind w:firstLine="640" w:firstLineChars="200"/>
        <w:rPr>
          <w:rFonts w:hint="eastAsia" w:ascii="仿宋_GB2312" w:hAnsi="仿宋_GB2312" w:eastAsia="仿宋_GB2312" w:cs="仿宋_GB2312"/>
          <w:b w:val="0"/>
          <w:bCs/>
          <w:sz w:val="32"/>
          <w:szCs w:val="32"/>
          <w:highlight w:val="none"/>
          <w:u w:val="none"/>
        </w:rPr>
      </w:pPr>
      <w:r>
        <w:rPr>
          <w:rFonts w:hint="eastAsia" w:ascii="仿宋_GB2312" w:hAnsi="仿宋_GB2312" w:eastAsia="仿宋_GB2312" w:cs="仿宋_GB2312"/>
          <w:b w:val="0"/>
          <w:bCs/>
          <w:sz w:val="32"/>
          <w:szCs w:val="32"/>
          <w:highlight w:val="none"/>
          <w:u w:val="none"/>
        </w:rPr>
        <w:t>1</w:t>
      </w:r>
      <w:r>
        <w:rPr>
          <w:rFonts w:hint="eastAsia" w:ascii="仿宋_GB2312" w:hAnsi="仿宋_GB2312" w:eastAsia="仿宋_GB2312" w:cs="仿宋_GB2312"/>
          <w:b w:val="0"/>
          <w:bCs/>
          <w:sz w:val="32"/>
          <w:szCs w:val="32"/>
          <w:highlight w:val="none"/>
          <w:u w:val="none"/>
          <w:lang w:val="en-US" w:eastAsia="zh-CN"/>
        </w:rPr>
        <w:t>.</w:t>
      </w:r>
      <w:r>
        <w:rPr>
          <w:rFonts w:hint="eastAsia" w:ascii="仿宋_GB2312" w:hAnsi="仿宋_GB2312" w:eastAsia="仿宋_GB2312" w:cs="仿宋_GB2312"/>
          <w:b w:val="0"/>
          <w:bCs/>
          <w:sz w:val="32"/>
          <w:szCs w:val="32"/>
          <w:highlight w:val="none"/>
          <w:u w:val="none"/>
        </w:rPr>
        <w:t>本年收入决算合计 1463.93万元。与上年决算相比，减少 454.39万元，减少 23.69%，变动原因：上年度支付了2022年度已向财政申请但是未支付的资金。</w:t>
      </w:r>
    </w:p>
    <w:p>
      <w:pPr>
        <w:pStyle w:val="4"/>
        <w:spacing w:after="0" w:line="560" w:lineRule="exact"/>
        <w:ind w:firstLine="640" w:firstLineChars="200"/>
        <w:rPr>
          <w:rFonts w:hint="eastAsia" w:ascii="仿宋_GB2312" w:hAnsi="仿宋_GB2312" w:eastAsia="仿宋_GB2312" w:cs="仿宋_GB2312"/>
          <w:b w:val="0"/>
          <w:bCs/>
          <w:sz w:val="32"/>
          <w:szCs w:val="32"/>
          <w:highlight w:val="none"/>
          <w:u w:val="none"/>
        </w:rPr>
      </w:pPr>
      <w:r>
        <w:rPr>
          <w:rFonts w:hint="eastAsia" w:ascii="仿宋_GB2312" w:hAnsi="仿宋_GB2312" w:eastAsia="仿宋_GB2312" w:cs="仿宋_GB2312"/>
          <w:b w:val="0"/>
          <w:bCs/>
          <w:sz w:val="32"/>
          <w:szCs w:val="32"/>
          <w:highlight w:val="none"/>
          <w:u w:val="none"/>
        </w:rPr>
        <w:t> 2</w:t>
      </w:r>
      <w:r>
        <w:rPr>
          <w:rFonts w:hint="eastAsia" w:ascii="仿宋_GB2312" w:hAnsi="仿宋_GB2312" w:eastAsia="仿宋_GB2312" w:cs="仿宋_GB2312"/>
          <w:b w:val="0"/>
          <w:bCs/>
          <w:sz w:val="32"/>
          <w:szCs w:val="32"/>
          <w:highlight w:val="none"/>
          <w:u w:val="none"/>
          <w:lang w:val="en-US" w:eastAsia="zh-CN"/>
        </w:rPr>
        <w:t>.</w:t>
      </w:r>
      <w:r>
        <w:rPr>
          <w:rFonts w:hint="eastAsia" w:ascii="仿宋_GB2312" w:hAnsi="仿宋_GB2312" w:eastAsia="仿宋_GB2312" w:cs="仿宋_GB2312"/>
          <w:b w:val="0"/>
          <w:bCs/>
          <w:sz w:val="32"/>
          <w:szCs w:val="32"/>
          <w:highlight w:val="none"/>
          <w:u w:val="none"/>
        </w:rPr>
        <w:t>使用非财政拨款结余和专用结余 0万元。与上年决算相比，无变动，变动原因：不存在此项内容。</w:t>
      </w:r>
    </w:p>
    <w:p>
      <w:pPr>
        <w:pStyle w:val="4"/>
        <w:spacing w:after="0" w:line="560" w:lineRule="exact"/>
        <w:ind w:firstLine="640" w:firstLineChars="200"/>
        <w:rPr>
          <w:rFonts w:hint="eastAsia" w:ascii="仿宋_GB2312" w:hAnsi="仿宋_GB2312" w:eastAsia="仿宋_GB2312" w:cs="仿宋_GB2312"/>
          <w:b w:val="0"/>
          <w:bCs/>
          <w:sz w:val="32"/>
          <w:szCs w:val="32"/>
          <w:highlight w:val="none"/>
          <w:u w:val="none"/>
        </w:rPr>
      </w:pPr>
      <w:r>
        <w:rPr>
          <w:rFonts w:hint="eastAsia" w:ascii="仿宋_GB2312" w:hAnsi="仿宋_GB2312" w:eastAsia="仿宋_GB2312" w:cs="仿宋_GB2312"/>
          <w:b w:val="0"/>
          <w:bCs/>
          <w:sz w:val="32"/>
          <w:szCs w:val="32"/>
          <w:highlight w:val="none"/>
          <w:u w:val="none"/>
        </w:rPr>
        <w:t> 3</w:t>
      </w:r>
      <w:r>
        <w:rPr>
          <w:rFonts w:hint="eastAsia" w:ascii="仿宋_GB2312" w:hAnsi="仿宋_GB2312" w:eastAsia="仿宋_GB2312" w:cs="仿宋_GB2312"/>
          <w:b w:val="0"/>
          <w:bCs/>
          <w:sz w:val="32"/>
          <w:szCs w:val="32"/>
          <w:highlight w:val="none"/>
          <w:u w:val="none"/>
          <w:lang w:val="en-US" w:eastAsia="zh-CN"/>
        </w:rPr>
        <w:t>.</w:t>
      </w:r>
      <w:r>
        <w:rPr>
          <w:rFonts w:hint="eastAsia" w:ascii="仿宋_GB2312" w:hAnsi="仿宋_GB2312" w:eastAsia="仿宋_GB2312" w:cs="仿宋_GB2312"/>
          <w:b w:val="0"/>
          <w:bCs/>
          <w:sz w:val="32"/>
          <w:szCs w:val="32"/>
          <w:highlight w:val="none"/>
          <w:u w:val="none"/>
        </w:rPr>
        <w:t>年初结转和结余 0.36万元。与上年决算相比，无变动，变动原因：不存在此项内容。</w:t>
      </w:r>
    </w:p>
    <w:p>
      <w:pPr>
        <w:pStyle w:val="4"/>
        <w:tabs>
          <w:tab w:val="left" w:pos="4275"/>
        </w:tabs>
        <w:spacing w:after="0" w:line="560" w:lineRule="exact"/>
        <w:ind w:firstLine="640" w:firstLineChars="200"/>
        <w:rPr>
          <w:rFonts w:ascii="楷体" w:hAnsi="楷体" w:eastAsia="楷体" w:cs="楷体"/>
          <w:b w:val="0"/>
          <w:bCs/>
          <w:sz w:val="32"/>
          <w:szCs w:val="32"/>
          <w:highlight w:val="none"/>
        </w:rPr>
      </w:pPr>
      <w:r>
        <w:rPr>
          <w:rFonts w:hint="eastAsia" w:ascii="楷体" w:hAnsi="楷体" w:eastAsia="楷体" w:cs="楷体"/>
          <w:b w:val="0"/>
          <w:bCs/>
          <w:sz w:val="32"/>
          <w:szCs w:val="32"/>
          <w:highlight w:val="none"/>
        </w:rPr>
        <w:t>（二）支出决算总计</w:t>
      </w:r>
      <w:r>
        <w:rPr>
          <w:rFonts w:hint="eastAsia" w:ascii="仿宋_GB2312" w:hAnsi="仿宋_GB2312" w:eastAsia="仿宋_GB2312" w:cs="仿宋"/>
          <w:b w:val="0"/>
          <w:bCs/>
          <w:sz w:val="32"/>
          <w:szCs w:val="32"/>
          <w:highlight w:val="none"/>
          <w:u w:val="none"/>
          <w:lang w:val="en-US" w:eastAsia="zh-CN"/>
        </w:rPr>
        <w:t> 1464.29</w:t>
      </w:r>
      <w:r>
        <w:rPr>
          <w:rFonts w:hint="eastAsia" w:ascii="楷体" w:hAnsi="楷体" w:eastAsia="楷体" w:cs="楷体"/>
          <w:b w:val="0"/>
          <w:bCs/>
          <w:sz w:val="32"/>
          <w:szCs w:val="32"/>
          <w:highlight w:val="none"/>
        </w:rPr>
        <w:t>万元。包括：</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
          <w:b w:val="0"/>
          <w:bCs/>
          <w:sz w:val="32"/>
          <w:szCs w:val="32"/>
          <w:highlight w:val="none"/>
          <w:u w:val="none"/>
        </w:rPr>
      </w:pPr>
      <w:r>
        <w:rPr>
          <w:rFonts w:hint="eastAsia" w:ascii="Times New Roman" w:hAnsi="Times New Roman" w:eastAsia="仿宋_GB2312" w:cs="仿宋"/>
          <w:b w:val="0"/>
          <w:bCs/>
          <w:sz w:val="32"/>
          <w:szCs w:val="32"/>
          <w:highlight w:val="none"/>
          <w:u w:val="none"/>
        </w:rPr>
        <w:t>1</w:t>
      </w:r>
      <w:r>
        <w:rPr>
          <w:rFonts w:hint="eastAsia" w:eastAsia="仿宋_GB2312" w:cs="仿宋"/>
          <w:b w:val="0"/>
          <w:bCs/>
          <w:sz w:val="32"/>
          <w:szCs w:val="32"/>
          <w:highlight w:val="none"/>
          <w:u w:val="none"/>
          <w:lang w:val="en-US" w:eastAsia="zh-CN"/>
        </w:rPr>
        <w:t>.</w:t>
      </w:r>
      <w:r>
        <w:rPr>
          <w:rFonts w:hint="eastAsia" w:ascii="Times New Roman" w:hAnsi="Times New Roman" w:eastAsia="仿宋_GB2312" w:cs="仿宋"/>
          <w:b w:val="0"/>
          <w:bCs/>
          <w:sz w:val="32"/>
          <w:szCs w:val="32"/>
          <w:highlight w:val="none"/>
          <w:u w:val="none"/>
        </w:rPr>
        <w:t>本年支出决算合计 </w:t>
      </w:r>
      <w:r>
        <w:rPr>
          <w:rFonts w:hint="eastAsia" w:ascii="仿宋_GB2312" w:hAnsi="仿宋_GB2312" w:eastAsia="仿宋_GB2312" w:cs="仿宋"/>
          <w:b w:val="0"/>
          <w:bCs/>
          <w:sz w:val="32"/>
          <w:szCs w:val="32"/>
          <w:highlight w:val="none"/>
          <w:u w:val="none"/>
          <w:lang w:val="en-US" w:eastAsia="zh-CN"/>
        </w:rPr>
        <w:t>1463.93</w:t>
      </w:r>
      <w:r>
        <w:rPr>
          <w:rFonts w:hint="eastAsia" w:ascii="Times New Roman" w:hAnsi="Times New Roman" w:eastAsia="仿宋_GB2312" w:cs="仿宋"/>
          <w:b w:val="0"/>
          <w:bCs/>
          <w:sz w:val="32"/>
          <w:szCs w:val="32"/>
          <w:highlight w:val="none"/>
          <w:u w:val="none"/>
        </w:rPr>
        <w:t>万元。与上年决算相比，减少</w:t>
      </w:r>
      <w:r>
        <w:rPr>
          <w:rFonts w:hint="eastAsia" w:ascii="仿宋_GB2312" w:hAnsi="仿宋_GB2312" w:eastAsia="仿宋_GB2312" w:cs="仿宋"/>
          <w:b w:val="0"/>
          <w:bCs/>
          <w:sz w:val="32"/>
          <w:szCs w:val="32"/>
          <w:highlight w:val="none"/>
          <w:u w:val="none"/>
          <w:lang w:val="en-US" w:eastAsia="zh-CN"/>
        </w:rPr>
        <w:t>454.39</w:t>
      </w:r>
      <w:r>
        <w:rPr>
          <w:rFonts w:hint="eastAsia" w:ascii="Times New Roman" w:hAnsi="Times New Roman" w:eastAsia="仿宋_GB2312" w:cs="仿宋"/>
          <w:b w:val="0"/>
          <w:bCs/>
          <w:sz w:val="32"/>
          <w:szCs w:val="32"/>
          <w:highlight w:val="none"/>
          <w:u w:val="none"/>
        </w:rPr>
        <w:t>万元，减少</w:t>
      </w:r>
      <w:r>
        <w:rPr>
          <w:rFonts w:hint="eastAsia" w:ascii="仿宋_GB2312" w:hAnsi="仿宋_GB2312" w:eastAsia="仿宋_GB2312" w:cs="仿宋"/>
          <w:b w:val="0"/>
          <w:bCs/>
          <w:sz w:val="32"/>
          <w:szCs w:val="32"/>
          <w:highlight w:val="none"/>
          <w:u w:val="none"/>
          <w:lang w:val="en-US" w:eastAsia="zh-CN"/>
        </w:rPr>
        <w:t>23.69%</w:t>
      </w:r>
      <w:r>
        <w:rPr>
          <w:rFonts w:hint="eastAsia" w:ascii="Times New Roman" w:hAnsi="Times New Roman" w:eastAsia="仿宋_GB2312" w:cs="仿宋"/>
          <w:b w:val="0"/>
          <w:bCs/>
          <w:sz w:val="32"/>
          <w:szCs w:val="32"/>
          <w:highlight w:val="none"/>
          <w:u w:val="none"/>
        </w:rPr>
        <w:t>，变动原因：上年度支付了2022年</w:t>
      </w:r>
      <w:r>
        <w:rPr>
          <w:rFonts w:hint="eastAsia" w:ascii="Times New Roman" w:hAnsi="Times New Roman" w:eastAsia="仿宋_GB2312" w:cs="仿宋"/>
          <w:b/>
          <w:bCs w:val="0"/>
          <w:sz w:val="32"/>
          <w:szCs w:val="32"/>
          <w:highlight w:val="none"/>
          <w:u w:val="none"/>
        </w:rPr>
        <w:t>度</w:t>
      </w:r>
      <w:r>
        <w:rPr>
          <w:rFonts w:hint="eastAsia" w:ascii="Times New Roman" w:hAnsi="Times New Roman" w:eastAsia="仿宋_GB2312" w:cs="仿宋"/>
          <w:b w:val="0"/>
          <w:bCs/>
          <w:sz w:val="32"/>
          <w:szCs w:val="32"/>
          <w:highlight w:val="none"/>
          <w:u w:val="none"/>
        </w:rPr>
        <w:t>已向财政申请但是未支付的资金。</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
          <w:b w:val="0"/>
          <w:bCs/>
          <w:sz w:val="32"/>
          <w:szCs w:val="32"/>
          <w:highlight w:val="none"/>
          <w:u w:val="none"/>
        </w:rPr>
      </w:pPr>
      <w:r>
        <w:rPr>
          <w:rFonts w:hint="eastAsia" w:ascii="Times New Roman" w:hAnsi="Times New Roman" w:eastAsia="仿宋_GB2312" w:cs="仿宋"/>
          <w:b w:val="0"/>
          <w:bCs/>
          <w:sz w:val="32"/>
          <w:szCs w:val="32"/>
          <w:highlight w:val="none"/>
          <w:u w:val="none"/>
        </w:rPr>
        <w:t>2</w:t>
      </w:r>
      <w:r>
        <w:rPr>
          <w:rFonts w:hint="eastAsia" w:eastAsia="仿宋_GB2312" w:cs="仿宋"/>
          <w:b w:val="0"/>
          <w:bCs/>
          <w:sz w:val="32"/>
          <w:szCs w:val="32"/>
          <w:highlight w:val="none"/>
          <w:u w:val="none"/>
          <w:lang w:val="en-US" w:eastAsia="zh-CN"/>
        </w:rPr>
        <w:t>.</w:t>
      </w:r>
      <w:r>
        <w:rPr>
          <w:rFonts w:hint="eastAsia" w:ascii="Times New Roman" w:hAnsi="Times New Roman" w:eastAsia="仿宋_GB2312" w:cs="仿宋"/>
          <w:b w:val="0"/>
          <w:bCs/>
          <w:sz w:val="32"/>
          <w:szCs w:val="32"/>
          <w:highlight w:val="none"/>
          <w:u w:val="none"/>
        </w:rPr>
        <w:t>结余分配 0万元。结余分配事项：无。与上年决算相比，无变化，变动原因：本年度不存在此项内容。</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仿宋_GB2312" w:cs="仿宋"/>
          <w:b w:val="0"/>
          <w:bCs/>
          <w:sz w:val="32"/>
          <w:szCs w:val="32"/>
          <w:highlight w:val="none"/>
          <w:u w:val="none"/>
        </w:rPr>
      </w:pPr>
      <w:r>
        <w:rPr>
          <w:rFonts w:hint="eastAsia" w:ascii="Times New Roman" w:hAnsi="Times New Roman" w:eastAsia="仿宋_GB2312" w:cs="仿宋"/>
          <w:b w:val="0"/>
          <w:bCs/>
          <w:sz w:val="32"/>
          <w:szCs w:val="32"/>
          <w:highlight w:val="none"/>
          <w:u w:val="none"/>
        </w:rPr>
        <w:t>3</w:t>
      </w:r>
      <w:r>
        <w:rPr>
          <w:rFonts w:hint="eastAsia" w:eastAsia="仿宋_GB2312" w:cs="仿宋"/>
          <w:b w:val="0"/>
          <w:bCs/>
          <w:sz w:val="32"/>
          <w:szCs w:val="32"/>
          <w:highlight w:val="none"/>
          <w:u w:val="none"/>
          <w:lang w:val="en-US" w:eastAsia="zh-CN"/>
        </w:rPr>
        <w:t>.</w:t>
      </w:r>
      <w:r>
        <w:rPr>
          <w:rFonts w:hint="eastAsia" w:ascii="Times New Roman" w:hAnsi="Times New Roman" w:eastAsia="仿宋_GB2312" w:cs="仿宋"/>
          <w:b w:val="0"/>
          <w:bCs/>
          <w:sz w:val="32"/>
          <w:szCs w:val="32"/>
          <w:highlight w:val="none"/>
          <w:u w:val="none"/>
        </w:rPr>
        <w:t>年末结转和结余</w:t>
      </w:r>
      <w:r>
        <w:rPr>
          <w:rFonts w:hint="eastAsia" w:ascii="仿宋_GB2312" w:hAnsi="仿宋_GB2312" w:eastAsia="仿宋_GB2312" w:cs="仿宋"/>
          <w:b w:val="0"/>
          <w:bCs/>
          <w:sz w:val="32"/>
          <w:szCs w:val="32"/>
          <w:highlight w:val="none"/>
          <w:u w:val="none"/>
          <w:lang w:val="en-US" w:eastAsia="zh-CN"/>
        </w:rPr>
        <w:t> 0.36</w:t>
      </w:r>
      <w:r>
        <w:rPr>
          <w:rFonts w:hint="eastAsia" w:ascii="Times New Roman" w:hAnsi="Times New Roman" w:eastAsia="仿宋_GB2312" w:cs="仿宋"/>
          <w:b w:val="0"/>
          <w:bCs/>
          <w:sz w:val="32"/>
          <w:szCs w:val="32"/>
          <w:highlight w:val="none"/>
          <w:u w:val="none"/>
        </w:rPr>
        <w:t>万元。结转和结余事项：项目支出结转结余。与上年决算相比，无变动，变动原因：本年度不存在此项业务。</w:t>
      </w:r>
    </w:p>
    <w:p>
      <w:pPr>
        <w:spacing w:line="600" w:lineRule="exact"/>
        <w:ind w:left="0" w:leftChars="0" w:firstLine="640" w:firstLineChars="200"/>
        <w:outlineLvl w:val="2"/>
        <w:rPr>
          <w:rFonts w:eastAsia="黑体" w:cs="黑体"/>
          <w:b w:val="0"/>
          <w:bCs/>
          <w:sz w:val="32"/>
          <w:szCs w:val="36"/>
          <w:highlight w:val="none"/>
        </w:rPr>
      </w:pPr>
      <w:r>
        <w:rPr>
          <w:rFonts w:hint="eastAsia" w:eastAsia="黑体" w:cs="黑体"/>
          <w:b w:val="0"/>
          <w:bCs/>
          <w:sz w:val="32"/>
          <w:szCs w:val="36"/>
          <w:highlight w:val="none"/>
        </w:rPr>
        <w:t>二、收入决算情况说明</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
          <w:b w:val="0"/>
          <w:bCs/>
          <w:sz w:val="32"/>
          <w:szCs w:val="32"/>
          <w:highlight w:val="none"/>
          <w:u w:val="none"/>
          <w:lang w:val="en-US" w:eastAsia="zh-CN"/>
        </w:rPr>
      </w:pPr>
      <w:r>
        <w:rPr>
          <w:rFonts w:hint="eastAsia" w:ascii="仿宋_GB2312" w:hAnsi="仿宋_GB2312" w:eastAsia="仿宋_GB2312" w:cs="仿宋"/>
          <w:b w:val="0"/>
          <w:bCs/>
          <w:sz w:val="32"/>
          <w:szCs w:val="32"/>
          <w:highlight w:val="none"/>
          <w:u w:val="none"/>
          <w:lang w:val="en-US" w:eastAsia="zh-CN"/>
        </w:rPr>
        <w:t>赤峰市公共资源交易中心 2024年度本年收入决算合计 1463.93万元，其中：</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
          <w:b w:val="0"/>
          <w:bCs/>
          <w:sz w:val="32"/>
          <w:szCs w:val="32"/>
          <w:highlight w:val="none"/>
          <w:u w:val="none"/>
          <w:lang w:val="en-US" w:eastAsia="zh-CN"/>
        </w:rPr>
      </w:pPr>
      <w:r>
        <w:rPr>
          <w:rFonts w:hint="eastAsia" w:ascii="仿宋_GB2312" w:hAnsi="仿宋_GB2312" w:eastAsia="仿宋_GB2312" w:cs="仿宋"/>
          <w:b w:val="0"/>
          <w:bCs/>
          <w:sz w:val="32"/>
          <w:szCs w:val="32"/>
          <w:highlight w:val="none"/>
          <w:u w:val="none"/>
          <w:lang w:val="en-US" w:eastAsia="zh-CN"/>
        </w:rPr>
        <w:t>本年一般公共预算财政拨款收入 1463.93万元，占 100.00%；</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
          <w:b w:val="0"/>
          <w:bCs/>
          <w:sz w:val="32"/>
          <w:szCs w:val="32"/>
          <w:highlight w:val="none"/>
          <w:u w:val="none"/>
          <w:lang w:val="en-US" w:eastAsia="zh-CN"/>
        </w:rPr>
      </w:pPr>
      <w:r>
        <w:rPr>
          <w:rFonts w:hint="eastAsia" w:ascii="仿宋_GB2312" w:hAnsi="仿宋_GB2312" w:eastAsia="仿宋_GB2312" w:cs="仿宋"/>
          <w:b w:val="0"/>
          <w:bCs/>
          <w:sz w:val="32"/>
          <w:szCs w:val="32"/>
          <w:highlight w:val="none"/>
          <w:u w:val="none"/>
          <w:lang w:val="en-US" w:eastAsia="zh-CN"/>
        </w:rPr>
        <w:t>本年政府性基金预算财政拨款收入 0万元，占 0%；</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
          <w:b w:val="0"/>
          <w:bCs/>
          <w:sz w:val="32"/>
          <w:szCs w:val="32"/>
          <w:highlight w:val="none"/>
          <w:u w:val="none"/>
          <w:lang w:val="en-US" w:eastAsia="zh-CN"/>
        </w:rPr>
      </w:pPr>
      <w:r>
        <w:rPr>
          <w:rFonts w:hint="eastAsia" w:ascii="仿宋_GB2312" w:hAnsi="仿宋_GB2312" w:eastAsia="仿宋_GB2312" w:cs="仿宋"/>
          <w:b w:val="0"/>
          <w:bCs/>
          <w:sz w:val="32"/>
          <w:szCs w:val="32"/>
          <w:highlight w:val="none"/>
          <w:u w:val="none"/>
          <w:lang w:val="en-US" w:eastAsia="zh-CN"/>
        </w:rPr>
        <w:t>本年国有资本经营预算财政拨款收入 0万元，占 0%；</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
          <w:b w:val="0"/>
          <w:bCs/>
          <w:sz w:val="32"/>
          <w:szCs w:val="32"/>
          <w:highlight w:val="none"/>
          <w:u w:val="none"/>
          <w:lang w:val="en-US" w:eastAsia="zh-CN"/>
        </w:rPr>
      </w:pPr>
      <w:r>
        <w:rPr>
          <w:rFonts w:hint="eastAsia" w:ascii="仿宋_GB2312" w:hAnsi="仿宋_GB2312" w:eastAsia="仿宋_GB2312" w:cs="仿宋"/>
          <w:b w:val="0"/>
          <w:bCs/>
          <w:sz w:val="32"/>
          <w:szCs w:val="32"/>
          <w:highlight w:val="none"/>
          <w:u w:val="none"/>
          <w:lang w:val="en-US" w:eastAsia="zh-CN"/>
        </w:rPr>
        <w:t>本年上级补助收入 0万元，占 0%；</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
          <w:b w:val="0"/>
          <w:bCs/>
          <w:sz w:val="32"/>
          <w:szCs w:val="32"/>
          <w:highlight w:val="none"/>
          <w:u w:val="none"/>
          <w:lang w:val="en-US" w:eastAsia="zh-CN"/>
        </w:rPr>
      </w:pPr>
      <w:r>
        <w:rPr>
          <w:rFonts w:hint="eastAsia" w:ascii="仿宋_GB2312" w:hAnsi="仿宋_GB2312" w:eastAsia="仿宋_GB2312" w:cs="仿宋"/>
          <w:b w:val="0"/>
          <w:bCs/>
          <w:sz w:val="32"/>
          <w:szCs w:val="32"/>
          <w:highlight w:val="none"/>
          <w:u w:val="none"/>
          <w:lang w:val="en-US" w:eastAsia="zh-CN"/>
        </w:rPr>
        <w:t>本年事业收入 0万元，占 0%；</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
          <w:b w:val="0"/>
          <w:bCs/>
          <w:sz w:val="32"/>
          <w:szCs w:val="32"/>
          <w:highlight w:val="none"/>
          <w:u w:val="none"/>
          <w:lang w:val="en-US" w:eastAsia="zh-CN"/>
        </w:rPr>
      </w:pPr>
      <w:r>
        <w:rPr>
          <w:rFonts w:hint="eastAsia" w:ascii="仿宋_GB2312" w:hAnsi="仿宋_GB2312" w:eastAsia="仿宋_GB2312" w:cs="仿宋"/>
          <w:b w:val="0"/>
          <w:bCs/>
          <w:sz w:val="32"/>
          <w:szCs w:val="32"/>
          <w:highlight w:val="none"/>
          <w:u w:val="none"/>
          <w:lang w:val="en-US" w:eastAsia="zh-CN"/>
        </w:rPr>
        <w:t>本年经营收入 0万元，占 0%；</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
          <w:b w:val="0"/>
          <w:bCs/>
          <w:sz w:val="32"/>
          <w:szCs w:val="32"/>
          <w:highlight w:val="none"/>
          <w:u w:val="none"/>
          <w:lang w:val="en-US" w:eastAsia="zh-CN"/>
        </w:rPr>
      </w:pPr>
      <w:r>
        <w:rPr>
          <w:rFonts w:hint="eastAsia" w:ascii="仿宋_GB2312" w:hAnsi="仿宋_GB2312" w:eastAsia="仿宋_GB2312" w:cs="仿宋"/>
          <w:b w:val="0"/>
          <w:bCs/>
          <w:sz w:val="32"/>
          <w:szCs w:val="32"/>
          <w:highlight w:val="none"/>
          <w:u w:val="none"/>
          <w:lang w:val="en-US" w:eastAsia="zh-CN"/>
        </w:rPr>
        <w:t>本年附属单位上缴收入 0万元，占 0%；</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
          <w:b w:val="0"/>
          <w:bCs/>
          <w:sz w:val="32"/>
          <w:szCs w:val="32"/>
          <w:highlight w:val="none"/>
          <w:u w:val="none"/>
          <w:lang w:val="en-US" w:eastAsia="zh-CN"/>
        </w:rPr>
      </w:pPr>
      <w:r>
        <w:rPr>
          <w:rFonts w:eastAsia="Times New Roman"/>
          <w:kern w:val="0"/>
          <w:sz w:val="24"/>
          <w:highlight w:val="none"/>
        </w:rPr>
        <w:drawing>
          <wp:anchor distT="0" distB="0" distL="114300" distR="114300" simplePos="0" relativeHeight="251659264" behindDoc="0" locked="0" layoutInCell="1" allowOverlap="1">
            <wp:simplePos x="0" y="0"/>
            <wp:positionH relativeFrom="column">
              <wp:posOffset>577215</wp:posOffset>
            </wp:positionH>
            <wp:positionV relativeFrom="paragraph">
              <wp:posOffset>155575</wp:posOffset>
            </wp:positionV>
            <wp:extent cx="3872865" cy="2416810"/>
            <wp:effectExtent l="0" t="0" r="13335" b="254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872865" cy="2416810"/>
                    </a:xfrm>
                    <a:prstGeom prst="rect">
                      <a:avLst/>
                    </a:prstGeom>
                    <a:noFill/>
                    <a:ln>
                      <a:noFill/>
                    </a:ln>
                  </pic:spPr>
                </pic:pic>
              </a:graphicData>
            </a:graphic>
          </wp:anchor>
        </w:drawing>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ascii="Times New Roman" w:hAnsi="Times New Roman" w:eastAsia="仿宋_GB2312" w:cs="仿宋"/>
          <w:b w:val="0"/>
          <w:bCs/>
          <w:sz w:val="32"/>
          <w:szCs w:val="32"/>
          <w:highlight w:val="none"/>
        </w:rPr>
      </w:pPr>
      <w:r>
        <w:rPr>
          <w:rFonts w:hint="eastAsia" w:ascii="仿宋_GB2312" w:hAnsi="仿宋_GB2312" w:eastAsia="仿宋_GB2312" w:cs="仿宋"/>
          <w:b w:val="0"/>
          <w:bCs/>
          <w:sz w:val="32"/>
          <w:szCs w:val="32"/>
          <w:highlight w:val="none"/>
          <w:u w:val="none"/>
          <w:lang w:val="en-US" w:eastAsia="zh-CN"/>
        </w:rPr>
        <w:t>  </w:t>
      </w:r>
      <w:r>
        <w:rPr>
          <w:rFonts w:hint="eastAsia" w:ascii="Times New Roman" w:hAnsi="Times New Roman" w:eastAsia="仿宋_GB2312" w:cs="仿宋"/>
          <w:b w:val="0"/>
          <w:bCs/>
          <w:sz w:val="32"/>
          <w:szCs w:val="32"/>
          <w:highlight w:val="none"/>
        </w:rPr>
        <w:t>图1.收入决算图（以饼图列示）</w:t>
      </w:r>
    </w:p>
    <w:p>
      <w:pPr>
        <w:pStyle w:val="4"/>
        <w:spacing w:after="0" w:line="560" w:lineRule="exact"/>
        <w:ind w:firstLine="640" w:firstLineChars="200"/>
        <w:jc w:val="center"/>
        <w:rPr>
          <w:rFonts w:ascii="Times New Roman" w:hAnsi="Times New Roman" w:eastAsia="仿宋_GB2312" w:cs="仿宋"/>
          <w:b w:val="0"/>
          <w:bCs/>
          <w:sz w:val="32"/>
          <w:szCs w:val="32"/>
          <w:highlight w:val="none"/>
        </w:rPr>
      </w:pPr>
    </w:p>
    <w:p>
      <w:pPr>
        <w:spacing w:line="600" w:lineRule="exact"/>
        <w:ind w:left="0" w:leftChars="0" w:firstLine="640" w:firstLineChars="200"/>
        <w:outlineLvl w:val="2"/>
        <w:rPr>
          <w:rFonts w:ascii="Times New Roman" w:hAnsi="Times New Roman" w:eastAsia="仿宋_GB2312" w:cs="仿宋"/>
          <w:b w:val="0"/>
          <w:bCs/>
          <w:sz w:val="32"/>
          <w:szCs w:val="32"/>
          <w:highlight w:val="none"/>
        </w:rPr>
      </w:pPr>
      <w:r>
        <w:rPr>
          <w:rFonts w:hint="eastAsia" w:eastAsia="黑体" w:cs="黑体"/>
          <w:b w:val="0"/>
          <w:bCs/>
          <w:sz w:val="32"/>
          <w:szCs w:val="36"/>
          <w:highlight w:val="none"/>
        </w:rPr>
        <w:t>三、支出决算情况说明</w:t>
      </w:r>
    </w:p>
    <w:p>
      <w:pPr>
        <w:pStyle w:val="4"/>
        <w:spacing w:after="0" w:line="560" w:lineRule="exact"/>
        <w:ind w:firstLine="640" w:firstLineChars="200"/>
        <w:jc w:val="both"/>
        <w:rPr>
          <w:rFonts w:hint="eastAsia" w:ascii="仿宋_GB2312" w:hAnsi="仿宋_GB2312" w:eastAsia="仿宋_GB2312" w:cs="仿宋"/>
          <w:b w:val="0"/>
          <w:bCs/>
          <w:sz w:val="32"/>
          <w:szCs w:val="32"/>
          <w:highlight w:val="none"/>
          <w:u w:val="none"/>
          <w:lang w:val="en-US" w:eastAsia="zh-CN"/>
        </w:rPr>
      </w:pPr>
      <w:r>
        <w:rPr>
          <w:rFonts w:hint="eastAsia" w:ascii="仿宋_GB2312" w:hAnsi="仿宋_GB2312" w:eastAsia="仿宋_GB2312" w:cs="仿宋"/>
          <w:b w:val="0"/>
          <w:bCs/>
          <w:sz w:val="32"/>
          <w:szCs w:val="32"/>
          <w:highlight w:val="none"/>
          <w:u w:val="none"/>
          <w:lang w:val="en-US" w:eastAsia="zh-CN"/>
        </w:rPr>
        <w:t>赤峰市公共资源交易中心2024年度本年支出决算合计 1463.93万元，其中：</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
          <w:b w:val="0"/>
          <w:bCs/>
          <w:sz w:val="32"/>
          <w:szCs w:val="32"/>
          <w:highlight w:val="none"/>
          <w:u w:val="none"/>
          <w:lang w:val="en-US" w:eastAsia="zh-CN"/>
        </w:rPr>
      </w:pPr>
      <w:r>
        <w:rPr>
          <w:rFonts w:hint="eastAsia" w:ascii="仿宋_GB2312" w:hAnsi="仿宋_GB2312" w:eastAsia="仿宋_GB2312" w:cs="仿宋"/>
          <w:b w:val="0"/>
          <w:bCs/>
          <w:sz w:val="32"/>
          <w:szCs w:val="32"/>
          <w:highlight w:val="none"/>
          <w:u w:val="none"/>
          <w:lang w:val="en-US" w:eastAsia="zh-CN"/>
        </w:rPr>
        <w:t>本年基本支出 1121.40万元，占 76.60%；</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
          <w:b w:val="0"/>
          <w:bCs/>
          <w:sz w:val="32"/>
          <w:szCs w:val="32"/>
          <w:highlight w:val="none"/>
          <w:u w:val="none"/>
          <w:lang w:val="en-US" w:eastAsia="zh-CN"/>
        </w:rPr>
      </w:pPr>
      <w:r>
        <w:rPr>
          <w:rFonts w:hint="eastAsia" w:ascii="仿宋_GB2312" w:hAnsi="仿宋_GB2312" w:eastAsia="仿宋_GB2312" w:cs="仿宋"/>
          <w:b w:val="0"/>
          <w:bCs/>
          <w:sz w:val="32"/>
          <w:szCs w:val="32"/>
          <w:highlight w:val="none"/>
          <w:u w:val="none"/>
          <w:lang w:val="en-US" w:eastAsia="zh-CN"/>
        </w:rPr>
        <w:t>本年项目支出 342.53万元，占 23.40%；</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
          <w:b w:val="0"/>
          <w:bCs/>
          <w:sz w:val="32"/>
          <w:szCs w:val="32"/>
          <w:highlight w:val="none"/>
          <w:u w:val="none"/>
          <w:lang w:val="en-US" w:eastAsia="zh-CN"/>
        </w:rPr>
      </w:pPr>
      <w:r>
        <w:rPr>
          <w:rFonts w:hint="eastAsia" w:ascii="仿宋_GB2312" w:hAnsi="仿宋_GB2312" w:eastAsia="仿宋_GB2312" w:cs="仿宋"/>
          <w:b w:val="0"/>
          <w:bCs/>
          <w:sz w:val="32"/>
          <w:szCs w:val="32"/>
          <w:highlight w:val="none"/>
          <w:u w:val="none"/>
          <w:lang w:val="en-US" w:eastAsia="zh-CN"/>
        </w:rPr>
        <w:t>本年上缴上级支出 0万元，占 0%；</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
          <w:b w:val="0"/>
          <w:bCs/>
          <w:sz w:val="32"/>
          <w:szCs w:val="32"/>
          <w:highlight w:val="none"/>
          <w:u w:val="none"/>
          <w:lang w:val="en-US" w:eastAsia="zh-CN"/>
        </w:rPr>
      </w:pPr>
      <w:r>
        <w:rPr>
          <w:rFonts w:hint="eastAsia" w:ascii="仿宋_GB2312" w:hAnsi="仿宋_GB2312" w:eastAsia="仿宋_GB2312" w:cs="仿宋"/>
          <w:b w:val="0"/>
          <w:bCs/>
          <w:sz w:val="32"/>
          <w:szCs w:val="32"/>
          <w:highlight w:val="none"/>
          <w:u w:val="none"/>
          <w:lang w:val="en-US" w:eastAsia="zh-CN"/>
        </w:rPr>
        <w:t>本年经营支出 0万元，占 0%；</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
          <w:b w:val="0"/>
          <w:bCs/>
          <w:sz w:val="32"/>
          <w:szCs w:val="32"/>
          <w:highlight w:val="none"/>
          <w:u w:val="none"/>
          <w:lang w:val="en-US" w:eastAsia="zh-CN"/>
        </w:rPr>
      </w:pPr>
      <w:r>
        <w:rPr>
          <w:rFonts w:hint="eastAsia" w:ascii="仿宋_GB2312" w:hAnsi="仿宋_GB2312" w:eastAsia="仿宋_GB2312" w:cs="仿宋"/>
          <w:b w:val="0"/>
          <w:bCs/>
          <w:sz w:val="32"/>
          <w:szCs w:val="32"/>
          <w:highlight w:val="none"/>
          <w:u w:val="none"/>
          <w:lang w:val="en-US" w:eastAsia="zh-CN"/>
        </w:rPr>
        <w:t>本年对附属单位补助支出 0万元，占 0%。</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
          <w:b w:val="0"/>
          <w:bCs/>
          <w:sz w:val="32"/>
          <w:szCs w:val="32"/>
          <w:highlight w:val="none"/>
          <w:u w:val="none"/>
          <w:lang w:val="en-US" w:eastAsia="zh-CN"/>
        </w:rPr>
      </w:pPr>
    </w:p>
    <w:p>
      <w:pPr>
        <w:pStyle w:val="4"/>
        <w:spacing w:after="0" w:line="560" w:lineRule="exact"/>
        <w:jc w:val="both"/>
        <w:rPr>
          <w:rFonts w:hint="eastAsia" w:ascii="仿宋_GB2312" w:hAnsi="仿宋_GB2312" w:eastAsia="仿宋_GB2312" w:cs="仿宋"/>
          <w:b w:val="0"/>
          <w:bCs/>
          <w:sz w:val="32"/>
          <w:szCs w:val="32"/>
          <w:highlight w:val="none"/>
          <w:u w:val="none"/>
          <w:lang w:val="en-US" w:eastAsia="zh-CN"/>
        </w:rPr>
      </w:pPr>
    </w:p>
    <w:p>
      <w:pPr>
        <w:pStyle w:val="4"/>
        <w:spacing w:after="0" w:line="560" w:lineRule="exact"/>
        <w:jc w:val="both"/>
        <w:rPr>
          <w:rFonts w:hint="eastAsia" w:ascii="仿宋_GB2312" w:hAnsi="仿宋_GB2312" w:eastAsia="仿宋_GB2312" w:cs="仿宋"/>
          <w:b w:val="0"/>
          <w:bCs/>
          <w:sz w:val="32"/>
          <w:szCs w:val="32"/>
          <w:highlight w:val="none"/>
          <w:u w:val="none"/>
          <w:lang w:val="en-US" w:eastAsia="zh-CN"/>
        </w:rPr>
      </w:pPr>
      <w:r>
        <w:rPr>
          <w:rFonts w:eastAsia="Times New Roman"/>
          <w:kern w:val="0"/>
          <w:sz w:val="24"/>
          <w:highlight w:val="none"/>
        </w:rPr>
        <w:drawing>
          <wp:anchor distT="0" distB="0" distL="0" distR="0" simplePos="0" relativeHeight="251660288" behindDoc="0" locked="0" layoutInCell="1" allowOverlap="1">
            <wp:simplePos x="0" y="0"/>
            <wp:positionH relativeFrom="column">
              <wp:posOffset>815340</wp:posOffset>
            </wp:positionH>
            <wp:positionV relativeFrom="paragraph">
              <wp:posOffset>219075</wp:posOffset>
            </wp:positionV>
            <wp:extent cx="3408045" cy="2129155"/>
            <wp:effectExtent l="0" t="0" r="1905" b="4445"/>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cstate="print"/>
                    <a:srcRect/>
                    <a:stretch>
                      <a:fillRect/>
                    </a:stretch>
                  </pic:blipFill>
                  <pic:spPr>
                    <a:xfrm>
                      <a:off x="0" y="0"/>
                      <a:ext cx="3408045" cy="2129155"/>
                    </a:xfrm>
                    <a:prstGeom prst="rect">
                      <a:avLst/>
                    </a:prstGeom>
                    <a:noFill/>
                    <a:ln w="9525">
                      <a:noFill/>
                      <a:miter lim="800000"/>
                      <a:headEnd/>
                      <a:tailEnd/>
                    </a:ln>
                  </pic:spPr>
                </pic:pic>
              </a:graphicData>
            </a:graphic>
          </wp:anchor>
        </w:drawing>
      </w:r>
    </w:p>
    <w:p>
      <w:pPr>
        <w:pStyle w:val="4"/>
        <w:spacing w:after="0" w:line="560" w:lineRule="exact"/>
        <w:jc w:val="center"/>
        <w:rPr>
          <w:rFonts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图2.支出决算图（以饼图列示）</w:t>
      </w:r>
    </w:p>
    <w:p>
      <w:pPr>
        <w:spacing w:line="600" w:lineRule="exact"/>
        <w:ind w:left="0" w:leftChars="0" w:firstLine="640" w:firstLineChars="200"/>
        <w:outlineLvl w:val="2"/>
        <w:rPr>
          <w:rFonts w:ascii="Times New Roman" w:hAnsi="Times New Roman" w:eastAsia="仿宋_GB2312" w:cs="仿宋"/>
          <w:b w:val="0"/>
          <w:bCs/>
          <w:sz w:val="32"/>
          <w:szCs w:val="32"/>
          <w:highlight w:val="none"/>
        </w:rPr>
      </w:pPr>
      <w:r>
        <w:rPr>
          <w:rFonts w:hint="eastAsia" w:eastAsia="黑体" w:cs="黑体"/>
          <w:b w:val="0"/>
          <w:bCs/>
          <w:sz w:val="32"/>
          <w:szCs w:val="36"/>
          <w:highlight w:val="none"/>
        </w:rPr>
        <w:t>四、财政拨款收入支出决算总体情况说明</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仿宋_GB2312" w:hAnsi="仿宋_GB2312" w:eastAsia="仿宋_GB2312" w:cs="仿宋_GB2312"/>
          <w:b w:val="0"/>
          <w:bCs/>
          <w:sz w:val="32"/>
          <w:szCs w:val="32"/>
          <w:highlight w:val="none"/>
        </w:rPr>
        <w:t>赤峰市公共资源交易中心 2024年度财政拨款收入、支出决算总计 1464.29万元，与年初预算相比，收、支总计各减少 79.83万元，减少 5.17%，变动原因：未实施完成项目未支付；与上年决算相比，收、支总计各减少 454.39万元，减少 23.68%，变动原因：上年度支付了2022年度已向财政申请但是未支付的资金。</w:t>
      </w:r>
    </w:p>
    <w:p>
      <w:pPr>
        <w:spacing w:line="600" w:lineRule="exact"/>
        <w:ind w:left="0" w:leftChars="0" w:firstLine="640" w:firstLineChars="200"/>
        <w:outlineLvl w:val="2"/>
        <w:rPr>
          <w:rFonts w:eastAsia="黑体" w:cs="黑体"/>
          <w:b w:val="0"/>
          <w:bCs/>
          <w:sz w:val="32"/>
          <w:szCs w:val="36"/>
          <w:highlight w:val="none"/>
        </w:rPr>
      </w:pPr>
      <w:r>
        <w:rPr>
          <w:rFonts w:hint="eastAsia" w:eastAsia="黑体" w:cs="黑体"/>
          <w:b w:val="0"/>
          <w:bCs/>
          <w:sz w:val="32"/>
          <w:szCs w:val="36"/>
          <w:highlight w:val="none"/>
        </w:rPr>
        <w:t>五、一般公共预算支出决算情况说明</w:t>
      </w:r>
    </w:p>
    <w:p>
      <w:pPr>
        <w:pStyle w:val="4"/>
        <w:tabs>
          <w:tab w:val="left" w:pos="4275"/>
        </w:tabs>
        <w:spacing w:after="0" w:line="560" w:lineRule="exact"/>
        <w:ind w:firstLine="640" w:firstLineChars="200"/>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 赤峰市公共资源交易中心 </w:t>
      </w:r>
      <w:r>
        <w:rPr>
          <w:rFonts w:hint="eastAsia" w:ascii="仿宋_GB2312" w:hAnsi="仿宋_GB2312" w:eastAsia="仿宋_GB2312" w:cs="仿宋_GB2312"/>
          <w:b w:val="0"/>
          <w:bCs/>
          <w:sz w:val="32"/>
          <w:szCs w:val="32"/>
          <w:highlight w:val="none"/>
        </w:rPr>
        <w:t>2024</w:t>
      </w:r>
      <w:r>
        <w:rPr>
          <w:rFonts w:hint="eastAsia" w:ascii="Times New Roman" w:hAnsi="Times New Roman" w:eastAsia="仿宋_GB2312" w:cs="仿宋"/>
          <w:b w:val="0"/>
          <w:bCs/>
          <w:sz w:val="32"/>
          <w:szCs w:val="32"/>
          <w:highlight w:val="none"/>
        </w:rPr>
        <w:t>年度一般公共预算财政拨款支出决算 </w:t>
      </w:r>
      <w:r>
        <w:rPr>
          <w:rFonts w:hint="eastAsia" w:ascii="仿宋_GB2312" w:hAnsi="仿宋_GB2312" w:eastAsia="仿宋_GB2312" w:cs="仿宋_GB2312"/>
          <w:b w:val="0"/>
          <w:bCs/>
          <w:sz w:val="32"/>
          <w:szCs w:val="32"/>
          <w:highlight w:val="none"/>
        </w:rPr>
        <w:t>1463.93</w:t>
      </w:r>
      <w:r>
        <w:rPr>
          <w:rFonts w:hint="eastAsia" w:ascii="Times New Roman" w:hAnsi="Times New Roman" w:eastAsia="仿宋_GB2312" w:cs="仿宋"/>
          <w:b w:val="0"/>
          <w:bCs/>
          <w:sz w:val="32"/>
          <w:szCs w:val="32"/>
          <w:highlight w:val="none"/>
        </w:rPr>
        <w:t>万元。与年初预算 </w:t>
      </w:r>
      <w:r>
        <w:rPr>
          <w:rFonts w:hint="eastAsia" w:ascii="仿宋_GB2312" w:hAnsi="仿宋_GB2312" w:eastAsia="仿宋_GB2312" w:cs="仿宋_GB2312"/>
          <w:b w:val="0"/>
          <w:bCs/>
          <w:sz w:val="32"/>
          <w:szCs w:val="32"/>
          <w:highlight w:val="none"/>
        </w:rPr>
        <w:t>1544.1</w:t>
      </w:r>
      <w:r>
        <w:rPr>
          <w:rFonts w:hint="eastAsia" w:ascii="Times New Roman" w:hAnsi="Times New Roman" w:eastAsia="仿宋_GB2312" w:cs="仿宋"/>
          <w:b w:val="0"/>
          <w:bCs/>
          <w:sz w:val="32"/>
          <w:szCs w:val="32"/>
          <w:highlight w:val="none"/>
        </w:rPr>
        <w:t>2万元相比，完成年初预算的</w:t>
      </w:r>
      <w:r>
        <w:rPr>
          <w:rFonts w:hint="eastAsia" w:ascii="仿宋_GB2312" w:hAnsi="仿宋_GB2312" w:eastAsia="仿宋_GB2312" w:cs="仿宋_GB2312"/>
          <w:b w:val="0"/>
          <w:bCs/>
          <w:sz w:val="32"/>
          <w:szCs w:val="32"/>
          <w:highlight w:val="none"/>
        </w:rPr>
        <w:t>94.81%</w:t>
      </w:r>
      <w:r>
        <w:rPr>
          <w:rFonts w:hint="eastAsia" w:ascii="Times New Roman" w:hAnsi="Times New Roman" w:eastAsia="仿宋_GB2312" w:cs="仿宋"/>
          <w:b w:val="0"/>
          <w:bCs/>
          <w:sz w:val="32"/>
          <w:szCs w:val="32"/>
          <w:highlight w:val="none"/>
        </w:rPr>
        <w:t>。其中：</w:t>
      </w:r>
    </w:p>
    <w:p>
      <w:pPr>
        <w:pStyle w:val="4"/>
        <w:tabs>
          <w:tab w:val="left" w:pos="4275"/>
        </w:tabs>
        <w:spacing w:after="0" w:line="560" w:lineRule="exact"/>
        <w:ind w:firstLine="640" w:firstLineChars="200"/>
        <w:rPr>
          <w:rFonts w:hint="eastAsia" w:eastAsia="仿宋_GB2312"/>
          <w:b w:val="0"/>
          <w:bCs/>
          <w:sz w:val="32"/>
          <w:szCs w:val="32"/>
          <w:highlight w:val="none"/>
        </w:rPr>
      </w:pPr>
      <w:r>
        <w:rPr>
          <w:rFonts w:hint="eastAsia" w:ascii="楷体" w:hAnsi="楷体" w:eastAsia="楷体" w:cs="楷体"/>
          <w:b w:val="0"/>
          <w:bCs/>
          <w:sz w:val="32"/>
          <w:szCs w:val="32"/>
          <w:highlight w:val="none"/>
        </w:rPr>
        <w:t>（一）一般公共服务（类）</w:t>
      </w:r>
    </w:p>
    <w:p>
      <w:pPr>
        <w:pStyle w:val="4"/>
        <w:numPr>
          <w:ilvl w:val="0"/>
          <w:numId w:val="0"/>
        </w:numPr>
        <w:spacing w:after="0" w:line="560" w:lineRule="exact"/>
        <w:ind w:firstLine="640" w:firstLineChars="200"/>
        <w:rPr>
          <w:rFonts w:hint="eastAsia" w:eastAsia="仿宋_GB2312"/>
          <w:b w:val="0"/>
          <w:bCs/>
          <w:sz w:val="32"/>
          <w:szCs w:val="32"/>
          <w:highlight w:val="none"/>
        </w:rPr>
      </w:pPr>
      <w:r>
        <w:rPr>
          <w:rFonts w:hint="eastAsia" w:eastAsia="仿宋_GB2312"/>
          <w:b w:val="0"/>
          <w:bCs/>
          <w:sz w:val="32"/>
          <w:szCs w:val="32"/>
          <w:highlight w:val="none"/>
        </w:rPr>
        <w:t>一般公共服务类决算数为 </w:t>
      </w:r>
      <w:r>
        <w:rPr>
          <w:rFonts w:hint="eastAsia" w:ascii="仿宋_GB2312" w:hAnsi="仿宋_GB2312" w:eastAsia="仿宋_GB2312" w:cs="仿宋_GB2312"/>
          <w:b w:val="0"/>
          <w:bCs/>
          <w:sz w:val="32"/>
          <w:szCs w:val="32"/>
          <w:highlight w:val="none"/>
        </w:rPr>
        <w:t>1351.46</w:t>
      </w:r>
      <w:r>
        <w:rPr>
          <w:rFonts w:hint="eastAsia" w:eastAsia="仿宋_GB2312"/>
          <w:b w:val="0"/>
          <w:bCs/>
          <w:sz w:val="32"/>
          <w:szCs w:val="32"/>
          <w:highlight w:val="none"/>
        </w:rPr>
        <w:t>万元，与年初预算相比减少</w:t>
      </w:r>
      <w:r>
        <w:rPr>
          <w:rFonts w:hint="eastAsia" w:ascii="仿宋_GB2312" w:hAnsi="仿宋_GB2312" w:eastAsia="仿宋_GB2312" w:cs="仿宋_GB2312"/>
          <w:b w:val="0"/>
          <w:bCs/>
          <w:sz w:val="32"/>
          <w:szCs w:val="32"/>
          <w:highlight w:val="none"/>
        </w:rPr>
        <w:t> 91.60</w:t>
      </w:r>
      <w:r>
        <w:rPr>
          <w:rFonts w:hint="eastAsia" w:eastAsia="仿宋_GB2312"/>
          <w:b w:val="0"/>
          <w:bCs/>
          <w:sz w:val="32"/>
          <w:szCs w:val="32"/>
          <w:highlight w:val="none"/>
        </w:rPr>
        <w:t>万元。其中：</w:t>
      </w:r>
    </w:p>
    <w:p>
      <w:pPr>
        <w:pStyle w:val="4"/>
        <w:numPr>
          <w:ilvl w:val="0"/>
          <w:numId w:val="0"/>
        </w:numPr>
        <w:spacing w:after="0" w:line="560" w:lineRule="exact"/>
        <w:ind w:firstLine="640" w:firstLineChars="200"/>
        <w:rPr>
          <w:rFonts w:hint="eastAsia" w:eastAsia="仿宋_GB2312"/>
          <w:b w:val="0"/>
          <w:bCs/>
          <w:sz w:val="32"/>
          <w:szCs w:val="32"/>
          <w:highlight w:val="none"/>
        </w:rPr>
      </w:pPr>
      <w:r>
        <w:rPr>
          <w:rFonts w:hint="eastAsia" w:eastAsia="仿宋_GB2312"/>
          <w:b w:val="0"/>
          <w:bCs/>
          <w:sz w:val="32"/>
          <w:szCs w:val="32"/>
          <w:highlight w:val="none"/>
        </w:rPr>
        <w:t> 1．政府办公厅（室）及相关机构事务。年初预算</w:t>
      </w:r>
      <w:r>
        <w:rPr>
          <w:rFonts w:hint="eastAsia" w:ascii="仿宋_GB2312" w:hAnsi="仿宋_GB2312" w:eastAsia="仿宋_GB2312" w:cs="仿宋_GB2312"/>
          <w:b w:val="0"/>
          <w:bCs/>
          <w:sz w:val="32"/>
          <w:szCs w:val="32"/>
          <w:highlight w:val="none"/>
        </w:rPr>
        <w:t>1443.06</w:t>
      </w:r>
      <w:r>
        <w:rPr>
          <w:rFonts w:hint="eastAsia" w:eastAsia="仿宋_GB2312"/>
          <w:b w:val="0"/>
          <w:bCs/>
          <w:sz w:val="32"/>
          <w:szCs w:val="32"/>
          <w:highlight w:val="none"/>
        </w:rPr>
        <w:t>万元，支出决算</w:t>
      </w:r>
      <w:r>
        <w:rPr>
          <w:rFonts w:hint="eastAsia" w:ascii="仿宋_GB2312" w:hAnsi="仿宋_GB2312" w:eastAsia="仿宋_GB2312" w:cs="仿宋_GB2312"/>
          <w:b w:val="0"/>
          <w:bCs/>
          <w:sz w:val="32"/>
          <w:szCs w:val="32"/>
          <w:highlight w:val="none"/>
        </w:rPr>
        <w:t>1351.46</w:t>
      </w:r>
      <w:r>
        <w:rPr>
          <w:rFonts w:hint="eastAsia" w:eastAsia="仿宋_GB2312"/>
          <w:b w:val="0"/>
          <w:bCs/>
          <w:sz w:val="32"/>
          <w:szCs w:val="32"/>
          <w:highlight w:val="none"/>
        </w:rPr>
        <w:t>万元，完成年初预算的</w:t>
      </w:r>
      <w:r>
        <w:rPr>
          <w:rFonts w:hint="eastAsia" w:ascii="仿宋_GB2312" w:hAnsi="仿宋_GB2312" w:eastAsia="仿宋_GB2312" w:cs="仿宋_GB2312"/>
          <w:b w:val="0"/>
          <w:bCs/>
          <w:sz w:val="32"/>
          <w:szCs w:val="32"/>
          <w:highlight w:val="none"/>
        </w:rPr>
        <w:t>93.65%</w:t>
      </w:r>
      <w:r>
        <w:rPr>
          <w:rFonts w:hint="eastAsia" w:eastAsia="仿宋_GB2312"/>
          <w:b w:val="0"/>
          <w:bCs/>
          <w:sz w:val="32"/>
          <w:szCs w:val="32"/>
          <w:highlight w:val="none"/>
        </w:rPr>
        <w:t>。决算数与年初预算数的差异原因：人员退休及机关运行经费节约开支。</w:t>
      </w:r>
    </w:p>
    <w:p>
      <w:pPr>
        <w:pStyle w:val="4"/>
        <w:numPr>
          <w:ilvl w:val="0"/>
          <w:numId w:val="0"/>
        </w:numPr>
        <w:spacing w:after="0" w:line="560" w:lineRule="exact"/>
        <w:ind w:firstLine="640" w:firstLineChars="200"/>
        <w:rPr>
          <w:rFonts w:hint="eastAsia" w:ascii="Times New Roman" w:hAnsi="Times New Roman" w:eastAsia="仿宋_GB2312" w:cs="仿宋"/>
          <w:b w:val="0"/>
          <w:bCs/>
          <w:sz w:val="32"/>
          <w:szCs w:val="32"/>
          <w:highlight w:val="none"/>
        </w:rPr>
      </w:pPr>
      <w:r>
        <w:rPr>
          <w:rFonts w:hint="eastAsia" w:eastAsia="仿宋_GB2312"/>
          <w:b w:val="0"/>
          <w:bCs/>
          <w:sz w:val="32"/>
          <w:szCs w:val="32"/>
          <w:highlight w:val="none"/>
        </w:rPr>
        <w:t> 2．政府办公厅（室）及相关机构事务（款）其他政府办公厅（室）及相关机构事务支出（项）。年初预算</w:t>
      </w:r>
      <w:r>
        <w:rPr>
          <w:rFonts w:hint="eastAsia" w:ascii="仿宋_GB2312" w:hAnsi="仿宋_GB2312" w:eastAsia="仿宋_GB2312" w:cs="仿宋_GB2312"/>
          <w:b w:val="0"/>
          <w:bCs/>
          <w:sz w:val="32"/>
          <w:szCs w:val="32"/>
          <w:highlight w:val="none"/>
        </w:rPr>
        <w:t>409.16</w:t>
      </w:r>
      <w:r>
        <w:rPr>
          <w:rFonts w:hint="eastAsia" w:eastAsia="仿宋_GB2312"/>
          <w:b w:val="0"/>
          <w:bCs/>
          <w:sz w:val="32"/>
          <w:szCs w:val="32"/>
          <w:highlight w:val="none"/>
        </w:rPr>
        <w:t>万元，支出决算</w:t>
      </w:r>
      <w:r>
        <w:rPr>
          <w:rFonts w:hint="eastAsia" w:ascii="仿宋_GB2312" w:hAnsi="仿宋_GB2312" w:eastAsia="仿宋_GB2312" w:cs="仿宋_GB2312"/>
          <w:b w:val="0"/>
          <w:bCs/>
          <w:sz w:val="32"/>
          <w:szCs w:val="32"/>
          <w:highlight w:val="none"/>
        </w:rPr>
        <w:t>342.13</w:t>
      </w:r>
      <w:r>
        <w:rPr>
          <w:rFonts w:hint="eastAsia" w:eastAsia="仿宋_GB2312"/>
          <w:b w:val="0"/>
          <w:bCs/>
          <w:sz w:val="32"/>
          <w:szCs w:val="32"/>
          <w:highlight w:val="none"/>
        </w:rPr>
        <w:t>万元，完成年初预算的</w:t>
      </w:r>
      <w:r>
        <w:rPr>
          <w:rFonts w:hint="eastAsia" w:ascii="仿宋_GB2312" w:hAnsi="仿宋_GB2312" w:eastAsia="仿宋_GB2312" w:cs="仿宋_GB2312"/>
          <w:b w:val="0"/>
          <w:bCs/>
          <w:sz w:val="32"/>
          <w:szCs w:val="32"/>
          <w:highlight w:val="none"/>
        </w:rPr>
        <w:t>83.62%</w:t>
      </w:r>
      <w:r>
        <w:rPr>
          <w:rFonts w:hint="eastAsia" w:eastAsia="仿宋_GB2312"/>
          <w:b w:val="0"/>
          <w:bCs/>
          <w:sz w:val="32"/>
          <w:szCs w:val="32"/>
          <w:highlight w:val="none"/>
        </w:rPr>
        <w:t>，决算与年初预算差异的原因：已申请但是未能支付。</w:t>
      </w:r>
    </w:p>
    <w:p>
      <w:pPr>
        <w:pStyle w:val="4"/>
        <w:tabs>
          <w:tab w:val="left" w:pos="4275"/>
        </w:tabs>
        <w:spacing w:after="0" w:line="560" w:lineRule="exact"/>
        <w:ind w:firstLine="640" w:firstLineChars="200"/>
        <w:rPr>
          <w:rFonts w:ascii="楷体" w:hAnsi="楷体" w:eastAsia="楷体" w:cs="楷体"/>
          <w:b w:val="0"/>
          <w:bCs/>
          <w:sz w:val="32"/>
          <w:szCs w:val="32"/>
          <w:highlight w:val="none"/>
        </w:rPr>
      </w:pPr>
      <w:r>
        <w:rPr>
          <w:rFonts w:hint="eastAsia" w:ascii="楷体" w:hAnsi="楷体" w:eastAsia="楷体" w:cs="楷体"/>
          <w:b w:val="0"/>
          <w:bCs/>
          <w:sz w:val="32"/>
          <w:szCs w:val="32"/>
          <w:highlight w:val="none"/>
        </w:rPr>
        <w:t>（二）公共安全（类）</w:t>
      </w:r>
    </w:p>
    <w:p>
      <w:pPr>
        <w:pStyle w:val="4"/>
        <w:tabs>
          <w:tab w:val="left" w:pos="4275"/>
        </w:tabs>
        <w:spacing w:after="0" w:line="560" w:lineRule="exact"/>
        <w:ind w:firstLine="640" w:firstLineChars="200"/>
        <w:rPr>
          <w:rFonts w:hint="eastAsia" w:eastAsia="仿宋_GB2312"/>
          <w:b w:val="0"/>
          <w:bCs/>
          <w:sz w:val="32"/>
          <w:szCs w:val="32"/>
          <w:highlight w:val="none"/>
          <w:lang w:val="en-US" w:eastAsia="zh-CN"/>
        </w:rPr>
      </w:pPr>
      <w:r>
        <w:rPr>
          <w:rFonts w:hint="eastAsia" w:eastAsia="仿宋_GB2312"/>
          <w:b w:val="0"/>
          <w:bCs/>
          <w:sz w:val="32"/>
          <w:szCs w:val="32"/>
          <w:highlight w:val="none"/>
          <w:lang w:val="en-US" w:eastAsia="zh-CN"/>
        </w:rPr>
        <w:t> 公共安全类决算数为 0万元，与年初预算相比无增减。原因：不存此项内容。</w:t>
      </w:r>
    </w:p>
    <w:p>
      <w:pPr>
        <w:pStyle w:val="4"/>
        <w:tabs>
          <w:tab w:val="left" w:pos="4275"/>
        </w:tabs>
        <w:spacing w:after="0" w:line="560" w:lineRule="exact"/>
        <w:ind w:firstLine="640" w:firstLineChars="200"/>
        <w:rPr>
          <w:rFonts w:ascii="楷体" w:hAnsi="楷体" w:eastAsia="楷体" w:cs="楷体"/>
          <w:b w:val="0"/>
          <w:bCs/>
          <w:sz w:val="32"/>
          <w:szCs w:val="32"/>
          <w:highlight w:val="none"/>
        </w:rPr>
      </w:pPr>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val="en-US" w:eastAsia="zh-CN"/>
        </w:rPr>
        <w:t>三</w:t>
      </w:r>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val="en-US" w:eastAsia="zh-CN"/>
        </w:rPr>
        <w:t>社会保障和就业支出</w:t>
      </w:r>
      <w:r>
        <w:rPr>
          <w:rFonts w:hint="eastAsia" w:ascii="楷体" w:hAnsi="楷体" w:eastAsia="楷体" w:cs="楷体"/>
          <w:b w:val="0"/>
          <w:bCs/>
          <w:sz w:val="32"/>
          <w:szCs w:val="32"/>
          <w:highlight w:val="none"/>
        </w:rPr>
        <w:t>（类）</w:t>
      </w:r>
    </w:p>
    <w:p>
      <w:pPr>
        <w:pStyle w:val="4"/>
        <w:numPr>
          <w:ilvl w:val="0"/>
          <w:numId w:val="0"/>
        </w:numPr>
        <w:spacing w:after="0" w:line="560" w:lineRule="exact"/>
        <w:ind w:firstLine="640" w:firstLineChars="200"/>
        <w:rPr>
          <w:rFonts w:hint="eastAsia" w:eastAsia="仿宋_GB2312"/>
          <w:b w:val="0"/>
          <w:bCs/>
          <w:sz w:val="32"/>
          <w:szCs w:val="32"/>
          <w:highlight w:val="none"/>
        </w:rPr>
      </w:pPr>
      <w:r>
        <w:rPr>
          <w:rFonts w:hint="eastAsia" w:eastAsia="仿宋_GB2312"/>
          <w:b w:val="0"/>
          <w:bCs/>
          <w:sz w:val="32"/>
          <w:szCs w:val="32"/>
          <w:highlight w:val="none"/>
        </w:rPr>
        <w:t>社会保障和就业支出类决算数为</w:t>
      </w:r>
      <w:r>
        <w:rPr>
          <w:rFonts w:hint="eastAsia" w:ascii="仿宋_GB2312" w:hAnsi="仿宋_GB2312" w:eastAsia="仿宋_GB2312" w:cs="仿宋_GB2312"/>
          <w:b w:val="0"/>
          <w:bCs/>
          <w:sz w:val="32"/>
          <w:szCs w:val="32"/>
          <w:highlight w:val="none"/>
        </w:rPr>
        <w:t>68.05</w:t>
      </w:r>
      <w:r>
        <w:rPr>
          <w:rFonts w:hint="eastAsia" w:eastAsia="仿宋_GB2312"/>
          <w:b w:val="0"/>
          <w:bCs/>
          <w:sz w:val="32"/>
          <w:szCs w:val="32"/>
          <w:highlight w:val="none"/>
        </w:rPr>
        <w:t>万元，与年初预算增加</w:t>
      </w:r>
      <w:r>
        <w:rPr>
          <w:rFonts w:hint="eastAsia" w:ascii="仿宋_GB2312" w:hAnsi="仿宋_GB2312" w:eastAsia="仿宋_GB2312" w:cs="仿宋_GB2312"/>
          <w:b w:val="0"/>
          <w:bCs/>
          <w:sz w:val="32"/>
          <w:szCs w:val="32"/>
          <w:highlight w:val="none"/>
        </w:rPr>
        <w:t>14.04</w:t>
      </w:r>
      <w:r>
        <w:rPr>
          <w:rFonts w:hint="eastAsia" w:eastAsia="仿宋_GB2312"/>
          <w:b w:val="0"/>
          <w:bCs/>
          <w:sz w:val="32"/>
          <w:szCs w:val="32"/>
          <w:highlight w:val="none"/>
        </w:rPr>
        <w:t>万元。其中：</w:t>
      </w:r>
    </w:p>
    <w:p>
      <w:pPr>
        <w:pStyle w:val="4"/>
        <w:numPr>
          <w:ilvl w:val="0"/>
          <w:numId w:val="0"/>
        </w:numPr>
        <w:spacing w:after="0" w:line="560" w:lineRule="exact"/>
        <w:ind w:firstLine="640" w:firstLineChars="200"/>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rPr>
        <w:t>1</w:t>
      </w:r>
      <w:r>
        <w:rPr>
          <w:rFonts w:hint="eastAsia" w:ascii="仿宋_GB2312" w:hAnsi="仿宋_GB2312" w:eastAsia="仿宋_GB2312" w:cs="仿宋_GB2312"/>
          <w:b w:val="0"/>
          <w:bCs/>
          <w:sz w:val="32"/>
          <w:szCs w:val="32"/>
          <w:highlight w:val="none"/>
          <w:lang w:val="en-US" w:eastAsia="zh-CN"/>
        </w:rPr>
        <w:t>.</w:t>
      </w:r>
      <w:r>
        <w:rPr>
          <w:rFonts w:hint="eastAsia" w:ascii="仿宋_GB2312" w:hAnsi="仿宋_GB2312" w:eastAsia="仿宋_GB2312" w:cs="仿宋_GB2312"/>
          <w:b w:val="0"/>
          <w:bCs/>
          <w:sz w:val="32"/>
          <w:szCs w:val="32"/>
          <w:highlight w:val="none"/>
        </w:rPr>
        <w:t>行政事业单位养老支出（款）事业单位离退休（项）。年初预算16.78万元，支出决算18.95万元，完成年初预算的113%。决算数与年初预算数的差异原因： 本年度两名在职人员转退休。 </w:t>
      </w:r>
    </w:p>
    <w:p>
      <w:pPr>
        <w:pStyle w:val="4"/>
        <w:numPr>
          <w:ilvl w:val="0"/>
          <w:numId w:val="0"/>
        </w:numPr>
        <w:spacing w:after="0"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2</w:t>
      </w:r>
      <w:r>
        <w:rPr>
          <w:rFonts w:hint="eastAsia" w:ascii="仿宋_GB2312" w:hAnsi="仿宋_GB2312" w:eastAsia="仿宋_GB2312" w:cs="仿宋_GB2312"/>
          <w:b w:val="0"/>
          <w:bCs/>
          <w:sz w:val="32"/>
          <w:szCs w:val="32"/>
          <w:highlight w:val="none"/>
          <w:lang w:val="en-US" w:eastAsia="zh-CN"/>
        </w:rPr>
        <w:t>.</w:t>
      </w:r>
      <w:r>
        <w:rPr>
          <w:rFonts w:hint="eastAsia" w:ascii="仿宋_GB2312" w:hAnsi="仿宋_GB2312" w:eastAsia="仿宋_GB2312" w:cs="仿宋_GB2312"/>
          <w:b w:val="0"/>
          <w:bCs/>
          <w:sz w:val="32"/>
          <w:szCs w:val="32"/>
          <w:highlight w:val="none"/>
        </w:rPr>
        <w:t>行政事业单位养老支出（款）机关事业单位基本养老保险缴费支出（项）。年初预算35.57万元，支出决算25.92万元，完成年初预算的72.87%。决算数与年初预算数的差异原因：在职人员转退休不再缴费养老保险。</w:t>
      </w:r>
    </w:p>
    <w:p>
      <w:pPr>
        <w:pStyle w:val="4"/>
        <w:numPr>
          <w:ilvl w:val="0"/>
          <w:numId w:val="0"/>
        </w:numPr>
        <w:spacing w:after="0"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3</w:t>
      </w:r>
      <w:r>
        <w:rPr>
          <w:rFonts w:hint="eastAsia" w:ascii="仿宋_GB2312" w:hAnsi="仿宋_GB2312" w:eastAsia="仿宋_GB2312" w:cs="仿宋_GB2312"/>
          <w:b w:val="0"/>
          <w:bCs/>
          <w:sz w:val="32"/>
          <w:szCs w:val="32"/>
          <w:highlight w:val="none"/>
          <w:lang w:val="en-US" w:eastAsia="zh-CN"/>
        </w:rPr>
        <w:t>.</w:t>
      </w:r>
      <w:r>
        <w:rPr>
          <w:rFonts w:hint="eastAsia" w:ascii="仿宋_GB2312" w:hAnsi="仿宋_GB2312" w:eastAsia="仿宋_GB2312" w:cs="仿宋_GB2312"/>
          <w:b w:val="0"/>
          <w:bCs/>
          <w:sz w:val="32"/>
          <w:szCs w:val="32"/>
          <w:highlight w:val="none"/>
        </w:rPr>
        <w:t>行政事业单位养老支出（款）机关事业单位职业年金缴费支出（项）。年初预算0万元，支出决算17.86万元。决算数与年初预算数的差异原因：本年度对退休人员的职业年金做实，追加了指标。</w:t>
      </w:r>
    </w:p>
    <w:p>
      <w:pPr>
        <w:pStyle w:val="4"/>
        <w:numPr>
          <w:ilvl w:val="0"/>
          <w:numId w:val="0"/>
        </w:numPr>
        <w:spacing w:after="0"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4</w:t>
      </w:r>
      <w:r>
        <w:rPr>
          <w:rFonts w:hint="eastAsia" w:ascii="仿宋_GB2312" w:hAnsi="仿宋_GB2312" w:eastAsia="仿宋_GB2312" w:cs="仿宋_GB2312"/>
          <w:b w:val="0"/>
          <w:bCs/>
          <w:sz w:val="32"/>
          <w:szCs w:val="32"/>
          <w:highlight w:val="none"/>
          <w:lang w:val="en-US" w:eastAsia="zh-CN"/>
        </w:rPr>
        <w:t>.</w:t>
      </w:r>
      <w:r>
        <w:rPr>
          <w:rFonts w:hint="eastAsia" w:ascii="仿宋_GB2312" w:hAnsi="仿宋_GB2312" w:eastAsia="仿宋_GB2312" w:cs="仿宋_GB2312"/>
          <w:b w:val="0"/>
          <w:bCs/>
          <w:sz w:val="32"/>
          <w:szCs w:val="32"/>
          <w:highlight w:val="none"/>
        </w:rPr>
        <w:t>其他社会保障和就业支出（款）其他社会保障和就业支出（项）。年初预算1.66万元，支出决算1.33万元，完成年初预算的80.12%。决算数与年初预算数的差异原因：在职人员转退休不再缴纳失业及工伤保险。</w:t>
      </w:r>
    </w:p>
    <w:p>
      <w:pPr>
        <w:pStyle w:val="4"/>
        <w:tabs>
          <w:tab w:val="left" w:pos="4275"/>
        </w:tabs>
        <w:spacing w:after="0" w:line="560" w:lineRule="exact"/>
        <w:ind w:firstLine="640" w:firstLineChars="200"/>
        <w:rPr>
          <w:rFonts w:ascii="楷体" w:hAnsi="楷体" w:eastAsia="楷体" w:cs="楷体"/>
          <w:b w:val="0"/>
          <w:bCs/>
          <w:sz w:val="32"/>
          <w:szCs w:val="32"/>
          <w:highlight w:val="none"/>
        </w:rPr>
      </w:pPr>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val="en-US" w:eastAsia="zh-CN"/>
        </w:rPr>
        <w:t>四</w:t>
      </w:r>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val="en-US" w:eastAsia="zh-CN"/>
        </w:rPr>
        <w:t>卫生健康支出</w:t>
      </w:r>
      <w:r>
        <w:rPr>
          <w:rFonts w:hint="eastAsia" w:ascii="楷体" w:hAnsi="楷体" w:eastAsia="楷体" w:cs="楷体"/>
          <w:b w:val="0"/>
          <w:bCs/>
          <w:sz w:val="32"/>
          <w:szCs w:val="32"/>
          <w:highlight w:val="none"/>
        </w:rPr>
        <w:t>（类）</w:t>
      </w:r>
    </w:p>
    <w:p>
      <w:pPr>
        <w:pStyle w:val="4"/>
        <w:tabs>
          <w:tab w:val="left" w:pos="4275"/>
        </w:tabs>
        <w:spacing w:after="0" w:line="560" w:lineRule="exact"/>
        <w:ind w:firstLine="640" w:firstLineChars="200"/>
        <w:rPr>
          <w:rFonts w:hint="eastAsia" w:eastAsia="仿宋_GB2312"/>
          <w:b w:val="0"/>
          <w:bCs/>
          <w:sz w:val="32"/>
          <w:szCs w:val="32"/>
          <w:highlight w:val="none"/>
        </w:rPr>
      </w:pPr>
      <w:r>
        <w:rPr>
          <w:rFonts w:hint="eastAsia" w:eastAsia="仿宋_GB2312"/>
          <w:b w:val="0"/>
          <w:bCs/>
          <w:sz w:val="32"/>
          <w:szCs w:val="32"/>
          <w:highlight w:val="none"/>
        </w:rPr>
        <w:t>卫生健康支出类决算数为 </w:t>
      </w:r>
      <w:r>
        <w:rPr>
          <w:rFonts w:hint="eastAsia" w:ascii="仿宋_GB2312" w:hAnsi="仿宋_GB2312" w:eastAsia="仿宋_GB2312" w:cs="仿宋_GB2312"/>
          <w:b w:val="0"/>
          <w:bCs/>
          <w:sz w:val="32"/>
          <w:szCs w:val="32"/>
          <w:highlight w:val="none"/>
        </w:rPr>
        <w:t>15.61</w:t>
      </w:r>
      <w:r>
        <w:rPr>
          <w:rFonts w:hint="eastAsia" w:eastAsia="仿宋_GB2312"/>
          <w:b w:val="0"/>
          <w:bCs/>
          <w:sz w:val="32"/>
          <w:szCs w:val="32"/>
          <w:highlight w:val="none"/>
        </w:rPr>
        <w:t>万元，与年初预算相比减少 </w:t>
      </w:r>
      <w:r>
        <w:rPr>
          <w:rFonts w:hint="eastAsia" w:ascii="仿宋_GB2312" w:hAnsi="仿宋_GB2312" w:eastAsia="仿宋_GB2312" w:cs="仿宋_GB2312"/>
          <w:b w:val="0"/>
          <w:bCs/>
          <w:sz w:val="32"/>
          <w:szCs w:val="32"/>
          <w:highlight w:val="none"/>
        </w:rPr>
        <w:t>1.94</w:t>
      </w:r>
      <w:r>
        <w:rPr>
          <w:rFonts w:hint="eastAsia" w:eastAsia="仿宋_GB2312"/>
          <w:b w:val="0"/>
          <w:bCs/>
          <w:sz w:val="32"/>
          <w:szCs w:val="32"/>
          <w:highlight w:val="none"/>
        </w:rPr>
        <w:t>万元。其中：</w:t>
      </w:r>
    </w:p>
    <w:p>
      <w:pPr>
        <w:pStyle w:val="4"/>
        <w:numPr>
          <w:ilvl w:val="0"/>
          <w:numId w:val="0"/>
        </w:numPr>
        <w:tabs>
          <w:tab w:val="left" w:pos="4275"/>
        </w:tabs>
        <w:spacing w:after="0" w:line="560" w:lineRule="exact"/>
        <w:ind w:firstLine="640" w:firstLineChars="200"/>
        <w:rPr>
          <w:rFonts w:hint="eastAsia" w:eastAsia="仿宋_GB2312"/>
          <w:b w:val="0"/>
          <w:bCs/>
          <w:sz w:val="32"/>
          <w:szCs w:val="32"/>
          <w:highlight w:val="none"/>
        </w:rPr>
      </w:pPr>
      <w:r>
        <w:rPr>
          <w:rFonts w:hint="eastAsia" w:ascii="Times New Roman" w:hAnsi="Times New Roman" w:eastAsia="仿宋_GB2312" w:cs="Times New Roman"/>
          <w:b w:val="0"/>
          <w:bCs/>
          <w:kern w:val="2"/>
          <w:sz w:val="32"/>
          <w:szCs w:val="32"/>
          <w:highlight w:val="none"/>
          <w:lang w:val="en-US" w:eastAsia="zh-CN" w:bidi="ar-SA"/>
        </w:rPr>
        <w:t>1</w:t>
      </w:r>
      <w:r>
        <w:rPr>
          <w:rFonts w:hint="eastAsia" w:eastAsia="仿宋_GB2312" w:cs="Times New Roman"/>
          <w:b w:val="0"/>
          <w:bCs/>
          <w:kern w:val="2"/>
          <w:sz w:val="32"/>
          <w:szCs w:val="32"/>
          <w:highlight w:val="none"/>
          <w:lang w:val="en-US" w:eastAsia="zh-CN" w:bidi="ar-SA"/>
        </w:rPr>
        <w:t>.</w:t>
      </w:r>
      <w:r>
        <w:rPr>
          <w:rFonts w:hint="eastAsia" w:eastAsia="仿宋_GB2312"/>
          <w:b w:val="0"/>
          <w:bCs/>
          <w:sz w:val="32"/>
          <w:szCs w:val="32"/>
          <w:highlight w:val="none"/>
        </w:rPr>
        <w:t>行政事业单位医疗（款）事业单位医疗（项）。年初预</w:t>
      </w:r>
      <w:r>
        <w:rPr>
          <w:rFonts w:hint="eastAsia" w:ascii="仿宋_GB2312" w:hAnsi="仿宋_GB2312" w:eastAsia="仿宋_GB2312" w:cs="仿宋_GB2312"/>
          <w:b w:val="0"/>
          <w:bCs/>
          <w:sz w:val="32"/>
          <w:szCs w:val="32"/>
          <w:highlight w:val="none"/>
        </w:rPr>
        <w:t>算17.55万元，支出决算15.61万元，完成年初预算的88.95%。</w:t>
      </w:r>
      <w:r>
        <w:rPr>
          <w:rFonts w:hint="eastAsia" w:eastAsia="仿宋_GB2312"/>
          <w:b w:val="0"/>
          <w:bCs/>
          <w:sz w:val="32"/>
          <w:szCs w:val="32"/>
          <w:highlight w:val="none"/>
        </w:rPr>
        <w:t>决算数与年初预算数的差异原因：在职人员转退休不再缴纳医疗保险。</w:t>
      </w:r>
    </w:p>
    <w:p>
      <w:pPr>
        <w:pStyle w:val="4"/>
        <w:numPr>
          <w:ilvl w:val="0"/>
          <w:numId w:val="0"/>
        </w:numPr>
        <w:tabs>
          <w:tab w:val="left" w:pos="4275"/>
        </w:tabs>
        <w:spacing w:after="0" w:line="560" w:lineRule="exact"/>
        <w:ind w:left="720" w:leftChars="0"/>
        <w:rPr>
          <w:rFonts w:ascii="楷体" w:hAnsi="楷体" w:eastAsia="楷体" w:cs="楷体"/>
          <w:b w:val="0"/>
          <w:bCs/>
          <w:sz w:val="32"/>
          <w:szCs w:val="32"/>
          <w:highlight w:val="none"/>
        </w:rPr>
      </w:pPr>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val="en-US" w:eastAsia="zh-CN"/>
        </w:rPr>
        <w:t>五</w:t>
      </w:r>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val="en-US" w:eastAsia="zh-CN"/>
        </w:rPr>
        <w:t>住房保障支出</w:t>
      </w:r>
      <w:r>
        <w:rPr>
          <w:rFonts w:hint="eastAsia" w:ascii="楷体" w:hAnsi="楷体" w:eastAsia="楷体" w:cs="楷体"/>
          <w:b w:val="0"/>
          <w:bCs/>
          <w:sz w:val="32"/>
          <w:szCs w:val="32"/>
          <w:highlight w:val="none"/>
        </w:rPr>
        <w:t>（类）</w:t>
      </w:r>
    </w:p>
    <w:p>
      <w:pPr>
        <w:pStyle w:val="4"/>
        <w:tabs>
          <w:tab w:val="left" w:pos="4275"/>
        </w:tabs>
        <w:spacing w:after="0" w:line="560" w:lineRule="exact"/>
        <w:ind w:firstLine="640" w:firstLineChars="200"/>
        <w:rPr>
          <w:rFonts w:hint="eastAsia" w:eastAsia="仿宋_GB2312"/>
          <w:b w:val="0"/>
          <w:bCs/>
          <w:sz w:val="32"/>
          <w:szCs w:val="32"/>
          <w:highlight w:val="none"/>
        </w:rPr>
      </w:pPr>
      <w:r>
        <w:rPr>
          <w:rFonts w:hint="eastAsia" w:ascii="Times New Roman" w:hAnsi="Times New Roman" w:eastAsia="仿宋_GB2312" w:cs="Times New Roman"/>
          <w:b w:val="0"/>
          <w:bCs/>
          <w:kern w:val="2"/>
          <w:sz w:val="32"/>
          <w:szCs w:val="32"/>
          <w:highlight w:val="none"/>
          <w:lang w:val="en-US" w:eastAsia="zh-CN" w:bidi="ar-SA"/>
        </w:rPr>
        <w:t> 住房保障支出类决算数为 </w:t>
      </w:r>
      <w:r>
        <w:rPr>
          <w:rFonts w:hint="eastAsia" w:ascii="仿宋_GB2312" w:hAnsi="仿宋_GB2312" w:eastAsia="仿宋_GB2312" w:cs="仿宋_GB2312"/>
          <w:b w:val="0"/>
          <w:bCs/>
          <w:sz w:val="32"/>
          <w:szCs w:val="32"/>
          <w:highlight w:val="none"/>
          <w:lang w:val="en-US" w:eastAsia="zh-CN"/>
        </w:rPr>
        <w:t>25.39</w:t>
      </w:r>
      <w:r>
        <w:rPr>
          <w:rFonts w:hint="eastAsia" w:ascii="Times New Roman" w:hAnsi="Times New Roman" w:eastAsia="仿宋_GB2312" w:cs="Times New Roman"/>
          <w:b w:val="0"/>
          <w:bCs/>
          <w:kern w:val="2"/>
          <w:sz w:val="32"/>
          <w:szCs w:val="32"/>
          <w:highlight w:val="none"/>
          <w:lang w:val="en-US" w:eastAsia="zh-CN" w:bidi="ar-SA"/>
        </w:rPr>
        <w:t>万元，与年初预算相比减少</w:t>
      </w:r>
      <w:r>
        <w:rPr>
          <w:rFonts w:hint="eastAsia" w:ascii="仿宋_GB2312" w:hAnsi="仿宋_GB2312" w:eastAsia="仿宋_GB2312" w:cs="仿宋_GB2312"/>
          <w:b w:val="0"/>
          <w:bCs/>
          <w:sz w:val="32"/>
          <w:szCs w:val="32"/>
          <w:highlight w:val="none"/>
          <w:lang w:val="en-US" w:eastAsia="zh-CN"/>
        </w:rPr>
        <w:t>4.11</w:t>
      </w:r>
      <w:r>
        <w:rPr>
          <w:rFonts w:hint="eastAsia" w:ascii="Times New Roman" w:hAnsi="Times New Roman" w:eastAsia="仿宋_GB2312" w:cs="Times New Roman"/>
          <w:b w:val="0"/>
          <w:bCs/>
          <w:kern w:val="2"/>
          <w:sz w:val="32"/>
          <w:szCs w:val="32"/>
          <w:highlight w:val="none"/>
          <w:lang w:val="en-US" w:eastAsia="zh-CN" w:bidi="ar-SA"/>
        </w:rPr>
        <w:t>万</w:t>
      </w:r>
      <w:r>
        <w:rPr>
          <w:rFonts w:hint="eastAsia" w:eastAsia="仿宋_GB2312"/>
          <w:b w:val="0"/>
          <w:bCs/>
          <w:sz w:val="32"/>
          <w:szCs w:val="32"/>
          <w:highlight w:val="none"/>
        </w:rPr>
        <w:t>元。其中：</w:t>
      </w:r>
    </w:p>
    <w:p>
      <w:pPr>
        <w:pStyle w:val="4"/>
        <w:numPr>
          <w:ilvl w:val="0"/>
          <w:numId w:val="0"/>
        </w:numPr>
        <w:tabs>
          <w:tab w:val="left" w:pos="4275"/>
        </w:tabs>
        <w:spacing w:after="0" w:line="560" w:lineRule="exact"/>
        <w:ind w:firstLine="640" w:firstLineChars="200"/>
        <w:rPr>
          <w:rFonts w:hint="eastAsia" w:eastAsia="仿宋_GB2312" w:cs="Times New Roman"/>
          <w:b w:val="0"/>
          <w:bCs/>
          <w:kern w:val="2"/>
          <w:sz w:val="32"/>
          <w:szCs w:val="32"/>
          <w:highlight w:val="none"/>
          <w:lang w:val="en-US" w:eastAsia="zh-CN" w:bidi="ar-SA"/>
        </w:rPr>
      </w:pPr>
      <w:r>
        <w:rPr>
          <w:rFonts w:hint="eastAsia" w:eastAsia="仿宋_GB2312" w:cs="Times New Roman"/>
          <w:b w:val="0"/>
          <w:bCs/>
          <w:kern w:val="2"/>
          <w:sz w:val="32"/>
          <w:szCs w:val="32"/>
          <w:highlight w:val="none"/>
          <w:lang w:val="en-US" w:eastAsia="zh-CN" w:bidi="ar-SA"/>
        </w:rPr>
        <w:t>1．住房改革支出（款）住房公积金（项）。年初预算</w:t>
      </w:r>
      <w:r>
        <w:rPr>
          <w:rFonts w:hint="eastAsia" w:ascii="仿宋_GB2312" w:hAnsi="仿宋_GB2312" w:eastAsia="仿宋_GB2312" w:cs="仿宋_GB2312"/>
          <w:b w:val="0"/>
          <w:bCs/>
          <w:sz w:val="32"/>
          <w:szCs w:val="32"/>
          <w:highlight w:val="none"/>
          <w:lang w:val="en-US" w:eastAsia="zh-CN"/>
        </w:rPr>
        <w:t>29.50</w:t>
      </w:r>
      <w:r>
        <w:rPr>
          <w:rFonts w:hint="eastAsia" w:eastAsia="仿宋_GB2312" w:cs="Times New Roman"/>
          <w:b w:val="0"/>
          <w:bCs/>
          <w:kern w:val="2"/>
          <w:sz w:val="32"/>
          <w:szCs w:val="32"/>
          <w:highlight w:val="none"/>
          <w:lang w:val="en-US" w:eastAsia="zh-CN" w:bidi="ar-SA"/>
        </w:rPr>
        <w:t>万元，支出决算</w:t>
      </w:r>
      <w:r>
        <w:rPr>
          <w:rFonts w:hint="eastAsia" w:ascii="仿宋_GB2312" w:hAnsi="仿宋_GB2312" w:eastAsia="仿宋_GB2312" w:cs="仿宋_GB2312"/>
          <w:b w:val="0"/>
          <w:bCs/>
          <w:sz w:val="32"/>
          <w:szCs w:val="32"/>
          <w:highlight w:val="none"/>
          <w:lang w:val="en-US" w:eastAsia="zh-CN"/>
        </w:rPr>
        <w:t>25.39</w:t>
      </w:r>
      <w:r>
        <w:rPr>
          <w:rFonts w:hint="eastAsia" w:eastAsia="仿宋_GB2312" w:cs="Times New Roman"/>
          <w:b w:val="0"/>
          <w:bCs/>
          <w:kern w:val="2"/>
          <w:sz w:val="32"/>
          <w:szCs w:val="32"/>
          <w:highlight w:val="none"/>
          <w:lang w:val="en-US" w:eastAsia="zh-CN" w:bidi="ar-SA"/>
        </w:rPr>
        <w:t>万元，完成年初预算的</w:t>
      </w:r>
      <w:r>
        <w:rPr>
          <w:rFonts w:hint="eastAsia" w:ascii="仿宋_GB2312" w:hAnsi="仿宋_GB2312" w:eastAsia="仿宋_GB2312" w:cs="仿宋_GB2312"/>
          <w:b w:val="0"/>
          <w:bCs/>
          <w:sz w:val="32"/>
          <w:szCs w:val="32"/>
          <w:highlight w:val="none"/>
          <w:lang w:val="en-US" w:eastAsia="zh-CN"/>
        </w:rPr>
        <w:t>86.07%</w:t>
      </w:r>
      <w:r>
        <w:rPr>
          <w:rFonts w:hint="eastAsia" w:eastAsia="仿宋_GB2312" w:cs="Times New Roman"/>
          <w:b w:val="0"/>
          <w:bCs/>
          <w:kern w:val="2"/>
          <w:sz w:val="32"/>
          <w:szCs w:val="32"/>
          <w:highlight w:val="none"/>
          <w:lang w:val="en-US" w:eastAsia="zh-CN" w:bidi="ar-SA"/>
        </w:rPr>
        <w:t>。决算数与年初预算数的差异原因：在职人员转退休不再缴纳住房公积金。</w:t>
      </w:r>
    </w:p>
    <w:p>
      <w:pPr>
        <w:pStyle w:val="4"/>
        <w:tabs>
          <w:tab w:val="left" w:pos="4275"/>
        </w:tabs>
        <w:spacing w:after="0" w:line="560" w:lineRule="exact"/>
        <w:ind w:firstLine="640" w:firstLineChars="200"/>
        <w:rPr>
          <w:rFonts w:ascii="楷体" w:hAnsi="楷体" w:eastAsia="楷体" w:cs="楷体"/>
          <w:b w:val="0"/>
          <w:bCs/>
          <w:sz w:val="32"/>
          <w:szCs w:val="32"/>
          <w:highlight w:val="none"/>
        </w:rPr>
      </w:pPr>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val="en-US" w:eastAsia="zh-CN"/>
        </w:rPr>
        <w:t>六</w:t>
      </w:r>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val="en-US" w:eastAsia="zh-CN"/>
        </w:rPr>
        <w:t>农林水支出</w:t>
      </w:r>
      <w:r>
        <w:rPr>
          <w:rFonts w:hint="eastAsia" w:ascii="楷体" w:hAnsi="楷体" w:eastAsia="楷体" w:cs="楷体"/>
          <w:b w:val="0"/>
          <w:bCs/>
          <w:sz w:val="32"/>
          <w:szCs w:val="32"/>
          <w:highlight w:val="none"/>
        </w:rPr>
        <w:t>（类）</w:t>
      </w:r>
    </w:p>
    <w:p>
      <w:pPr>
        <w:pStyle w:val="4"/>
        <w:numPr>
          <w:ilvl w:val="0"/>
          <w:numId w:val="0"/>
        </w:numPr>
        <w:spacing w:after="0" w:line="560" w:lineRule="exact"/>
        <w:ind w:firstLine="640" w:firstLineChars="200"/>
        <w:rPr>
          <w:rFonts w:hint="eastAsia" w:eastAsia="仿宋_GB2312"/>
          <w:b w:val="0"/>
          <w:bCs/>
          <w:sz w:val="32"/>
          <w:szCs w:val="32"/>
          <w:highlight w:val="none"/>
        </w:rPr>
      </w:pPr>
      <w:r>
        <w:rPr>
          <w:rFonts w:hint="eastAsia" w:eastAsia="仿宋_GB2312"/>
          <w:b w:val="0"/>
          <w:bCs/>
          <w:sz w:val="32"/>
          <w:szCs w:val="32"/>
          <w:highlight w:val="none"/>
        </w:rPr>
        <w:t>农林水支类决算数为</w:t>
      </w:r>
      <w:r>
        <w:rPr>
          <w:rFonts w:hint="eastAsia" w:ascii="仿宋_GB2312" w:hAnsi="仿宋_GB2312" w:eastAsia="仿宋_GB2312" w:cs="仿宋_GB2312"/>
          <w:b w:val="0"/>
          <w:bCs/>
          <w:sz w:val="32"/>
          <w:szCs w:val="32"/>
          <w:highlight w:val="none"/>
        </w:rPr>
        <w:t>3.02</w:t>
      </w:r>
      <w:r>
        <w:rPr>
          <w:rFonts w:hint="eastAsia" w:eastAsia="仿宋_GB2312"/>
          <w:b w:val="0"/>
          <w:bCs/>
          <w:sz w:val="32"/>
          <w:szCs w:val="32"/>
          <w:highlight w:val="none"/>
        </w:rPr>
        <w:t>万元，与年初预算数相比增加</w:t>
      </w:r>
      <w:r>
        <w:rPr>
          <w:rFonts w:hint="eastAsia" w:ascii="仿宋_GB2312" w:hAnsi="仿宋_GB2312" w:eastAsia="仿宋_GB2312" w:cs="仿宋_GB2312"/>
          <w:b w:val="0"/>
          <w:bCs/>
          <w:sz w:val="32"/>
          <w:szCs w:val="32"/>
          <w:highlight w:val="none"/>
        </w:rPr>
        <w:t>3.02</w:t>
      </w:r>
      <w:r>
        <w:rPr>
          <w:rFonts w:hint="eastAsia" w:eastAsia="仿宋_GB2312"/>
          <w:b w:val="0"/>
          <w:bCs/>
          <w:sz w:val="32"/>
          <w:szCs w:val="32"/>
          <w:highlight w:val="none"/>
        </w:rPr>
        <w:t>万元，其中：</w:t>
      </w:r>
    </w:p>
    <w:p>
      <w:pPr>
        <w:pStyle w:val="4"/>
        <w:numPr>
          <w:ilvl w:val="0"/>
          <w:numId w:val="0"/>
        </w:numPr>
        <w:spacing w:after="0" w:line="560" w:lineRule="exact"/>
        <w:ind w:firstLine="640" w:firstLineChars="200"/>
        <w:rPr>
          <w:rFonts w:hint="eastAsia" w:ascii="Times New Roman" w:hAnsi="Times New Roman" w:eastAsia="仿宋_GB2312" w:cs="仿宋"/>
          <w:b w:val="0"/>
          <w:bCs/>
          <w:sz w:val="32"/>
          <w:szCs w:val="32"/>
          <w:highlight w:val="none"/>
          <w:lang w:eastAsia="zh-CN"/>
        </w:rPr>
      </w:pPr>
      <w:r>
        <w:rPr>
          <w:rFonts w:hint="eastAsia" w:eastAsia="仿宋_GB2312"/>
          <w:b w:val="0"/>
          <w:bCs/>
          <w:sz w:val="32"/>
          <w:szCs w:val="32"/>
          <w:highlight w:val="none"/>
        </w:rPr>
        <w:t>1．巩固脱贫衔接乡村振兴（款）其他巩固脱贫衔接乡村振兴支出（项）。年初预算0万元，支出决算数为</w:t>
      </w:r>
      <w:r>
        <w:rPr>
          <w:rFonts w:hint="eastAsia" w:ascii="仿宋_GB2312" w:hAnsi="仿宋_GB2312" w:eastAsia="仿宋_GB2312" w:cs="仿宋_GB2312"/>
          <w:b w:val="0"/>
          <w:bCs/>
          <w:sz w:val="32"/>
          <w:szCs w:val="32"/>
          <w:highlight w:val="none"/>
        </w:rPr>
        <w:t>3.02</w:t>
      </w:r>
      <w:r>
        <w:rPr>
          <w:rFonts w:hint="eastAsia" w:eastAsia="仿宋_GB2312"/>
          <w:b w:val="0"/>
          <w:bCs/>
          <w:sz w:val="32"/>
          <w:szCs w:val="32"/>
          <w:highlight w:val="none"/>
        </w:rPr>
        <w:t>万元，决算数与年初预算数的差异原因：乡村振兴人员扶贫补助追加指标。</w:t>
      </w:r>
    </w:p>
    <w:p>
      <w:pPr>
        <w:spacing w:line="600" w:lineRule="exact"/>
        <w:ind w:left="0" w:leftChars="0" w:firstLine="640" w:firstLineChars="200"/>
        <w:outlineLvl w:val="2"/>
        <w:rPr>
          <w:rFonts w:eastAsia="黑体" w:cs="黑体"/>
          <w:b w:val="0"/>
          <w:bCs/>
          <w:sz w:val="32"/>
          <w:szCs w:val="36"/>
          <w:highlight w:val="none"/>
        </w:rPr>
      </w:pPr>
      <w:r>
        <w:rPr>
          <w:rFonts w:hint="eastAsia" w:eastAsia="黑体" w:cs="黑体"/>
          <w:b w:val="0"/>
          <w:bCs/>
          <w:sz w:val="32"/>
          <w:szCs w:val="36"/>
          <w:highlight w:val="none"/>
        </w:rPr>
        <w:t>六、一般公共预算财政拨款基本支出决算情况说明</w:t>
      </w:r>
    </w:p>
    <w:p>
      <w:pPr>
        <w:pStyle w:val="4"/>
        <w:spacing w:after="0" w:line="560" w:lineRule="exact"/>
        <w:ind w:firstLine="640" w:firstLineChars="200"/>
        <w:rPr>
          <w:rFonts w:hint="eastAsia" w:ascii="仿宋_GB2312" w:hAnsi="仿宋_GB2312" w:eastAsia="仿宋_GB2312" w:cs="仿宋"/>
          <w:b w:val="0"/>
          <w:bCs/>
          <w:sz w:val="32"/>
          <w:szCs w:val="32"/>
          <w:highlight w:val="none"/>
          <w:u w:val="none"/>
          <w:lang w:eastAsia="zh-CN"/>
        </w:rPr>
      </w:pPr>
      <w:r>
        <w:rPr>
          <w:rFonts w:hint="eastAsia" w:ascii="仿宋_GB2312" w:hAnsi="仿宋_GB2312" w:eastAsia="仿宋_GB2312" w:cs="仿宋"/>
          <w:b w:val="0"/>
          <w:bCs/>
          <w:sz w:val="32"/>
          <w:szCs w:val="32"/>
          <w:highlight w:val="none"/>
          <w:u w:val="none"/>
          <w:lang w:eastAsia="zh-CN"/>
        </w:rPr>
        <w:t>赤峰市公共资源交易中心2024年度一般公共预算财政拨款基本支出决算 1121.40万元，其中：</w:t>
      </w:r>
    </w:p>
    <w:p>
      <w:pPr>
        <w:spacing w:line="600" w:lineRule="exact"/>
        <w:ind w:left="0" w:leftChars="0" w:firstLine="640" w:firstLineChars="200"/>
        <w:outlineLvl w:val="2"/>
        <w:rPr>
          <w:rFonts w:hint="eastAsia" w:ascii="仿宋_GB2312" w:hAnsi="仿宋_GB2312" w:eastAsia="仿宋_GB2312" w:cs="仿宋_GB2312"/>
          <w:b w:val="0"/>
          <w:bCs/>
          <w:kern w:val="2"/>
          <w:sz w:val="32"/>
          <w:szCs w:val="32"/>
          <w:highlight w:val="none"/>
          <w:lang w:val="en-US" w:eastAsia="zh-CN" w:bidi="ar-SA"/>
        </w:rPr>
      </w:pPr>
      <w:r>
        <w:rPr>
          <w:rFonts w:hint="eastAsia" w:ascii="楷体" w:hAnsi="楷体" w:eastAsia="楷体" w:cs="楷体"/>
          <w:b w:val="0"/>
          <w:bCs/>
          <w:kern w:val="2"/>
          <w:sz w:val="32"/>
          <w:szCs w:val="32"/>
          <w:highlight w:val="none"/>
          <w:lang w:val="en-US" w:eastAsia="zh-CN" w:bidi="ar-SA"/>
        </w:rPr>
        <w:t>（一）人员经费 503.14万元。</w:t>
      </w:r>
      <w:r>
        <w:rPr>
          <w:rFonts w:hint="eastAsia" w:ascii="仿宋_GB2312" w:hAnsi="仿宋_GB2312" w:eastAsia="仿宋_GB2312" w:cs="仿宋_GB2312"/>
          <w:b w:val="0"/>
          <w:bCs/>
          <w:kern w:val="2"/>
          <w:sz w:val="32"/>
          <w:szCs w:val="32"/>
          <w:highlight w:val="none"/>
          <w:lang w:val="en-US" w:eastAsia="zh-CN" w:bidi="ar-SA"/>
        </w:rPr>
        <w:t>主要包括：基本工资103.05万元、津贴补贴35.09万元、奖金22.26万元、绩效工资67.36万元、机关事业单位基本养老保险缴费29.92万元、职业年金缴费17.86万元、职工基本医疗保险缴费15.61万元、其他社会保障缴费1.33万元、住房公积金25.39万元、其他工资福利支出164万元、对个人和家庭的补助21.26万元。</w:t>
      </w:r>
    </w:p>
    <w:p>
      <w:pPr>
        <w:spacing w:line="600" w:lineRule="exact"/>
        <w:ind w:left="0" w:leftChars="0" w:firstLine="640" w:firstLineChars="200"/>
        <w:outlineLvl w:val="2"/>
        <w:rPr>
          <w:rFonts w:hint="eastAsia" w:ascii="仿宋_GB2312" w:hAnsi="仿宋_GB2312" w:eastAsia="仿宋_GB2312" w:cs="仿宋_GB2312"/>
          <w:b w:val="0"/>
          <w:bCs/>
          <w:kern w:val="2"/>
          <w:sz w:val="32"/>
          <w:szCs w:val="32"/>
          <w:highlight w:val="none"/>
          <w:lang w:val="en-US" w:eastAsia="zh-CN" w:bidi="ar-SA"/>
        </w:rPr>
      </w:pPr>
      <w:r>
        <w:rPr>
          <w:rFonts w:hint="eastAsia" w:ascii="楷体" w:hAnsi="楷体" w:eastAsia="楷体" w:cs="楷体"/>
          <w:b w:val="0"/>
          <w:bCs/>
          <w:kern w:val="2"/>
          <w:sz w:val="32"/>
          <w:szCs w:val="32"/>
          <w:highlight w:val="none"/>
          <w:lang w:val="en-US" w:eastAsia="zh-CN" w:bidi="ar-SA"/>
        </w:rPr>
        <w:t>  （二）公用经费 618.26万元。</w:t>
      </w:r>
      <w:r>
        <w:rPr>
          <w:rFonts w:hint="eastAsia" w:ascii="仿宋_GB2312" w:hAnsi="仿宋_GB2312" w:eastAsia="仿宋_GB2312" w:cs="仿宋_GB2312"/>
          <w:b w:val="0"/>
          <w:bCs/>
          <w:kern w:val="2"/>
          <w:sz w:val="32"/>
          <w:szCs w:val="32"/>
          <w:highlight w:val="none"/>
          <w:lang w:val="en-US" w:eastAsia="zh-CN" w:bidi="ar-SA"/>
        </w:rPr>
        <w:t>主要包括：办公费40.54万元、印刷费2.99万元、水费1.76万元、电费18.27万元、邮电费2.01万元、取暖费23.71万元、物业管理费17.50万元、差旅费6.33万元、维修（护）费1.05万元、租赁费475.19万元、培训费7.99万元、福利费8.93万元、其他商品和服务支出0.7万元、办公设备购置11.31万元。</w:t>
      </w:r>
    </w:p>
    <w:p>
      <w:pPr>
        <w:spacing w:line="600" w:lineRule="exact"/>
        <w:ind w:left="0" w:leftChars="0" w:firstLine="640" w:firstLineChars="200"/>
        <w:outlineLvl w:val="2"/>
        <w:rPr>
          <w:rFonts w:eastAsia="黑体" w:cs="黑体"/>
          <w:b w:val="0"/>
          <w:bCs/>
          <w:sz w:val="32"/>
          <w:szCs w:val="36"/>
          <w:highlight w:val="none"/>
        </w:rPr>
      </w:pPr>
      <w:r>
        <w:rPr>
          <w:rFonts w:hint="eastAsia" w:eastAsia="黑体" w:cs="黑体"/>
          <w:b w:val="0"/>
          <w:bCs/>
          <w:sz w:val="32"/>
          <w:szCs w:val="36"/>
          <w:highlight w:val="none"/>
        </w:rPr>
        <w:t>七、一般公共预算财政拨款项目支出决算情况说明</w:t>
      </w:r>
    </w:p>
    <w:p>
      <w:pPr>
        <w:pStyle w:val="4"/>
        <w:numPr>
          <w:ilvl w:val="0"/>
          <w:numId w:val="0"/>
        </w:numPr>
        <w:spacing w:after="0" w:line="560" w:lineRule="exact"/>
        <w:ind w:firstLine="640" w:firstLineChars="200"/>
        <w:rPr>
          <w:rFonts w:hint="eastAsia" w:ascii="仿宋_GB2312" w:hAnsi="仿宋_GB2312" w:eastAsia="仿宋_GB2312" w:cs="仿宋"/>
          <w:b w:val="0"/>
          <w:bCs/>
          <w:sz w:val="32"/>
          <w:szCs w:val="32"/>
          <w:highlight w:val="none"/>
          <w:u w:val="none"/>
          <w:lang w:eastAsia="zh-CN"/>
        </w:rPr>
      </w:pPr>
      <w:r>
        <w:rPr>
          <w:rFonts w:hint="eastAsia" w:ascii="仿宋_GB2312" w:hAnsi="仿宋_GB2312" w:eastAsia="仿宋_GB2312" w:cs="仿宋"/>
          <w:b w:val="0"/>
          <w:bCs/>
          <w:sz w:val="32"/>
          <w:szCs w:val="32"/>
          <w:highlight w:val="none"/>
          <w:u w:val="none"/>
          <w:lang w:eastAsia="zh-CN"/>
        </w:rPr>
        <w:t>赤峰市公共资源交易中心 2024年度一般公共预算财政拨款项目支出决算342.53万元，其中：</w:t>
      </w:r>
    </w:p>
    <w:p>
      <w:pPr>
        <w:pStyle w:val="4"/>
        <w:numPr>
          <w:ilvl w:val="0"/>
          <w:numId w:val="0"/>
        </w:numPr>
        <w:spacing w:after="0" w:line="560" w:lineRule="exact"/>
        <w:ind w:firstLine="640" w:firstLineChars="200"/>
        <w:rPr>
          <w:rFonts w:hint="eastAsia" w:ascii="楷体" w:hAnsi="楷体" w:eastAsia="楷体" w:cs="楷体"/>
          <w:b w:val="0"/>
          <w:bCs/>
          <w:kern w:val="2"/>
          <w:sz w:val="32"/>
          <w:szCs w:val="32"/>
          <w:highlight w:val="none"/>
          <w:lang w:val="en-US" w:eastAsia="zh-CN" w:bidi="ar-SA"/>
        </w:rPr>
      </w:pPr>
      <w:r>
        <w:rPr>
          <w:rFonts w:hint="eastAsia" w:ascii="楷体" w:hAnsi="楷体" w:eastAsia="楷体" w:cs="楷体"/>
          <w:b w:val="0"/>
          <w:bCs/>
          <w:kern w:val="2"/>
          <w:sz w:val="32"/>
          <w:szCs w:val="32"/>
          <w:highlight w:val="none"/>
          <w:lang w:val="en-US" w:eastAsia="zh-CN" w:bidi="ar-SA"/>
        </w:rPr>
        <w:t>（一）工资福利支出 0万元。不存在此项内容。</w:t>
      </w:r>
    </w:p>
    <w:p>
      <w:pPr>
        <w:pStyle w:val="4"/>
        <w:numPr>
          <w:ilvl w:val="0"/>
          <w:numId w:val="0"/>
        </w:numPr>
        <w:spacing w:after="0" w:line="560" w:lineRule="exact"/>
        <w:ind w:firstLine="640" w:firstLineChars="200"/>
        <w:rPr>
          <w:rFonts w:hint="eastAsia" w:ascii="仿宋_GB2312" w:hAnsi="仿宋_GB2312" w:eastAsia="仿宋_GB2312" w:cs="仿宋_GB2312"/>
          <w:b w:val="0"/>
          <w:bCs/>
          <w:kern w:val="2"/>
          <w:sz w:val="32"/>
          <w:szCs w:val="32"/>
          <w:highlight w:val="none"/>
          <w:lang w:val="en-US" w:eastAsia="zh-CN" w:bidi="ar-SA"/>
        </w:rPr>
      </w:pPr>
      <w:r>
        <w:rPr>
          <w:rFonts w:hint="eastAsia" w:ascii="楷体" w:hAnsi="楷体" w:eastAsia="楷体" w:cs="楷体"/>
          <w:b w:val="0"/>
          <w:bCs/>
          <w:kern w:val="2"/>
          <w:sz w:val="32"/>
          <w:szCs w:val="32"/>
          <w:highlight w:val="none"/>
          <w:lang w:val="en-US" w:eastAsia="zh-CN" w:bidi="ar-SA"/>
        </w:rPr>
        <w:t>（二）商品和服务支出 217.44万元。主要包括：</w:t>
      </w:r>
      <w:r>
        <w:rPr>
          <w:rFonts w:hint="eastAsia" w:ascii="仿宋_GB2312" w:hAnsi="仿宋_GB2312" w:eastAsia="仿宋_GB2312" w:cs="仿宋"/>
          <w:b w:val="0"/>
          <w:bCs/>
          <w:sz w:val="32"/>
          <w:szCs w:val="32"/>
          <w:highlight w:val="none"/>
          <w:u w:val="none"/>
          <w:lang w:val="en-US" w:eastAsia="zh-CN"/>
        </w:rPr>
        <w:t>咨询费3万元、 维修（护）费102.19万元、租赁费2.50万</w:t>
      </w:r>
      <w:r>
        <w:rPr>
          <w:rFonts w:hint="eastAsia" w:ascii="仿宋_GB2312" w:hAnsi="仿宋_GB2312" w:eastAsia="仿宋_GB2312" w:cs="仿宋_GB2312"/>
          <w:b w:val="0"/>
          <w:bCs/>
          <w:kern w:val="2"/>
          <w:sz w:val="32"/>
          <w:szCs w:val="32"/>
          <w:highlight w:val="none"/>
          <w:lang w:val="en-US" w:eastAsia="zh-CN" w:bidi="ar-SA"/>
        </w:rPr>
        <w:t>元、劳务费10.80万元、委托业务费98.96万元、对个人和家庭的补助0.40万元、办公设备购置67.57万元、信息网络及软件购置更新57.12万元。   </w:t>
      </w:r>
    </w:p>
    <w:p>
      <w:pPr>
        <w:spacing w:line="600" w:lineRule="exact"/>
        <w:ind w:left="0" w:leftChars="0" w:firstLine="540" w:firstLineChars="200"/>
        <w:outlineLvl w:val="2"/>
        <w:rPr>
          <w:rFonts w:eastAsia="黑体" w:cs="黑体"/>
          <w:b w:val="0"/>
          <w:bCs/>
          <w:sz w:val="32"/>
          <w:szCs w:val="36"/>
          <w:highlight w:val="none"/>
        </w:rPr>
      </w:pPr>
      <w:r>
        <w:rPr>
          <w:rFonts w:ascii="Calibri" w:hAnsi="Calibri" w:eastAsia="Calibri" w:cs="Calibri"/>
          <w:b w:val="0"/>
          <w:bCs/>
          <w:kern w:val="0"/>
          <w:sz w:val="27"/>
          <w:szCs w:val="27"/>
          <w:highlight w:val="none"/>
        </w:rPr>
        <w:t> </w:t>
      </w:r>
      <w:r>
        <w:rPr>
          <w:rFonts w:hint="eastAsia" w:eastAsia="黑体" w:cs="黑体"/>
          <w:b w:val="0"/>
          <w:bCs/>
          <w:sz w:val="32"/>
          <w:szCs w:val="36"/>
          <w:highlight w:val="none"/>
          <w:lang w:val="en-US" w:eastAsia="zh-CN"/>
        </w:rPr>
        <w:t>八</w:t>
      </w:r>
      <w:r>
        <w:rPr>
          <w:rFonts w:hint="eastAsia" w:eastAsia="黑体" w:cs="黑体"/>
          <w:b w:val="0"/>
          <w:bCs/>
          <w:sz w:val="32"/>
          <w:szCs w:val="36"/>
          <w:highlight w:val="none"/>
        </w:rPr>
        <w:t>、财政拨款“三公”经费支出决算情况说明</w:t>
      </w:r>
    </w:p>
    <w:p>
      <w:pPr>
        <w:keepNext/>
        <w:keepLines/>
        <w:adjustRightInd w:val="0"/>
        <w:snapToGrid w:val="0"/>
        <w:spacing w:line="560" w:lineRule="exact"/>
        <w:ind w:firstLine="643"/>
        <w:rPr>
          <w:rFonts w:eastAsia="楷体"/>
          <w:b w:val="0"/>
          <w:bCs/>
          <w:sz w:val="32"/>
          <w:szCs w:val="32"/>
          <w:highlight w:val="none"/>
        </w:rPr>
      </w:pPr>
      <w:r>
        <w:rPr>
          <w:rFonts w:hint="eastAsia" w:eastAsia="楷体"/>
          <w:b w:val="0"/>
          <w:bCs/>
          <w:sz w:val="32"/>
          <w:szCs w:val="32"/>
          <w:highlight w:val="none"/>
        </w:rPr>
        <w:t>（一）财政拨款“三公”经费支出总体情况说明。</w:t>
      </w:r>
    </w:p>
    <w:p>
      <w:pPr>
        <w:pStyle w:val="4"/>
        <w:spacing w:after="0" w:line="560" w:lineRule="exact"/>
        <w:ind w:firstLine="640" w:firstLineChars="200"/>
        <w:rPr>
          <w:rFonts w:ascii="Times New Roman" w:hAnsi="Times New Roman" w:eastAsia="仿宋_GB2312" w:cs="仿宋"/>
          <w:b w:val="0"/>
          <w:bCs/>
          <w:sz w:val="32"/>
          <w:szCs w:val="32"/>
          <w:highlight w:val="none"/>
          <w:u w:val="none"/>
        </w:rPr>
      </w:pPr>
      <w:r>
        <w:rPr>
          <w:rFonts w:hint="eastAsia" w:ascii="仿宋_GB2312" w:hAnsi="仿宋_GB2312" w:eastAsia="仿宋_GB2312" w:cs="仿宋"/>
          <w:b w:val="0"/>
          <w:bCs/>
          <w:sz w:val="32"/>
          <w:szCs w:val="32"/>
          <w:highlight w:val="none"/>
          <w:u w:val="none"/>
          <w:lang w:eastAsia="zh-CN"/>
        </w:rPr>
        <w:t>赤峰市公共资源交易中心 2024年度财政拨款“三公”经费全年预算</w:t>
      </w:r>
      <w:r>
        <w:rPr>
          <w:rFonts w:hint="eastAsia" w:ascii="仿宋_GB2312" w:hAnsi="仿宋_GB2312" w:eastAsia="仿宋_GB2312" w:cs="仿宋"/>
          <w:b w:val="0"/>
          <w:bCs/>
          <w:sz w:val="32"/>
          <w:szCs w:val="32"/>
          <w:highlight w:val="none"/>
          <w:u w:val="none"/>
          <w:lang w:val="en-US" w:eastAsia="zh-CN"/>
        </w:rPr>
        <w:t>0</w:t>
      </w:r>
      <w:r>
        <w:rPr>
          <w:rFonts w:hint="eastAsia" w:ascii="仿宋_GB2312" w:hAnsi="仿宋_GB2312" w:eastAsia="仿宋_GB2312" w:cs="仿宋"/>
          <w:b w:val="0"/>
          <w:bCs/>
          <w:sz w:val="32"/>
          <w:szCs w:val="32"/>
          <w:highlight w:val="none"/>
          <w:u w:val="none"/>
          <w:lang w:eastAsia="zh-CN"/>
        </w:rPr>
        <w:t>万元，支出决算 </w:t>
      </w:r>
      <w:r>
        <w:rPr>
          <w:rFonts w:hint="eastAsia" w:ascii="仿宋_GB2312" w:hAnsi="仿宋_GB2312" w:eastAsia="仿宋_GB2312" w:cs="仿宋"/>
          <w:b w:val="0"/>
          <w:bCs/>
          <w:sz w:val="32"/>
          <w:szCs w:val="32"/>
          <w:highlight w:val="none"/>
          <w:u w:val="none"/>
          <w:lang w:val="en-US" w:eastAsia="zh-CN"/>
        </w:rPr>
        <w:t>0</w:t>
      </w:r>
      <w:r>
        <w:rPr>
          <w:rFonts w:hint="eastAsia" w:ascii="仿宋_GB2312" w:hAnsi="仿宋_GB2312" w:eastAsia="仿宋_GB2312" w:cs="仿宋"/>
          <w:b w:val="0"/>
          <w:bCs/>
          <w:sz w:val="32"/>
          <w:szCs w:val="32"/>
          <w:highlight w:val="none"/>
          <w:u w:val="none"/>
          <w:lang w:eastAsia="zh-CN"/>
        </w:rPr>
        <w:t>万元，其中：因公出国（境）费全年预算</w:t>
      </w:r>
      <w:r>
        <w:rPr>
          <w:rFonts w:hint="eastAsia" w:ascii="仿宋_GB2312" w:hAnsi="仿宋_GB2312" w:eastAsia="仿宋_GB2312" w:cs="仿宋"/>
          <w:b w:val="0"/>
          <w:bCs/>
          <w:sz w:val="32"/>
          <w:szCs w:val="32"/>
          <w:highlight w:val="none"/>
          <w:u w:val="none"/>
          <w:lang w:val="en-US" w:eastAsia="zh-CN"/>
        </w:rPr>
        <w:t>0</w:t>
      </w:r>
      <w:r>
        <w:rPr>
          <w:rFonts w:hint="eastAsia" w:ascii="仿宋_GB2312" w:hAnsi="仿宋_GB2312" w:eastAsia="仿宋_GB2312" w:cs="仿宋"/>
          <w:b w:val="0"/>
          <w:bCs/>
          <w:sz w:val="32"/>
          <w:szCs w:val="32"/>
          <w:highlight w:val="none"/>
          <w:u w:val="none"/>
          <w:lang w:eastAsia="zh-CN"/>
        </w:rPr>
        <w:t>万元，支出决算</w:t>
      </w:r>
      <w:r>
        <w:rPr>
          <w:rFonts w:hint="eastAsia" w:ascii="仿宋_GB2312" w:hAnsi="仿宋_GB2312" w:eastAsia="仿宋_GB2312" w:cs="仿宋"/>
          <w:b w:val="0"/>
          <w:bCs/>
          <w:sz w:val="32"/>
          <w:szCs w:val="32"/>
          <w:highlight w:val="none"/>
          <w:u w:val="none"/>
          <w:lang w:val="en-US" w:eastAsia="zh-CN"/>
        </w:rPr>
        <w:t>0</w:t>
      </w:r>
      <w:r>
        <w:rPr>
          <w:rFonts w:hint="eastAsia" w:ascii="仿宋_GB2312" w:hAnsi="仿宋_GB2312" w:eastAsia="仿宋_GB2312" w:cs="仿宋"/>
          <w:b w:val="0"/>
          <w:bCs/>
          <w:sz w:val="32"/>
          <w:szCs w:val="32"/>
          <w:highlight w:val="none"/>
          <w:u w:val="none"/>
          <w:lang w:eastAsia="zh-CN"/>
        </w:rPr>
        <w:t>万元；公务用车购置及运行维护费全年预算</w:t>
      </w:r>
      <w:r>
        <w:rPr>
          <w:rFonts w:hint="eastAsia" w:ascii="仿宋_GB2312" w:hAnsi="仿宋_GB2312" w:eastAsia="仿宋_GB2312" w:cs="仿宋"/>
          <w:b w:val="0"/>
          <w:bCs/>
          <w:sz w:val="32"/>
          <w:szCs w:val="32"/>
          <w:highlight w:val="none"/>
          <w:u w:val="none"/>
          <w:lang w:val="en-US" w:eastAsia="zh-CN"/>
        </w:rPr>
        <w:t>0</w:t>
      </w:r>
      <w:r>
        <w:rPr>
          <w:rFonts w:hint="eastAsia" w:ascii="仿宋_GB2312" w:hAnsi="仿宋_GB2312" w:eastAsia="仿宋_GB2312" w:cs="仿宋"/>
          <w:b w:val="0"/>
          <w:bCs/>
          <w:sz w:val="32"/>
          <w:szCs w:val="32"/>
          <w:highlight w:val="none"/>
          <w:u w:val="none"/>
          <w:lang w:eastAsia="zh-CN"/>
        </w:rPr>
        <w:t>万元，支出决算 </w:t>
      </w:r>
      <w:r>
        <w:rPr>
          <w:rFonts w:hint="eastAsia" w:ascii="仿宋_GB2312" w:hAnsi="仿宋_GB2312" w:eastAsia="仿宋_GB2312" w:cs="仿宋"/>
          <w:b w:val="0"/>
          <w:bCs/>
          <w:sz w:val="32"/>
          <w:szCs w:val="32"/>
          <w:highlight w:val="none"/>
          <w:u w:val="none"/>
          <w:lang w:val="en-US" w:eastAsia="zh-CN"/>
        </w:rPr>
        <w:t>0</w:t>
      </w:r>
      <w:r>
        <w:rPr>
          <w:rFonts w:hint="eastAsia" w:ascii="仿宋_GB2312" w:hAnsi="仿宋_GB2312" w:eastAsia="仿宋_GB2312" w:cs="仿宋"/>
          <w:b w:val="0"/>
          <w:bCs/>
          <w:sz w:val="32"/>
          <w:szCs w:val="32"/>
          <w:highlight w:val="none"/>
          <w:u w:val="none"/>
          <w:lang w:eastAsia="zh-CN"/>
        </w:rPr>
        <w:t>万元；公务接待费全年预算</w:t>
      </w:r>
      <w:r>
        <w:rPr>
          <w:rFonts w:hint="eastAsia" w:ascii="仿宋_GB2312" w:hAnsi="仿宋_GB2312" w:eastAsia="仿宋_GB2312" w:cs="仿宋"/>
          <w:b w:val="0"/>
          <w:bCs/>
          <w:sz w:val="32"/>
          <w:szCs w:val="32"/>
          <w:highlight w:val="none"/>
          <w:u w:val="none"/>
          <w:lang w:val="en-US" w:eastAsia="zh-CN"/>
        </w:rPr>
        <w:t>0</w:t>
      </w:r>
      <w:r>
        <w:rPr>
          <w:rFonts w:hint="eastAsia" w:ascii="仿宋_GB2312" w:hAnsi="仿宋_GB2312" w:eastAsia="仿宋_GB2312" w:cs="仿宋"/>
          <w:b w:val="0"/>
          <w:bCs/>
          <w:sz w:val="32"/>
          <w:szCs w:val="32"/>
          <w:highlight w:val="none"/>
          <w:u w:val="none"/>
          <w:lang w:eastAsia="zh-CN"/>
        </w:rPr>
        <w:t>万元，支出决算</w:t>
      </w:r>
      <w:r>
        <w:rPr>
          <w:rFonts w:hint="eastAsia" w:ascii="仿宋_GB2312" w:hAnsi="仿宋_GB2312" w:eastAsia="仿宋_GB2312" w:cs="仿宋"/>
          <w:b w:val="0"/>
          <w:bCs/>
          <w:sz w:val="32"/>
          <w:szCs w:val="32"/>
          <w:highlight w:val="none"/>
          <w:u w:val="none"/>
          <w:lang w:val="en-US" w:eastAsia="zh-CN"/>
        </w:rPr>
        <w:t>0</w:t>
      </w:r>
      <w:r>
        <w:rPr>
          <w:rFonts w:hint="eastAsia" w:ascii="仿宋_GB2312" w:hAnsi="仿宋_GB2312" w:eastAsia="仿宋_GB2312" w:cs="仿宋"/>
          <w:b w:val="0"/>
          <w:bCs/>
          <w:sz w:val="32"/>
          <w:szCs w:val="32"/>
          <w:highlight w:val="none"/>
          <w:u w:val="none"/>
          <w:lang w:eastAsia="zh-CN"/>
        </w:rPr>
        <w:t>万元。2024年度一般公共预算财政拨款“三公”经费支出决算与预算差异原因：不存在此项内容。</w:t>
      </w:r>
    </w:p>
    <w:p>
      <w:pPr>
        <w:keepNext/>
        <w:keepLines/>
        <w:adjustRightInd w:val="0"/>
        <w:snapToGrid w:val="0"/>
        <w:spacing w:line="560" w:lineRule="exact"/>
        <w:ind w:firstLine="643"/>
        <w:rPr>
          <w:rFonts w:eastAsia="楷体"/>
          <w:b w:val="0"/>
          <w:bCs/>
          <w:sz w:val="32"/>
          <w:szCs w:val="32"/>
          <w:highlight w:val="none"/>
        </w:rPr>
      </w:pPr>
      <w:r>
        <w:rPr>
          <w:rFonts w:hint="eastAsia" w:eastAsia="楷体"/>
          <w:b w:val="0"/>
          <w:bCs/>
          <w:sz w:val="32"/>
          <w:szCs w:val="32"/>
          <w:highlight w:val="none"/>
        </w:rPr>
        <w:t>（二）财政拨款“三公”经费支出具体情况说明。</w:t>
      </w:r>
    </w:p>
    <w:p>
      <w:pPr>
        <w:pStyle w:val="4"/>
        <w:spacing w:after="0" w:line="560" w:lineRule="exact"/>
        <w:ind w:firstLine="640" w:firstLineChars="200"/>
        <w:rPr>
          <w:rFonts w:hint="eastAsia" w:ascii="仿宋_GB2312" w:hAnsi="仿宋_GB2312" w:eastAsia="仿宋_GB2312" w:cs="仿宋"/>
          <w:b w:val="0"/>
          <w:bCs/>
          <w:sz w:val="32"/>
          <w:szCs w:val="32"/>
          <w:highlight w:val="none"/>
          <w:u w:val="none"/>
          <w:lang w:eastAsia="zh-CN"/>
        </w:rPr>
      </w:pPr>
      <w:r>
        <w:rPr>
          <w:rFonts w:hint="eastAsia" w:ascii="仿宋_GB2312" w:hAnsi="仿宋_GB2312" w:eastAsia="仿宋_GB2312" w:cs="仿宋"/>
          <w:b w:val="0"/>
          <w:bCs/>
          <w:sz w:val="32"/>
          <w:szCs w:val="32"/>
          <w:highlight w:val="none"/>
          <w:u w:val="none"/>
          <w:lang w:eastAsia="zh-CN"/>
        </w:rPr>
        <w:t>赤峰市公共资源交易中心 2024年度财政拨款“三公”经费支出</w:t>
      </w:r>
      <w:r>
        <w:rPr>
          <w:rFonts w:hint="eastAsia" w:ascii="仿宋_GB2312" w:hAnsi="仿宋_GB2312" w:eastAsia="仿宋_GB2312" w:cs="仿宋"/>
          <w:b w:val="0"/>
          <w:bCs/>
          <w:sz w:val="32"/>
          <w:szCs w:val="32"/>
          <w:highlight w:val="none"/>
          <w:u w:val="none"/>
          <w:lang w:val="en-US" w:eastAsia="zh-CN"/>
        </w:rPr>
        <w:t>0</w:t>
      </w:r>
      <w:r>
        <w:rPr>
          <w:rFonts w:hint="eastAsia" w:ascii="仿宋_GB2312" w:hAnsi="仿宋_GB2312" w:eastAsia="仿宋_GB2312" w:cs="仿宋"/>
          <w:b w:val="0"/>
          <w:bCs/>
          <w:sz w:val="32"/>
          <w:szCs w:val="32"/>
          <w:highlight w:val="none"/>
          <w:u w:val="none"/>
          <w:lang w:eastAsia="zh-CN"/>
        </w:rPr>
        <w:t>万元。因公出国（境）费支出 </w:t>
      </w:r>
      <w:r>
        <w:rPr>
          <w:rFonts w:hint="eastAsia" w:ascii="仿宋_GB2312" w:hAnsi="仿宋_GB2312" w:eastAsia="仿宋_GB2312" w:cs="仿宋"/>
          <w:b w:val="0"/>
          <w:bCs/>
          <w:sz w:val="32"/>
          <w:szCs w:val="32"/>
          <w:highlight w:val="none"/>
          <w:u w:val="none"/>
          <w:lang w:val="en-US" w:eastAsia="zh-CN"/>
        </w:rPr>
        <w:t>0</w:t>
      </w:r>
      <w:r>
        <w:rPr>
          <w:rFonts w:hint="eastAsia" w:ascii="仿宋_GB2312" w:hAnsi="仿宋_GB2312" w:eastAsia="仿宋_GB2312" w:cs="仿宋"/>
          <w:b w:val="0"/>
          <w:bCs/>
          <w:sz w:val="32"/>
          <w:szCs w:val="32"/>
          <w:highlight w:val="none"/>
          <w:u w:val="none"/>
          <w:lang w:eastAsia="zh-CN"/>
        </w:rPr>
        <w:t>万元；公务用车购置及运行维护费支出 </w:t>
      </w:r>
      <w:r>
        <w:rPr>
          <w:rFonts w:hint="eastAsia" w:ascii="仿宋_GB2312" w:hAnsi="仿宋_GB2312" w:eastAsia="仿宋_GB2312" w:cs="仿宋"/>
          <w:b w:val="0"/>
          <w:bCs/>
          <w:sz w:val="32"/>
          <w:szCs w:val="32"/>
          <w:highlight w:val="none"/>
          <w:u w:val="none"/>
          <w:lang w:val="en-US" w:eastAsia="zh-CN"/>
        </w:rPr>
        <w:t>0</w:t>
      </w:r>
      <w:r>
        <w:rPr>
          <w:rFonts w:hint="eastAsia" w:ascii="仿宋_GB2312" w:hAnsi="仿宋_GB2312" w:eastAsia="仿宋_GB2312" w:cs="仿宋"/>
          <w:b w:val="0"/>
          <w:bCs/>
          <w:sz w:val="32"/>
          <w:szCs w:val="32"/>
          <w:highlight w:val="none"/>
          <w:u w:val="none"/>
          <w:lang w:eastAsia="zh-CN"/>
        </w:rPr>
        <w:t>万元；公务接待费支出 </w:t>
      </w:r>
      <w:r>
        <w:rPr>
          <w:rFonts w:hint="eastAsia" w:ascii="仿宋_GB2312" w:hAnsi="仿宋_GB2312" w:eastAsia="仿宋_GB2312" w:cs="仿宋"/>
          <w:b w:val="0"/>
          <w:bCs/>
          <w:sz w:val="32"/>
          <w:szCs w:val="32"/>
          <w:highlight w:val="none"/>
          <w:u w:val="none"/>
          <w:lang w:val="en-US" w:eastAsia="zh-CN"/>
        </w:rPr>
        <w:t>0</w:t>
      </w:r>
      <w:r>
        <w:rPr>
          <w:rFonts w:hint="eastAsia" w:ascii="仿宋_GB2312" w:hAnsi="仿宋_GB2312" w:eastAsia="仿宋_GB2312" w:cs="仿宋"/>
          <w:b w:val="0"/>
          <w:bCs/>
          <w:sz w:val="32"/>
          <w:szCs w:val="32"/>
          <w:highlight w:val="none"/>
          <w:u w:val="none"/>
          <w:lang w:eastAsia="zh-CN"/>
        </w:rPr>
        <w:t>万元。其中：</w:t>
      </w:r>
    </w:p>
    <w:p>
      <w:pPr>
        <w:pStyle w:val="4"/>
        <w:spacing w:after="0" w:line="560" w:lineRule="exact"/>
        <w:ind w:firstLine="640" w:firstLineChars="200"/>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 1.因公出国（境）费支出 </w:t>
      </w:r>
      <w:r>
        <w:rPr>
          <w:rFonts w:hint="eastAsia" w:eastAsia="仿宋_GB2312" w:cs="仿宋"/>
          <w:b w:val="0"/>
          <w:bCs/>
          <w:sz w:val="32"/>
          <w:szCs w:val="32"/>
          <w:highlight w:val="none"/>
          <w:lang w:val="en-US" w:eastAsia="zh-CN"/>
        </w:rPr>
        <w:t>0</w:t>
      </w:r>
      <w:r>
        <w:rPr>
          <w:rFonts w:hint="eastAsia" w:ascii="Times New Roman" w:hAnsi="Times New Roman" w:eastAsia="仿宋_GB2312" w:cs="仿宋"/>
          <w:b w:val="0"/>
          <w:bCs/>
          <w:sz w:val="32"/>
          <w:szCs w:val="32"/>
          <w:highlight w:val="none"/>
        </w:rPr>
        <w:t>万元，全年出国（境）团组0个，累计0人次。与上年决算相比，变动原因：不存在此项内容。</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 2.公务用车购置及运行维护费支出 </w:t>
      </w:r>
      <w:r>
        <w:rPr>
          <w:rFonts w:hint="eastAsia" w:eastAsia="仿宋_GB2312" w:cs="仿宋"/>
          <w:b w:val="0"/>
          <w:bCs/>
          <w:sz w:val="32"/>
          <w:szCs w:val="32"/>
          <w:highlight w:val="none"/>
          <w:lang w:val="en-US" w:eastAsia="zh-CN"/>
        </w:rPr>
        <w:t>0</w:t>
      </w:r>
      <w:r>
        <w:rPr>
          <w:rFonts w:hint="eastAsia" w:ascii="Times New Roman" w:hAnsi="Times New Roman" w:eastAsia="仿宋_GB2312" w:cs="仿宋"/>
          <w:b w:val="0"/>
          <w:bCs/>
          <w:sz w:val="32"/>
          <w:szCs w:val="32"/>
          <w:highlight w:val="none"/>
        </w:rPr>
        <w:t>万元。其中：</w:t>
      </w:r>
    </w:p>
    <w:p>
      <w:pPr>
        <w:pStyle w:val="4"/>
        <w:spacing w:after="0" w:line="560" w:lineRule="exact"/>
        <w:ind w:firstLine="640" w:firstLineChars="200"/>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（1）公务用车购置支出</w:t>
      </w:r>
      <w:r>
        <w:rPr>
          <w:rFonts w:hint="eastAsia" w:eastAsia="仿宋_GB2312" w:cs="仿宋"/>
          <w:b w:val="0"/>
          <w:bCs/>
          <w:sz w:val="32"/>
          <w:szCs w:val="32"/>
          <w:highlight w:val="none"/>
          <w:lang w:val="en-US" w:eastAsia="zh-CN"/>
        </w:rPr>
        <w:t>0</w:t>
      </w:r>
      <w:r>
        <w:rPr>
          <w:rFonts w:hint="eastAsia" w:ascii="Times New Roman" w:hAnsi="Times New Roman" w:eastAsia="仿宋_GB2312" w:cs="仿宋"/>
          <w:b w:val="0"/>
          <w:bCs/>
          <w:sz w:val="32"/>
          <w:szCs w:val="32"/>
          <w:highlight w:val="none"/>
        </w:rPr>
        <w:t>万元。本年度使用财政拨款购置公务用车0 辆，开支内容：无。与上年决算相比变动原因：不存在此项内容。</w:t>
      </w:r>
    </w:p>
    <w:p>
      <w:pPr>
        <w:pStyle w:val="4"/>
        <w:spacing w:after="0" w:line="560" w:lineRule="exact"/>
        <w:ind w:firstLine="640" w:firstLineChars="200"/>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（2）公务用车运行维护费支出 0万元。公务用车运行维护费主要用于按规定保留的公务用车的燃料费、维修费、过桥过路费、保险费、安全奖励费用等支出。截至2024年12月31日，使用财政拨款开支的公务用车保有量为0 辆。与上年决算相比变动原因：不存在此项内容。</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3.公务接待费支出 0万元。其中：国内公务接待支出 0万元，接待0 批次，0 人次，开支内容：无；国（境）外公务接待支出 0万元，接待0 批次，0 人次，开支内容：无。与上年决算相比变动原因：不存在此项内容。</w:t>
      </w:r>
    </w:p>
    <w:p>
      <w:pPr>
        <w:spacing w:line="600" w:lineRule="exact"/>
        <w:ind w:left="0" w:leftChars="0" w:firstLine="640" w:firstLineChars="200"/>
        <w:outlineLvl w:val="2"/>
        <w:rPr>
          <w:rFonts w:eastAsia="黑体" w:cs="黑体"/>
          <w:b w:val="0"/>
          <w:bCs/>
          <w:sz w:val="32"/>
          <w:szCs w:val="36"/>
          <w:highlight w:val="none"/>
        </w:rPr>
      </w:pPr>
      <w:r>
        <w:rPr>
          <w:rFonts w:hint="eastAsia" w:eastAsia="黑体" w:cs="黑体"/>
          <w:b w:val="0"/>
          <w:bCs/>
          <w:sz w:val="32"/>
          <w:szCs w:val="36"/>
          <w:highlight w:val="none"/>
          <w:lang w:val="en-US" w:eastAsia="zh-CN"/>
        </w:rPr>
        <w:t>九</w:t>
      </w:r>
      <w:r>
        <w:rPr>
          <w:rFonts w:hint="eastAsia" w:eastAsia="黑体" w:cs="黑体"/>
          <w:b w:val="0"/>
          <w:bCs/>
          <w:sz w:val="32"/>
          <w:szCs w:val="36"/>
          <w:highlight w:val="none"/>
        </w:rPr>
        <w:t>、政府性基金预算财政拨款支出决算情况说明</w:t>
      </w:r>
    </w:p>
    <w:p>
      <w:pPr>
        <w:spacing w:line="600" w:lineRule="exact"/>
        <w:ind w:left="0" w:leftChars="0" w:firstLine="640" w:firstLineChars="200"/>
        <w:outlineLvl w:val="2"/>
        <w:rPr>
          <w:rFonts w:hint="eastAsia" w:ascii="仿宋_GB2312" w:hAnsi="仿宋_GB2312" w:eastAsia="仿宋_GB2312" w:cs="仿宋"/>
          <w:b w:val="0"/>
          <w:bCs/>
          <w:sz w:val="32"/>
          <w:szCs w:val="32"/>
          <w:highlight w:val="none"/>
          <w:u w:val="none"/>
          <w:lang w:eastAsia="zh-CN"/>
        </w:rPr>
      </w:pPr>
      <w:r>
        <w:rPr>
          <w:rFonts w:hint="eastAsia" w:ascii="仿宋_GB2312" w:hAnsi="仿宋_GB2312" w:eastAsia="仿宋_GB2312" w:cs="仿宋"/>
          <w:b w:val="0"/>
          <w:bCs/>
          <w:sz w:val="32"/>
          <w:szCs w:val="32"/>
          <w:highlight w:val="none"/>
          <w:u w:val="none"/>
          <w:lang w:eastAsia="zh-CN"/>
        </w:rPr>
        <w:t>赤峰市公共资源交易中心 2024年度政府性基金预算财政拨款支出决算 0万元。与上年决算相比，变动原因：本年无政府性基金预算财政拨款收、支、余。</w:t>
      </w:r>
    </w:p>
    <w:p>
      <w:pPr>
        <w:spacing w:line="600" w:lineRule="exact"/>
        <w:ind w:left="0" w:leftChars="0" w:firstLine="640" w:firstLineChars="200"/>
        <w:outlineLvl w:val="2"/>
        <w:rPr>
          <w:rFonts w:eastAsia="黑体" w:cs="黑体"/>
          <w:b w:val="0"/>
          <w:bCs/>
          <w:sz w:val="32"/>
          <w:szCs w:val="36"/>
          <w:highlight w:val="none"/>
        </w:rPr>
      </w:pPr>
      <w:r>
        <w:rPr>
          <w:rFonts w:hint="eastAsia" w:eastAsia="黑体" w:cs="黑体"/>
          <w:b w:val="0"/>
          <w:bCs/>
          <w:sz w:val="32"/>
          <w:szCs w:val="36"/>
          <w:highlight w:val="none"/>
          <w:lang w:val="en-US" w:eastAsia="zh-CN"/>
        </w:rPr>
        <w:t>十</w:t>
      </w:r>
      <w:r>
        <w:rPr>
          <w:rFonts w:hint="eastAsia" w:eastAsia="黑体" w:cs="黑体"/>
          <w:b w:val="0"/>
          <w:bCs/>
          <w:sz w:val="32"/>
          <w:szCs w:val="36"/>
          <w:highlight w:val="none"/>
        </w:rPr>
        <w:t>、国有资本经营预算财政拨款支出决算情况说明</w:t>
      </w:r>
    </w:p>
    <w:p>
      <w:pPr>
        <w:spacing w:line="600" w:lineRule="exact"/>
        <w:ind w:firstLine="640" w:firstLineChars="200"/>
        <w:outlineLvl w:val="2"/>
        <w:rPr>
          <w:rFonts w:hint="eastAsia" w:ascii="仿宋_GB2312" w:hAnsi="仿宋_GB2312" w:eastAsia="仿宋_GB2312" w:cs="仿宋"/>
          <w:b w:val="0"/>
          <w:bCs/>
          <w:sz w:val="32"/>
          <w:szCs w:val="32"/>
          <w:highlight w:val="none"/>
          <w:u w:val="none"/>
          <w:lang w:eastAsia="zh-CN"/>
        </w:rPr>
      </w:pPr>
      <w:r>
        <w:rPr>
          <w:rFonts w:hint="eastAsia" w:ascii="仿宋_GB2312" w:hAnsi="仿宋_GB2312" w:eastAsia="仿宋_GB2312" w:cs="仿宋"/>
          <w:b w:val="0"/>
          <w:bCs/>
          <w:sz w:val="32"/>
          <w:szCs w:val="32"/>
          <w:highlight w:val="none"/>
          <w:u w:val="none"/>
          <w:lang w:eastAsia="zh-CN"/>
        </w:rPr>
        <w:t>赤峰市公共资源交易中心 2024年度国有资本经营预算财政拨款支出决算 0万元。与上年决算相比，变动原因：本年无国有资本经营预算财政拨款收、支、余。</w:t>
      </w:r>
    </w:p>
    <w:p>
      <w:pPr>
        <w:spacing w:line="600" w:lineRule="exact"/>
        <w:ind w:firstLine="640" w:firstLineChars="200"/>
        <w:outlineLvl w:val="2"/>
        <w:rPr>
          <w:rFonts w:eastAsia="黑体" w:cs="黑体"/>
          <w:b w:val="0"/>
          <w:bCs/>
          <w:sz w:val="32"/>
          <w:szCs w:val="36"/>
          <w:highlight w:val="none"/>
        </w:rPr>
      </w:pPr>
      <w:r>
        <w:rPr>
          <w:rFonts w:hint="eastAsia" w:eastAsia="黑体" w:cs="黑体"/>
          <w:b w:val="0"/>
          <w:bCs/>
          <w:sz w:val="32"/>
          <w:szCs w:val="36"/>
          <w:highlight w:val="none"/>
        </w:rPr>
        <w:t>十一、</w:t>
      </w:r>
      <w:r>
        <w:rPr>
          <w:rFonts w:hint="eastAsia" w:eastAsia="黑体" w:cs="黑体"/>
          <w:b w:val="0"/>
          <w:bCs/>
          <w:sz w:val="32"/>
          <w:szCs w:val="36"/>
          <w:highlight w:val="none"/>
          <w:lang w:val="en-US" w:eastAsia="zh-CN"/>
        </w:rPr>
        <w:t>机构</w:t>
      </w:r>
      <w:r>
        <w:rPr>
          <w:rFonts w:hint="eastAsia" w:eastAsia="黑体" w:cs="黑体"/>
          <w:b w:val="0"/>
          <w:bCs/>
          <w:sz w:val="32"/>
          <w:szCs w:val="36"/>
          <w:highlight w:val="none"/>
        </w:rPr>
        <w:t>运行经费支出决算情况说明</w:t>
      </w:r>
    </w:p>
    <w:p>
      <w:pPr>
        <w:spacing w:line="600" w:lineRule="exact"/>
        <w:ind w:left="0" w:leftChars="0" w:firstLine="640" w:firstLineChars="200"/>
        <w:outlineLvl w:val="2"/>
        <w:rPr>
          <w:rFonts w:hint="eastAsia" w:ascii="仿宋_GB2312" w:hAnsi="仿宋_GB2312" w:eastAsia="仿宋_GB2312" w:cs="仿宋"/>
          <w:b w:val="0"/>
          <w:bCs/>
          <w:sz w:val="32"/>
          <w:szCs w:val="32"/>
          <w:highlight w:val="none"/>
          <w:u w:val="none"/>
          <w:lang w:eastAsia="zh-CN"/>
        </w:rPr>
      </w:pPr>
      <w:r>
        <w:rPr>
          <w:rFonts w:hint="eastAsia" w:ascii="仿宋_GB2312" w:hAnsi="仿宋_GB2312" w:eastAsia="仿宋_GB2312" w:cs="仿宋"/>
          <w:b w:val="0"/>
          <w:bCs/>
          <w:sz w:val="32"/>
          <w:szCs w:val="32"/>
          <w:highlight w:val="none"/>
          <w:u w:val="none"/>
          <w:lang w:eastAsia="zh-CN"/>
        </w:rPr>
        <w:t>赤峰市公共资源交易中心 2024年度机构运行经费支出决算 618.26万元。比上年决算相比，减少 486.12万元，减少 44.01%，变动原因：上年度支付了2022年度未支付的租赁费及物业费，致使运行经费增加。</w:t>
      </w:r>
    </w:p>
    <w:p>
      <w:pPr>
        <w:spacing w:line="600" w:lineRule="exact"/>
        <w:ind w:left="0" w:leftChars="0" w:firstLine="640" w:firstLineChars="200"/>
        <w:outlineLvl w:val="2"/>
        <w:rPr>
          <w:rFonts w:eastAsia="黑体" w:cs="黑体"/>
          <w:b w:val="0"/>
          <w:bCs/>
          <w:sz w:val="32"/>
          <w:szCs w:val="36"/>
          <w:highlight w:val="none"/>
        </w:rPr>
      </w:pPr>
      <w:r>
        <w:rPr>
          <w:rFonts w:hint="eastAsia" w:eastAsia="黑体" w:cs="黑体"/>
          <w:b w:val="0"/>
          <w:bCs/>
          <w:sz w:val="32"/>
          <w:szCs w:val="36"/>
          <w:highlight w:val="none"/>
        </w:rPr>
        <w:t>十二、政府采购支出决算情况说明</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仿宋_GB2312" w:hAnsi="仿宋_GB2312" w:eastAsia="仿宋_GB2312" w:cs="仿宋"/>
          <w:b w:val="0"/>
          <w:bCs/>
          <w:sz w:val="32"/>
          <w:szCs w:val="32"/>
          <w:highlight w:val="none"/>
          <w:u w:val="none"/>
          <w:lang w:eastAsia="zh-CN"/>
        </w:rPr>
        <w:t>赤峰市公共资源交易中心 2024年度政府采购支出总额 46.62万元，其中：政府采购货物支出13.63万元、政府采购工程支出 0万元、政府采购服务支出 32.99万元。政府采购授予中小企业合同金额37.44万元，占政府采购支出总额的80.31%，其中：授予小微企业合同金额 37.44万元，占政府采购支出总额的80.31%；货物采购授予中小企业合同金额占货物支出金额的0%，工程采购授予中小企业合同金额占工程支出金额的0%，服务采购授予中小企业合同金额占服务支出金额的0%。</w:t>
      </w:r>
    </w:p>
    <w:p>
      <w:pPr>
        <w:keepNext/>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2"/>
        <w:rPr>
          <w:rFonts w:eastAsia="黑体" w:cs="黑体"/>
          <w:b w:val="0"/>
          <w:bCs/>
          <w:sz w:val="32"/>
          <w:szCs w:val="36"/>
          <w:highlight w:val="none"/>
        </w:rPr>
      </w:pPr>
      <w:r>
        <w:rPr>
          <w:rFonts w:hint="eastAsia" w:eastAsia="黑体" w:cs="黑体"/>
          <w:b w:val="0"/>
          <w:bCs/>
          <w:sz w:val="32"/>
          <w:szCs w:val="36"/>
          <w:highlight w:val="none"/>
        </w:rPr>
        <w:t>十三、国有资产占用情况说明</w:t>
      </w:r>
    </w:p>
    <w:p>
      <w:pPr>
        <w:spacing w:line="600" w:lineRule="exact"/>
        <w:ind w:left="0" w:leftChars="0" w:firstLine="640" w:firstLineChars="200"/>
        <w:outlineLvl w:val="2"/>
        <w:rPr>
          <w:rFonts w:hint="eastAsia" w:ascii="仿宋_GB2312" w:hAnsi="仿宋_GB2312" w:eastAsia="仿宋_GB2312" w:cs="仿宋"/>
          <w:b w:val="0"/>
          <w:bCs/>
          <w:sz w:val="32"/>
          <w:szCs w:val="32"/>
          <w:highlight w:val="none"/>
          <w:u w:val="none"/>
          <w:lang w:eastAsia="zh-CN"/>
        </w:rPr>
      </w:pPr>
      <w:r>
        <w:rPr>
          <w:rFonts w:hint="eastAsia" w:ascii="仿宋_GB2312" w:hAnsi="仿宋_GB2312" w:eastAsia="仿宋_GB2312" w:cs="仿宋"/>
          <w:b w:val="0"/>
          <w:bCs/>
          <w:sz w:val="32"/>
          <w:szCs w:val="32"/>
          <w:highlight w:val="none"/>
          <w:u w:val="none"/>
          <w:lang w:eastAsia="zh-CN"/>
        </w:rPr>
        <w:t>赤峰市公共资源交易中心截至2024年12月31日，本部门（单位）共有车辆 0辆，其中：副部（省）级及以上领导用车0 辆、主要负责人用车 0辆、机要通信用车 0辆、应急保障用车 0辆、执法执勤用车 0辆、特种专业技术用车 0辆、离退休干部服务用车 0辆，其他用车 0辆；单价100万元（含）以上的设备（不含车辆） 0台（套）。</w:t>
      </w:r>
    </w:p>
    <w:p>
      <w:pPr>
        <w:spacing w:line="600" w:lineRule="exact"/>
        <w:ind w:left="0" w:leftChars="0" w:firstLine="640" w:firstLineChars="200"/>
        <w:outlineLvl w:val="2"/>
        <w:rPr>
          <w:rFonts w:hint="eastAsia" w:eastAsia="黑体" w:cs="黑体"/>
          <w:b w:val="0"/>
          <w:bCs/>
          <w:sz w:val="32"/>
          <w:szCs w:val="36"/>
          <w:highlight w:val="none"/>
          <w:lang w:val="en-US" w:eastAsia="zh-CN"/>
        </w:rPr>
      </w:pPr>
      <w:r>
        <w:rPr>
          <w:rFonts w:hint="eastAsia" w:eastAsia="黑体" w:cs="黑体"/>
          <w:b w:val="0"/>
          <w:bCs/>
          <w:sz w:val="32"/>
          <w:szCs w:val="36"/>
          <w:highlight w:val="none"/>
        </w:rPr>
        <w:t>十四、预算绩效情况</w:t>
      </w:r>
      <w:r>
        <w:rPr>
          <w:rFonts w:hint="eastAsia" w:eastAsia="黑体" w:cs="黑体"/>
          <w:b w:val="0"/>
          <w:bCs/>
          <w:sz w:val="32"/>
          <w:szCs w:val="36"/>
          <w:highlight w:val="none"/>
          <w:lang w:val="en-US" w:eastAsia="zh-CN"/>
        </w:rPr>
        <w:t>说明</w:t>
      </w:r>
    </w:p>
    <w:p>
      <w:pPr>
        <w:ind w:firstLine="640" w:firstLineChars="200"/>
        <w:rPr>
          <w:rFonts w:ascii="楷体" w:hAnsi="楷体" w:eastAsia="楷体" w:cs="楷体"/>
          <w:b w:val="0"/>
          <w:bCs/>
          <w:sz w:val="32"/>
          <w:szCs w:val="32"/>
          <w:highlight w:val="none"/>
        </w:rPr>
      </w:pPr>
      <w:r>
        <w:rPr>
          <w:rFonts w:hint="eastAsia" w:ascii="楷体" w:hAnsi="楷体" w:eastAsia="楷体" w:cs="楷体"/>
          <w:b w:val="0"/>
          <w:bCs/>
          <w:sz w:val="32"/>
          <w:szCs w:val="32"/>
          <w:highlight w:val="none"/>
        </w:rPr>
        <w:t>（一）预算绩效管理工作开展情况</w:t>
      </w:r>
    </w:p>
    <w:p>
      <w:pPr>
        <w:pStyle w:val="4"/>
        <w:spacing w:after="0" w:line="560" w:lineRule="exact"/>
        <w:ind w:firstLine="640" w:firstLineChars="200"/>
        <w:rPr>
          <w:rFonts w:hint="eastAsia" w:ascii="仿宋_GB2312" w:hAnsi="仿宋_GB2312" w:eastAsia="仿宋_GB2312" w:cs="仿宋"/>
          <w:b w:val="0"/>
          <w:bCs/>
          <w:sz w:val="32"/>
          <w:szCs w:val="32"/>
          <w:highlight w:val="none"/>
          <w:u w:val="none"/>
          <w:lang w:eastAsia="zh-CN"/>
        </w:rPr>
      </w:pPr>
      <w:r>
        <w:rPr>
          <w:rFonts w:hint="eastAsia" w:ascii="仿宋_GB2312" w:hAnsi="仿宋_GB2312" w:eastAsia="仿宋_GB2312" w:cs="仿宋"/>
          <w:b w:val="0"/>
          <w:bCs/>
          <w:sz w:val="32"/>
          <w:szCs w:val="32"/>
          <w:highlight w:val="none"/>
          <w:u w:val="none"/>
          <w:lang w:eastAsia="zh-CN"/>
        </w:rPr>
        <w:t>赤峰市公共资源交易中心根据预算绩效管理要求组织对2024年一般公共预算项目支出全面开展绩效自评，其中一级项目14个，二级项目0个，共涉及资金470.94万元，占一般公共预算项目支出总额的100%；政府性基金预算项目0个，其中，一级项目0个，二级项目0个，共涉及资金</w:t>
      </w:r>
      <w:r>
        <w:rPr>
          <w:rFonts w:hint="eastAsia" w:ascii="仿宋_GB2312" w:hAnsi="仿宋_GB2312" w:eastAsia="仿宋_GB2312" w:cs="仿宋"/>
          <w:b w:val="0"/>
          <w:bCs/>
          <w:sz w:val="32"/>
          <w:szCs w:val="32"/>
          <w:highlight w:val="none"/>
          <w:u w:val="none"/>
          <w:lang w:val="en-US" w:eastAsia="zh-CN"/>
        </w:rPr>
        <w:t>0</w:t>
      </w:r>
      <w:r>
        <w:rPr>
          <w:rFonts w:hint="eastAsia" w:ascii="仿宋_GB2312" w:hAnsi="仿宋_GB2312" w:eastAsia="仿宋_GB2312" w:cs="仿宋"/>
          <w:b w:val="0"/>
          <w:bCs/>
          <w:sz w:val="32"/>
          <w:szCs w:val="32"/>
          <w:highlight w:val="none"/>
          <w:u w:val="none"/>
          <w:lang w:eastAsia="zh-CN"/>
        </w:rPr>
        <w:t>万元。</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仿宋_GB2312" w:hAnsi="仿宋_GB2312" w:eastAsia="仿宋_GB2312" w:cs="仿宋"/>
          <w:b w:val="0"/>
          <w:bCs/>
          <w:sz w:val="32"/>
          <w:szCs w:val="32"/>
          <w:highlight w:val="none"/>
          <w:u w:val="none"/>
          <w:lang w:eastAsia="zh-CN"/>
        </w:rPr>
        <w:t>  本单位不涉及部门绩效绩效评价。</w:t>
      </w:r>
    </w:p>
    <w:p>
      <w:pPr>
        <w:pStyle w:val="4"/>
        <w:numPr>
          <w:ilvl w:val="0"/>
          <w:numId w:val="0"/>
        </w:numPr>
        <w:spacing w:after="0" w:line="560" w:lineRule="exact"/>
        <w:ind w:left="800" w:leftChars="0" w:firstLine="0" w:firstLineChars="0"/>
        <w:rPr>
          <w:rFonts w:hint="eastAsia" w:ascii="仿宋_GB2312" w:hAnsi="仿宋_GB2312" w:eastAsia="仿宋_GB2312" w:cs="仿宋"/>
          <w:b w:val="0"/>
          <w:bCs/>
          <w:sz w:val="32"/>
          <w:szCs w:val="32"/>
          <w:highlight w:val="none"/>
          <w:u w:val="none"/>
          <w:lang w:eastAsia="zh-CN"/>
        </w:rPr>
      </w:pPr>
      <w:r>
        <w:rPr>
          <w:rFonts w:hint="eastAsia" w:ascii="仿宋_GB2312" w:hAnsi="仿宋_GB2312" w:eastAsia="仿宋_GB2312" w:cs="仿宋"/>
          <w:b w:val="0"/>
          <w:bCs/>
          <w:kern w:val="2"/>
          <w:sz w:val="32"/>
          <w:szCs w:val="32"/>
          <w:highlight w:val="none"/>
          <w:lang w:val="en-US" w:eastAsia="zh-CN" w:bidi="ar-SA"/>
        </w:rPr>
        <w:t>（二）</w:t>
      </w:r>
      <w:r>
        <w:rPr>
          <w:rFonts w:hint="eastAsia" w:ascii="楷体" w:hAnsi="楷体" w:eastAsia="楷体" w:cs="楷体"/>
          <w:b w:val="0"/>
          <w:bCs/>
          <w:sz w:val="32"/>
          <w:szCs w:val="32"/>
          <w:highlight w:val="none"/>
        </w:rPr>
        <w:t>部门（单位）决算中项目绩效自评结果</w:t>
      </w:r>
      <w:bookmarkStart w:id="0" w:name="_Toc8682"/>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
          <w:b w:val="0"/>
          <w:bCs/>
          <w:sz w:val="32"/>
          <w:szCs w:val="32"/>
          <w:highlight w:val="none"/>
          <w:u w:val="none"/>
          <w:lang w:eastAsia="zh-CN"/>
        </w:rPr>
      </w:pPr>
      <w:r>
        <w:rPr>
          <w:rFonts w:hint="eastAsia" w:ascii="仿宋_GB2312" w:hAnsi="仿宋_GB2312" w:eastAsia="仿宋_GB2312" w:cs="仿宋"/>
          <w:b w:val="0"/>
          <w:bCs/>
          <w:sz w:val="32"/>
          <w:szCs w:val="32"/>
          <w:highlight w:val="none"/>
          <w:u w:val="none"/>
          <w:lang w:eastAsia="zh-CN"/>
        </w:rPr>
        <w:t>赤峰市公共资源交易中心 2024年度在决算中反映12个一般公共预算项目，以及0个政府性基金项目，共5个项目的绩效自评结果。</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
          <w:b w:val="0"/>
          <w:bCs/>
          <w:sz w:val="32"/>
          <w:szCs w:val="32"/>
          <w:highlight w:val="none"/>
          <w:u w:val="none"/>
          <w:lang w:eastAsia="zh-CN"/>
        </w:rPr>
      </w:pPr>
      <w:r>
        <w:rPr>
          <w:rFonts w:hint="eastAsia" w:ascii="仿宋_GB2312" w:hAnsi="仿宋_GB2312" w:eastAsia="仿宋_GB2312" w:cs="仿宋"/>
          <w:b w:val="0"/>
          <w:bCs/>
          <w:kern w:val="2"/>
          <w:sz w:val="32"/>
          <w:szCs w:val="32"/>
          <w:highlight w:val="none"/>
          <w:lang w:val="en-US" w:eastAsia="zh-CN" w:bidi="ar-SA"/>
        </w:rPr>
        <w:t>1.</w:t>
      </w:r>
      <w:r>
        <w:rPr>
          <w:rFonts w:hint="eastAsia" w:ascii="仿宋_GB2312" w:hAnsi="仿宋_GB2312" w:eastAsia="仿宋_GB2312" w:cs="仿宋"/>
          <w:b w:val="0"/>
          <w:bCs/>
          <w:sz w:val="32"/>
          <w:szCs w:val="32"/>
          <w:highlight w:val="none"/>
          <w:u w:val="none"/>
          <w:lang w:eastAsia="zh-CN"/>
        </w:rPr>
        <w:t>专家评审费项目自评综述：根据年初设定的绩效目标，项目自评得分93.60分。全年预算数为30万元，执行数为10.80万元，完成预算的36%。项目绩效目标完成情况：资金主要发放赤峰市公共资源交易评标评审专家劳务报酬，支付标准符合全区公共资源交易评标评审专家劳务报酬支付标准。项目各类资金支出项目资金产出情况：准确无误，有完整的审批手续，不存在超范围超标准支出、挤占挪用等违法违规问题，财务处理合法合规。发现的主要问题及原因：暂无。下一步改进措施：加快预算执行进度。</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
          <w:b w:val="0"/>
          <w:bCs/>
          <w:sz w:val="32"/>
          <w:szCs w:val="32"/>
          <w:highlight w:val="none"/>
          <w:u w:val="none"/>
          <w:lang w:eastAsia="zh-CN"/>
        </w:rPr>
      </w:pPr>
      <w:r>
        <w:rPr>
          <w:rFonts w:hint="eastAsia" w:ascii="仿宋_GB2312" w:hAnsi="仿宋_GB2312" w:eastAsia="仿宋_GB2312" w:cs="仿宋"/>
          <w:b w:val="0"/>
          <w:bCs/>
          <w:sz w:val="32"/>
          <w:szCs w:val="32"/>
          <w:highlight w:val="none"/>
          <w:u w:val="none"/>
          <w:lang w:eastAsia="zh-CN"/>
        </w:rPr>
        <w:t>2.等保测评服务费和商业密码应用评估项目自评综述：根据年初设定绩效目标，项目自评得分100分。全年预算数为19万元，执行数为19万元，完成预算的100%。项目绩效完成情况：资金主要对赤峰公共资源电子交易管理服务软件平台（市公共资源交易中心网站，市公共资源交易中心网上开评标系统，市公共资源交易平台中心端，市公共资源交易平台招标人、采购人、投标人、竞买人、代理机构服务端）开展安全等级保护测评工作。完成年度等保测评工作。发现的主要问题及原因：暂无。</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
          <w:b w:val="0"/>
          <w:bCs/>
          <w:sz w:val="32"/>
          <w:szCs w:val="32"/>
          <w:highlight w:val="none"/>
          <w:u w:val="none"/>
          <w:lang w:eastAsia="zh-CN"/>
        </w:rPr>
      </w:pPr>
      <w:r>
        <w:rPr>
          <w:rFonts w:hint="eastAsia" w:ascii="仿宋_GB2312" w:hAnsi="仿宋_GB2312" w:eastAsia="仿宋_GB2312" w:cs="仿宋"/>
          <w:b w:val="0"/>
          <w:bCs/>
          <w:sz w:val="32"/>
          <w:szCs w:val="32"/>
          <w:highlight w:val="none"/>
          <w:u w:val="none"/>
          <w:lang w:eastAsia="zh-CN"/>
        </w:rPr>
        <w:t>3.云签设备及项目服务费项目自评综述：根据年初设定绩效目标，项目自评得分88.67分。全年预算数为3.6万元，执行数为0.96万元，完成预算的26.67%。项目绩效完成情况：通过为到场评标专家及采购人代表等提供实名认证，手写签名采集等业务；为解决电子评标系统中评标专家的电子签名及评标报告的签章，合并所建设的专家电子签名服务，以及所支撑政府采购云平台、信息采集和认证软硬件的综合集成。完成赤峰市政府采购中心评标区因接受各旗县区及其他盟市远程异地评标，增设评标室及所需云签设备及服务费的增补工作。发现的主要问题及原因：暂无。下一步改进措施：加快预算执行进度。</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
          <w:b w:val="0"/>
          <w:bCs/>
          <w:sz w:val="32"/>
          <w:szCs w:val="32"/>
          <w:highlight w:val="none"/>
          <w:u w:val="none"/>
          <w:lang w:eastAsia="zh-CN"/>
        </w:rPr>
      </w:pPr>
      <w:r>
        <w:rPr>
          <w:rFonts w:hint="eastAsia" w:ascii="仿宋_GB2312" w:hAnsi="仿宋_GB2312" w:eastAsia="仿宋_GB2312" w:cs="仿宋"/>
          <w:b w:val="0"/>
          <w:bCs/>
          <w:sz w:val="32"/>
          <w:szCs w:val="32"/>
          <w:highlight w:val="none"/>
          <w:u w:val="none"/>
          <w:lang w:eastAsia="zh-CN"/>
        </w:rPr>
        <w:t>4.电子交易系统运行维护费项目自评综述：根据年初设定绩效目标，项目自评得分94.14分。全年预算数为58万元，执行数为24万元，完成预算的41.38%。项目绩效完成情况：通过系统日常运维现场保障工作、第三方接口对接、网络安全保障、系统功能性需求开发、服务器日常运维保障等工作，保障赤峰公共资源交易中心电子交易管理服务系统稳定运行，完成交易系统日常运维现场保障工作及旗县区交易中心业务开展保障等工作。发现的主要问题及原因：暂无。下一步改进措施：加快预算执行进度。</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
          <w:b w:val="0"/>
          <w:bCs/>
          <w:sz w:val="32"/>
          <w:szCs w:val="32"/>
          <w:highlight w:val="none"/>
          <w:u w:val="none"/>
          <w:lang w:eastAsia="zh-CN"/>
        </w:rPr>
      </w:pPr>
      <w:r>
        <w:rPr>
          <w:rFonts w:hint="eastAsia" w:ascii="仿宋_GB2312" w:hAnsi="仿宋_GB2312" w:eastAsia="仿宋_GB2312" w:cs="仿宋"/>
          <w:b w:val="0"/>
          <w:bCs/>
          <w:sz w:val="32"/>
          <w:szCs w:val="32"/>
          <w:highlight w:val="none"/>
          <w:u w:val="none"/>
          <w:lang w:eastAsia="zh-CN"/>
        </w:rPr>
        <w:t>5.小型设备维修、配件、CA锁租赁费项目自评综述：根据年初设定绩效目标，项目自评得分99.98分。全年预算数为18万元，执行数为17.97万元，完成预算的99.83%。项目绩效完成情况：通过对中心硬件设备（包括计算机、打印机等办公设备和服务器、监控、LED屏等电子设备）小型设备维修、配件，CA锁租赁等工作，保证市公共资源交易中心硬件设备正常运行，开评标等公共资源交易活动正常开展。确保CA锁正常使用，确保市公共资源交易中心工作顺利开展。发现的主要问题及原因：暂无。下一步改进措施：无。（三）单位项目绩效评价结果。</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
          <w:b w:val="0"/>
          <w:bCs/>
          <w:sz w:val="32"/>
          <w:szCs w:val="32"/>
          <w:highlight w:val="none"/>
          <w:u w:val="none"/>
          <w:lang w:eastAsia="zh-CN"/>
        </w:rPr>
      </w:pPr>
      <w:r>
        <w:rPr>
          <w:rFonts w:hint="eastAsia" w:ascii="仿宋_GB2312" w:hAnsi="仿宋_GB2312" w:eastAsia="仿宋_GB2312" w:cs="仿宋"/>
          <w:b w:val="0"/>
          <w:bCs/>
          <w:sz w:val="32"/>
          <w:szCs w:val="32"/>
          <w:highlight w:val="none"/>
          <w:u w:val="none"/>
          <w:lang w:eastAsia="zh-CN"/>
        </w:rPr>
        <w:t>以等保测评服务费和商业密码应用评估项目为例，该项目绩效评价综合得分</w:t>
      </w:r>
      <w:r>
        <w:rPr>
          <w:rFonts w:hint="eastAsia" w:ascii="仿宋_GB2312" w:hAnsi="仿宋_GB2312" w:eastAsia="仿宋_GB2312" w:cs="仿宋"/>
          <w:b w:val="0"/>
          <w:bCs/>
          <w:sz w:val="32"/>
          <w:szCs w:val="32"/>
          <w:highlight w:val="none"/>
          <w:u w:val="none"/>
          <w:lang w:val="en-US" w:eastAsia="zh-CN"/>
        </w:rPr>
        <w:t>100</w:t>
      </w:r>
      <w:r>
        <w:rPr>
          <w:rFonts w:hint="eastAsia" w:ascii="仿宋_GB2312" w:hAnsi="仿宋_GB2312" w:eastAsia="仿宋_GB2312" w:cs="仿宋"/>
          <w:b w:val="0"/>
          <w:bCs/>
          <w:sz w:val="32"/>
          <w:szCs w:val="32"/>
          <w:highlight w:val="none"/>
          <w:u w:val="none"/>
          <w:lang w:eastAsia="zh-CN"/>
        </w:rPr>
        <w:t>分，绩效评价结果为“优”。重点项目绩效评价得分情况详见单位具体绩效评价结果。</w:t>
      </w:r>
    </w:p>
    <w:p>
      <w:pPr>
        <w:pStyle w:val="4"/>
        <w:numPr>
          <w:ilvl w:val="0"/>
          <w:numId w:val="0"/>
        </w:numPr>
        <w:spacing w:after="0" w:line="560" w:lineRule="exact"/>
        <w:ind w:firstLine="2160" w:firstLineChars="600"/>
        <w:jc w:val="both"/>
        <w:rPr>
          <w:rFonts w:hint="eastAsia" w:ascii="方正小标宋简体" w:hAnsi="方正小标宋简体" w:eastAsia="方正小标宋简体" w:cs="方正小标宋简体"/>
          <w:b w:val="0"/>
          <w:bCs/>
          <w:sz w:val="36"/>
          <w:szCs w:val="36"/>
          <w:highlight w:val="none"/>
        </w:rPr>
      </w:pPr>
    </w:p>
    <w:p>
      <w:pPr>
        <w:pStyle w:val="4"/>
        <w:numPr>
          <w:ilvl w:val="0"/>
          <w:numId w:val="0"/>
        </w:numPr>
        <w:spacing w:after="0" w:line="560" w:lineRule="exact"/>
        <w:ind w:firstLine="2160" w:firstLineChars="600"/>
        <w:jc w:val="both"/>
        <w:rPr>
          <w:rFonts w:ascii="方正小标宋简体" w:hAnsi="方正小标宋简体" w:eastAsia="方正小标宋简体" w:cs="方正小标宋简体"/>
          <w:b w:val="0"/>
          <w:bCs/>
          <w:sz w:val="36"/>
          <w:szCs w:val="36"/>
          <w:highlight w:val="none"/>
        </w:rPr>
      </w:pPr>
      <w:r>
        <w:rPr>
          <w:rFonts w:hint="eastAsia" w:ascii="方正小标宋简体" w:hAnsi="方正小标宋简体" w:eastAsia="方正小标宋简体" w:cs="方正小标宋简体"/>
          <w:b w:val="0"/>
          <w:bCs/>
          <w:sz w:val="36"/>
          <w:szCs w:val="36"/>
          <w:highlight w:val="none"/>
        </w:rPr>
        <w:t>第三部分名词解释</w:t>
      </w:r>
      <w:bookmarkEnd w:id="0"/>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一、财政拨款收入：从同级财政部门取得的各类财政拨款，包括一般公共预算财政拨款、政府性基金预算财政拨款、国有资本经营预算财政拨款。</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二、上级补助收入：指事业单位从主管部门和上级单位取得的非财政补助收入。</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三、财政专户管理教育收费：指缴入财政专户、实行专项管理的高中以上学费、住宿费、高校委托培养费、函大、电大、夜大及短训班培训费等教育收费。</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四、事业收入：指事业单位开展专业业务活动及其辅助活动取得的收入。</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五、经营收入：指事业单位在专业业务活动及其辅助活动之外开展非独立核算经营活动取得的收入。</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六、附属单位上缴收入：指事业单位附属独立核算单位按照有关规定上缴的收入。</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七、其他收入：取得的除上述“财政拨款收入”、“上级补助收入”、“事业收入”、“经营收入”、“附属单位上缴收入”等以外的各项收入。</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八、使用非财政拨款结余：指事业单位按照预算管理要求使用非财政拨款结余弥补当年收支差额的数额。</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九、年初结转和结余：指单位上年结转本年使用的基本支出结转、项目支出结转和结余、经营结余。</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十、结余分配：指事业单位按规定缴纳的所得税以及从非财政拨款结余中提取各类结余的情况。</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十一、年末结转和结余资金：指单位结转下年的基本支出结转、项目支出结转和结余、经营结余。</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十二、基本支出：指为保障机构正常运转、完成日常工作任务所发生的支出，包括人员经费和公用经费。</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十三、项目支出：指在为完成特定的工作任务和事业发展目标所发生的支出。</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十四、上缴上级支出：指事业单位按照财政部门和主管部门的规定上缴上级单位的支出。</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十五、经营支出：指事业单位在专业业务活动及其辅助活动之外开展非独立核算经营活动发生的支出。</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十六、对附属单位补助支出：指事业单位用财政拨款收入之外的收入对附属单位补助发生的支出。</w:t>
      </w:r>
    </w:p>
    <w:p>
      <w:pPr>
        <w:pStyle w:val="4"/>
        <w:spacing w:after="0" w:line="560" w:lineRule="exact"/>
        <w:ind w:firstLine="640" w:firstLineChars="200"/>
        <w:rPr>
          <w:rFonts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十七、“三公”经费：指部门</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单位</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用一般公共预算财政拨款安排的因公出国（境）费、公务用车购置及运行维护费和公务接待费。其中，因公出国（境）费反映部门</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单位</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公务出国（境）的国际旅费、国外城市间交通费、住宿费、伙食费、培训费、公杂费等支出；公务用车购置及运行维护费反映部门</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单位</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公务用车购置支出（含车辆购置税、牌照费）以及按规定保留的公务用车燃料费、维修费、过路过桥费、保险费、安全奖励费用等支出；公务接待费反映部门</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单位</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按规定开支的各类公务接待（含外宾接待）费用。</w:t>
      </w:r>
    </w:p>
    <w:p>
      <w:pPr>
        <w:spacing w:line="560" w:lineRule="exact"/>
        <w:ind w:firstLine="640" w:firstLineChars="200"/>
        <w:rPr>
          <w:rFonts w:hint="eastAsia" w:eastAsia="仿宋_GB2312" w:cstheme="minorBidi"/>
          <w:b w:val="0"/>
          <w:bCs/>
          <w:sz w:val="32"/>
          <w:szCs w:val="32"/>
          <w:highlight w:val="none"/>
        </w:rPr>
      </w:pPr>
      <w:r>
        <w:rPr>
          <w:rFonts w:hint="eastAsia" w:ascii="Times New Roman" w:hAnsi="Times New Roman" w:eastAsia="仿宋_GB2312" w:cs="仿宋"/>
          <w:b w:val="0"/>
          <w:bCs/>
          <w:sz w:val="32"/>
          <w:szCs w:val="32"/>
          <w:highlight w:val="none"/>
        </w:rPr>
        <w:t>十八、</w:t>
      </w:r>
      <w:r>
        <w:rPr>
          <w:rFonts w:hint="eastAsia" w:ascii="Times New Roman" w:hAnsi="Times New Roman" w:eastAsia="仿宋_GB2312" w:cs="仿宋"/>
          <w:b w:val="0"/>
          <w:bCs/>
          <w:sz w:val="32"/>
          <w:szCs w:val="32"/>
          <w:highlight w:val="none"/>
          <w:lang w:val="en-US" w:eastAsia="zh-CN"/>
        </w:rPr>
        <w:t>机构</w:t>
      </w:r>
      <w:r>
        <w:rPr>
          <w:rFonts w:hint="eastAsia" w:ascii="Times New Roman" w:hAnsi="Times New Roman" w:eastAsia="仿宋_GB2312" w:cs="仿宋"/>
          <w:b w:val="0"/>
          <w:bCs/>
          <w:sz w:val="32"/>
          <w:szCs w:val="32"/>
          <w:highlight w:val="none"/>
        </w:rPr>
        <w:t>运行经费：</w:t>
      </w:r>
      <w:r>
        <w:rPr>
          <w:rFonts w:hint="eastAsia" w:eastAsia="仿宋_GB2312" w:cs="仿宋"/>
          <w:b w:val="0"/>
          <w:bCs/>
          <w:sz w:val="32"/>
          <w:szCs w:val="32"/>
          <w:highlight w:val="none"/>
          <w:lang w:val="en-US" w:eastAsia="zh-CN"/>
        </w:rPr>
        <w:t>指</w:t>
      </w:r>
      <w:r>
        <w:rPr>
          <w:rFonts w:hint="eastAsia" w:ascii="Times New Roman" w:hAnsi="Times New Roman" w:eastAsia="仿宋_GB2312" w:cs="仿宋"/>
          <w:b w:val="0"/>
          <w:bCs/>
          <w:sz w:val="32"/>
          <w:szCs w:val="32"/>
          <w:highlight w:val="none"/>
        </w:rPr>
        <w:t>部门</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单位</w:t>
      </w:r>
      <w:r>
        <w:rPr>
          <w:rFonts w:hint="eastAsia" w:ascii="Times New Roman" w:hAnsi="Times New Roman" w:eastAsia="仿宋_GB2312" w:cs="仿宋"/>
          <w:b w:val="0"/>
          <w:bCs/>
          <w:sz w:val="32"/>
          <w:szCs w:val="32"/>
          <w:highlight w:val="none"/>
          <w:lang w:eastAsia="zh-CN"/>
        </w:rPr>
        <w:t>）</w:t>
      </w:r>
      <w:r>
        <w:rPr>
          <w:rFonts w:hint="eastAsia" w:eastAsia="仿宋_GB2312" w:cstheme="minorBidi"/>
          <w:b w:val="0"/>
          <w:bCs/>
          <w:sz w:val="32"/>
          <w:szCs w:val="32"/>
          <w:highlight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rPr>
          <w:rFonts w:hint="eastAsia" w:eastAsia="宋体"/>
          <w:b w:val="0"/>
          <w:bCs/>
          <w:highlight w:val="none"/>
          <w:lang w:eastAsia="zh-CN"/>
        </w:rPr>
      </w:pPr>
      <w:r>
        <w:rPr>
          <w:rFonts w:hint="eastAsia" w:ascii="Times New Roman" w:hAnsi="Times New Roman" w:eastAsia="仿宋_GB2312" w:cs="仿宋"/>
          <w:b w:val="0"/>
          <w:bCs/>
          <w:sz w:val="32"/>
          <w:szCs w:val="32"/>
          <w:highlight w:val="none"/>
          <w:lang w:val="en-US" w:eastAsia="zh-CN"/>
        </w:rPr>
        <w:t xml:space="preserve"> </w:t>
      </w:r>
      <w:bookmarkStart w:id="2" w:name="_GoBack"/>
      <w:bookmarkEnd w:id="2"/>
    </w:p>
    <w:p>
      <w:pPr>
        <w:pStyle w:val="3"/>
        <w:tabs>
          <w:tab w:val="left" w:pos="4392"/>
        </w:tabs>
        <w:adjustRightInd/>
        <w:snapToGrid/>
        <w:spacing w:before="0" w:after="0" w:line="360" w:lineRule="auto"/>
        <w:ind w:firstLine="0" w:firstLineChars="0"/>
        <w:jc w:val="center"/>
        <w:rPr>
          <w:rFonts w:hint="eastAsia" w:ascii="方正小标宋简体" w:hAnsi="方正小标宋简体" w:eastAsia="方正小标宋简体" w:cs="方正小标宋简体"/>
          <w:b w:val="0"/>
          <w:bCs/>
          <w:sz w:val="36"/>
          <w:szCs w:val="36"/>
          <w:highlight w:val="none"/>
        </w:rPr>
      </w:pPr>
      <w:bookmarkStart w:id="1" w:name="_Toc27853"/>
      <w:r>
        <w:rPr>
          <w:rFonts w:hint="eastAsia" w:ascii="方正小标宋简体" w:hAnsi="方正小标宋简体" w:eastAsia="方正小标宋简体" w:cs="方正小标宋简体"/>
          <w:b w:val="0"/>
          <w:bCs/>
          <w:sz w:val="36"/>
          <w:szCs w:val="36"/>
          <w:highlight w:val="none"/>
        </w:rPr>
        <w:t>第四部分</w:t>
      </w:r>
      <w:r>
        <w:rPr>
          <w:rFonts w:hint="eastAsia" w:ascii="方正小标宋简体" w:hAnsi="方正小标宋简体" w:eastAsia="方正小标宋简体" w:cs="方正小标宋简体"/>
          <w:b w:val="0"/>
          <w:bCs/>
          <w:sz w:val="36"/>
          <w:szCs w:val="36"/>
          <w:highlight w:val="none"/>
          <w:lang w:val="en-US" w:eastAsia="zh-CN"/>
        </w:rPr>
        <w:t>决算</w:t>
      </w:r>
      <w:r>
        <w:rPr>
          <w:rFonts w:hint="eastAsia" w:ascii="方正小标宋简体" w:hAnsi="方正小标宋简体" w:eastAsia="方正小标宋简体" w:cs="方正小标宋简体"/>
          <w:b w:val="0"/>
          <w:bCs/>
          <w:sz w:val="36"/>
          <w:szCs w:val="36"/>
          <w:highlight w:val="none"/>
        </w:rPr>
        <w:t>公开联系方式及信息反馈渠道</w:t>
      </w:r>
      <w:bookmarkEnd w:id="1"/>
    </w:p>
    <w:p>
      <w:pPr>
        <w:snapToGrid w:val="0"/>
        <w:spacing w:line="600" w:lineRule="exact"/>
        <w:rPr>
          <w:rFonts w:ascii="方正小标宋简体" w:hAnsi="方正小标宋简体" w:eastAsia="方正小标宋简体" w:cs="方正小标宋简体"/>
          <w:b w:val="0"/>
          <w:bCs/>
          <w:sz w:val="36"/>
          <w:szCs w:val="36"/>
          <w:highlight w:val="none"/>
        </w:rPr>
      </w:pPr>
    </w:p>
    <w:p>
      <w:pPr>
        <w:snapToGrid w:val="0"/>
        <w:spacing w:line="600" w:lineRule="exact"/>
        <w:ind w:firstLine="640" w:firstLineChars="200"/>
        <w:jc w:val="both"/>
        <w:rPr>
          <w:rFonts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本单位</w:t>
      </w:r>
      <w:r>
        <w:rPr>
          <w:rFonts w:hint="eastAsia" w:ascii="仿宋_GB2312" w:hAnsi="仿宋_GB2312" w:eastAsia="仿宋_GB2312" w:cs="仿宋_GB2312"/>
          <w:b w:val="0"/>
          <w:bCs/>
          <w:sz w:val="32"/>
          <w:szCs w:val="32"/>
          <w:highlight w:val="none"/>
          <w:lang w:val="en-US" w:eastAsia="zh-CN"/>
        </w:rPr>
        <w:t>决算</w:t>
      </w:r>
      <w:r>
        <w:rPr>
          <w:rFonts w:hint="eastAsia" w:ascii="仿宋_GB2312" w:hAnsi="仿宋_GB2312" w:eastAsia="仿宋_GB2312" w:cs="仿宋_GB2312"/>
          <w:b w:val="0"/>
          <w:bCs/>
          <w:sz w:val="32"/>
          <w:szCs w:val="32"/>
          <w:highlight w:val="none"/>
        </w:rPr>
        <w:t>公开信息反馈和联系方式：</w:t>
      </w:r>
    </w:p>
    <w:p>
      <w:pPr>
        <w:widowControl/>
        <w:spacing w:before="240" w:after="240"/>
        <w:ind w:firstLine="640" w:firstLineChars="200"/>
        <w:jc w:val="both"/>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联系人：</w:t>
      </w:r>
      <w:r>
        <w:rPr>
          <w:rFonts w:hint="eastAsia" w:ascii="仿宋_GB2312" w:hAnsi="仿宋_GB2312" w:eastAsia="仿宋_GB2312" w:cs="仿宋_GB2312"/>
          <w:b w:val="0"/>
          <w:bCs/>
          <w:sz w:val="32"/>
          <w:szCs w:val="32"/>
          <w:highlight w:val="none"/>
          <w:lang w:val="en-US" w:eastAsia="zh-CN"/>
        </w:rPr>
        <w:t>王海丽</w:t>
      </w:r>
      <w:r>
        <w:rPr>
          <w:rFonts w:hint="eastAsia" w:ascii="仿宋_GB2312" w:hAnsi="仿宋_GB2312" w:eastAsia="仿宋_GB2312" w:cs="仿宋_GB2312"/>
          <w:b w:val="0"/>
          <w:bCs/>
          <w:sz w:val="32"/>
          <w:szCs w:val="32"/>
          <w:highlight w:val="none"/>
        </w:rPr>
        <w:t>联系电话：0476-8288813</w:t>
      </w:r>
    </w:p>
    <w:p>
      <w:pPr>
        <w:widowControl/>
        <w:spacing w:before="240" w:after="240"/>
        <w:jc w:val="center"/>
        <w:rPr>
          <w:rFonts w:hint="eastAsia" w:ascii="仿宋_GB2312" w:hAnsi="仿宋_GB2312" w:eastAsia="仿宋_GB2312" w:cs="仿宋_GB2312"/>
          <w:b w:val="0"/>
          <w:bCs/>
          <w:sz w:val="32"/>
          <w:szCs w:val="32"/>
          <w:highlight w:val="none"/>
        </w:rPr>
      </w:pPr>
    </w:p>
    <w:p>
      <w:pPr>
        <w:widowControl/>
        <w:spacing w:before="240" w:after="240"/>
        <w:ind w:firstLine="361" w:firstLineChars="100"/>
        <w:jc w:val="center"/>
        <w:rPr>
          <w:rFonts w:eastAsia="Times New Roman"/>
          <w:kern w:val="0"/>
          <w:sz w:val="24"/>
          <w:highlight w:val="none"/>
        </w:rPr>
      </w:pPr>
      <w:r>
        <w:rPr>
          <w:rFonts w:ascii="fang_zheng_xiao_biao_song_ti" w:hAnsi="fang_zheng_xiao_biao_song_ti" w:eastAsia="fang_zheng_xiao_biao_song_ti" w:cs="fang_zheng_xiao_biao_song_ti"/>
          <w:b/>
          <w:bCs/>
          <w:kern w:val="0"/>
          <w:sz w:val="36"/>
          <w:szCs w:val="36"/>
          <w:highlight w:val="none"/>
        </w:rPr>
        <w:t>第五部分决算表</w:t>
      </w:r>
    </w:p>
    <w:p>
      <w:pPr>
        <w:widowControl/>
        <w:spacing w:before="240" w:after="240"/>
        <w:jc w:val="center"/>
        <w:rPr>
          <w:rFonts w:eastAsia="Times New Roman"/>
          <w:kern w:val="0"/>
          <w:sz w:val="24"/>
          <w:highlight w:val="none"/>
        </w:rPr>
      </w:pPr>
    </w:p>
    <w:p>
      <w:pPr>
        <w:widowControl/>
        <w:spacing w:before="240" w:after="240"/>
        <w:jc w:val="left"/>
        <w:rPr>
          <w:rFonts w:eastAsia="Times New Roman"/>
          <w:kern w:val="0"/>
          <w:sz w:val="24"/>
          <w:highlight w:val="none"/>
        </w:rPr>
      </w:pPr>
      <w:r>
        <w:rPr>
          <w:rFonts w:ascii="fang_song_gb2312" w:hAnsi="fang_song_gb2312" w:eastAsia="fang_song_gb2312" w:cs="fang_song_gb2312"/>
          <w:kern w:val="0"/>
          <w:sz w:val="27"/>
          <w:szCs w:val="27"/>
          <w:highlight w:val="none"/>
        </w:rPr>
        <w:t>  见附件。</w:t>
      </w:r>
    </w:p>
    <w:p>
      <w:pPr>
        <w:snapToGrid w:val="0"/>
        <w:spacing w:line="600" w:lineRule="exact"/>
        <w:ind w:firstLine="420" w:firstLineChars="200"/>
        <w:rPr>
          <w:b w:val="0"/>
          <w:bCs/>
          <w:highlight w:val="none"/>
        </w:rPr>
        <w:sectPr>
          <w:pgSz w:w="11906" w:h="16838"/>
          <w:pgMar w:top="1440" w:right="1800" w:bottom="1440" w:left="1800" w:header="851" w:footer="992" w:gutter="0"/>
          <w:pgNumType w:fmt="numberInDash"/>
          <w:cols w:space="425" w:num="1"/>
          <w:docGrid w:type="lines" w:linePitch="312" w:charSpace="0"/>
        </w:sectPr>
      </w:pPr>
    </w:p>
    <w:p>
      <w:pPr>
        <w:rPr>
          <w:b w:val="0"/>
          <w:bCs/>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fang_zheng_xiao_biao_song_ti">
    <w:altName w:val="仿宋_GB2312"/>
    <w:panose1 w:val="00000000000000000000"/>
    <w:charset w:val="00"/>
    <w:family w:val="roman"/>
    <w:pitch w:val="default"/>
    <w:sig w:usb0="00000000" w:usb1="00000000" w:usb2="00000000" w:usb3="00000000" w:csb0="00000000" w:csb1="00000000"/>
  </w:font>
  <w:font w:name="fang_song_gb2312">
    <w:altName w:val="仿宋_GB2312"/>
    <w:panose1 w:val="00000000000000000000"/>
    <w:charset w:val="00"/>
    <w:family w:val="roman"/>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95655" cy="3517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- 58 -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7.7pt;width:62.65pt;mso-position-horizontal:center;mso-position-horizontal-relative:margin;z-index:251659264;mso-width-relative:page;mso-height-relative:page;" filled="f" stroked="f" coordsize="21600,21600" o:gfxdata="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hw6XZ9QAAAAEAQAADwAAAAAAAAABACAAAAA4&#10;AAAAZHJzL2Rvd25yZXYueG1sUEsBAhQAFAAAAAgAh07iQMhmQ9sxAgAAVQQAAA4AAAAAAAAAAQAg&#10;AAAAOQEAAGRycy9lMm9Eb2MueG1sUEsFBgAAAAAGAAYAWQEAANwFAAAAAA==&#10;">
              <v:fill on="f" focussize="0,0"/>
              <v:stroke on="f" weight="0.5pt"/>
              <v:imagedata o:title=""/>
              <o:lock v:ext="edit" aspectratio="f"/>
              <v:textbox inset="0mm,0mm,0mm,0mm">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- 58 -</w:t>
                    </w:r>
                    <w:r>
                      <w:rPr>
                        <w:sz w:val="24"/>
                        <w:szCs w:val="24"/>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MDBkZDE0YTg0NWM0MjRmMTczZDc0ZjA4NDUxYTYifQ=="/>
  </w:docVars>
  <w:rsids>
    <w:rsidRoot w:val="44D86526"/>
    <w:rsid w:val="01A06F79"/>
    <w:rsid w:val="069613C7"/>
    <w:rsid w:val="06B32393"/>
    <w:rsid w:val="075C1F7F"/>
    <w:rsid w:val="16806F46"/>
    <w:rsid w:val="1A6437CE"/>
    <w:rsid w:val="1C8617E7"/>
    <w:rsid w:val="1DF50B76"/>
    <w:rsid w:val="1FC73662"/>
    <w:rsid w:val="1FCC4CD1"/>
    <w:rsid w:val="200A5CCB"/>
    <w:rsid w:val="213124BB"/>
    <w:rsid w:val="29404A4E"/>
    <w:rsid w:val="31C80C25"/>
    <w:rsid w:val="374437AE"/>
    <w:rsid w:val="3A3378EB"/>
    <w:rsid w:val="417016D7"/>
    <w:rsid w:val="44D86526"/>
    <w:rsid w:val="49031036"/>
    <w:rsid w:val="4AE3316B"/>
    <w:rsid w:val="50A04B4A"/>
    <w:rsid w:val="54C25D59"/>
    <w:rsid w:val="59D87CC8"/>
    <w:rsid w:val="5DBB6F19"/>
    <w:rsid w:val="675C244E"/>
    <w:rsid w:val="681D5ADD"/>
    <w:rsid w:val="6906005F"/>
    <w:rsid w:val="6E3632D7"/>
    <w:rsid w:val="706B56A5"/>
    <w:rsid w:val="771A11A8"/>
    <w:rsid w:val="77611E46"/>
    <w:rsid w:val="7CE411BB"/>
    <w:rsid w:val="EFE3E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2">
    <w:name w:val="heading 1"/>
    <w:basedOn w:val="1"/>
    <w:next w:val="1"/>
    <w:qFormat/>
    <w:uiPriority w:val="1"/>
    <w:pPr>
      <w:keepNext/>
      <w:keepLines/>
      <w:spacing w:before="340" w:after="330" w:line="576" w:lineRule="auto"/>
      <w:outlineLvl w:val="0"/>
    </w:pPr>
    <w:rPr>
      <w:b/>
      <w:kern w:val="44"/>
      <w:sz w:val="44"/>
    </w:rPr>
  </w:style>
  <w:style w:type="paragraph" w:styleId="3">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1"/>
    <w:pPr>
      <w:spacing w:after="120"/>
    </w:pPr>
  </w:style>
  <w:style w:type="paragraph" w:styleId="5">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0"/>
    <w:pPr>
      <w:ind w:firstLine="42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2603</Words>
  <Characters>2766</Characters>
  <Lines>0</Lines>
  <Paragraphs>0</Paragraphs>
  <TotalTime>3</TotalTime>
  <ScaleCrop>false</ScaleCrop>
  <LinksUpToDate>false</LinksUpToDate>
  <CharactersWithSpaces>2779</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2024-07-26T01:12:00Z</dcterms:created>
  <dc:creator>Elijahs Office</dc:creator>
  <cp:lastModifiedBy>15949436662</cp:lastModifiedBy>
  <cp:lastPrinted>2024-07-30T01:17:00Z</cp:lastPrinted>
  <dcterms:modified xsi:type="dcterms:W3CDTF">2025-07-18T15:48:49Z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5D8CC4C8C0D644CF83C9D9968214D91C_13</vt:lpwstr>
  </property>
  <property fmtid="{D5CDD505-2E9C-101B-9397-08002B2CF9AE}" pid="4" name="KSOTemplateDocerSaveRecord">
    <vt:lpwstr>eyJoZGlkIjoiZjFiMDBkZDE0YTg0NWM0MjRmMTczZDc0ZjA4NDUxYTYiLCJ1c2VySWQiOiI0Njc0ODg3MDkifQ==</vt:lpwstr>
  </property>
</Properties>
</file>