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
          <w:bCs/>
          <w:sz w:val="52"/>
          <w:szCs w:val="52"/>
        </w:rPr>
      </w:pPr>
      <w:r>
        <w:rPr>
          <w:rFonts w:ascii="宋体" w:hAnsi="宋体"/>
          <w:b/>
          <w:bCs/>
          <w:sz w:val="52"/>
          <w:szCs w:val="52"/>
        </w:rPr>
        <w:t>2024</w:t>
      </w:r>
      <w:r>
        <w:rPr>
          <w:rFonts w:hint="eastAsia" w:ascii="宋体" w:hAnsi="宋体"/>
          <w:b/>
          <w:bCs/>
          <w:sz w:val="52"/>
          <w:szCs w:val="52"/>
        </w:rPr>
        <w:t>年度赤峰市政务服务与数据</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宋体" w:hAnsi="宋体"/>
          <w:b/>
          <w:bCs/>
          <w:sz w:val="52"/>
          <w:szCs w:val="52"/>
        </w:rPr>
      </w:pPr>
      <w:r>
        <w:rPr>
          <w:rFonts w:hint="eastAsia" w:ascii="宋体" w:hAnsi="宋体"/>
          <w:b/>
          <w:bCs/>
          <w:sz w:val="52"/>
          <w:szCs w:val="52"/>
        </w:rPr>
        <w:t>管理局（本级）公开文档</w:t>
      </w:r>
    </w:p>
    <w:p>
      <w:pPr>
        <w:spacing w:line="360" w:lineRule="auto"/>
        <w:jc w:val="center"/>
        <w:rPr>
          <w:rFonts w:ascii="宋体" w:hAnsi="宋体"/>
          <w:b/>
          <w:bCs/>
          <w:sz w:val="52"/>
          <w:szCs w:val="52"/>
        </w:rPr>
      </w:pPr>
    </w:p>
    <w:p>
      <w:pPr>
        <w:spacing w:line="360" w:lineRule="auto"/>
        <w:ind w:firstLine="2240" w:firstLineChars="700"/>
        <w:jc w:val="left"/>
        <w:rPr>
          <w:rFonts w:hint="eastAsia" w:ascii="宋体" w:hAnsi="宋体" w:eastAsia="仿宋_GB2312"/>
          <w:sz w:val="32"/>
          <w:szCs w:val="32"/>
          <w:lang w:eastAsia="zh-CN"/>
        </w:rPr>
      </w:pPr>
      <w:r>
        <w:rPr>
          <w:rFonts w:hint="eastAsia" w:ascii="宋体" w:hAnsi="宋体"/>
          <w:sz w:val="32"/>
          <w:szCs w:val="32"/>
        </w:rPr>
        <w:t>单位名称：赤峰市政务服务与数据管理局</w:t>
      </w:r>
      <w:r>
        <w:rPr>
          <w:rFonts w:hint="eastAsia" w:ascii="宋体" w:hAnsi="宋体"/>
          <w:sz w:val="32"/>
          <w:szCs w:val="32"/>
          <w:lang w:eastAsia="zh-CN"/>
        </w:rPr>
        <w:t>（</w:t>
      </w:r>
      <w:r>
        <w:rPr>
          <w:rFonts w:hint="eastAsia" w:ascii="宋体" w:hAnsi="宋体"/>
          <w:sz w:val="32"/>
          <w:szCs w:val="32"/>
          <w:lang w:val="en-US" w:eastAsia="zh-CN"/>
        </w:rPr>
        <w:t>本级</w:t>
      </w:r>
      <w:r>
        <w:rPr>
          <w:rFonts w:hint="eastAsia" w:ascii="宋体" w:hAnsi="宋体"/>
          <w:sz w:val="32"/>
          <w:szCs w:val="32"/>
          <w:lang w:eastAsia="zh-CN"/>
        </w:rPr>
        <w:t>）</w:t>
      </w:r>
    </w:p>
    <w:p>
      <w:pPr>
        <w:spacing w:line="360" w:lineRule="auto"/>
        <w:ind w:firstLine="2240" w:firstLineChars="700"/>
        <w:jc w:val="left"/>
        <w:rPr>
          <w:rFonts w:ascii="宋体" w:hAnsi="宋体"/>
          <w:sz w:val="32"/>
          <w:szCs w:val="32"/>
        </w:rPr>
      </w:pPr>
      <w:r>
        <w:rPr>
          <w:rFonts w:hint="eastAsia" w:ascii="宋体" w:hAnsi="宋体"/>
          <w:sz w:val="32"/>
          <w:szCs w:val="32"/>
        </w:rPr>
        <w:t>单位负责人：刘兴飞</w:t>
      </w:r>
    </w:p>
    <w:p>
      <w:pPr>
        <w:spacing w:line="360" w:lineRule="auto"/>
        <w:ind w:firstLine="2240" w:firstLineChars="700"/>
        <w:jc w:val="left"/>
        <w:rPr>
          <w:rFonts w:hint="default" w:ascii="宋体" w:hAnsi="宋体" w:eastAsia="宋体"/>
          <w:sz w:val="32"/>
          <w:szCs w:val="32"/>
          <w:lang w:val="en-US" w:eastAsia="zh-CN"/>
        </w:rPr>
      </w:pPr>
      <w:r>
        <w:rPr>
          <w:rFonts w:hint="eastAsia" w:ascii="宋体" w:hAnsi="宋体"/>
          <w:sz w:val="32"/>
          <w:szCs w:val="32"/>
        </w:rPr>
        <w:t>财务负责人：</w:t>
      </w:r>
      <w:r>
        <w:rPr>
          <w:rFonts w:hint="eastAsia" w:ascii="宋体" w:hAnsi="宋体"/>
          <w:sz w:val="32"/>
          <w:szCs w:val="32"/>
          <w:lang w:val="en-US" w:eastAsia="zh-CN"/>
        </w:rPr>
        <w:t>乌文超</w:t>
      </w:r>
    </w:p>
    <w:p>
      <w:pPr>
        <w:spacing w:line="360" w:lineRule="auto"/>
        <w:ind w:firstLine="2240" w:firstLineChars="700"/>
        <w:jc w:val="left"/>
        <w:rPr>
          <w:rFonts w:hint="eastAsia" w:ascii="宋体" w:hAnsi="宋体" w:eastAsia="宋体"/>
          <w:sz w:val="32"/>
          <w:szCs w:val="32"/>
          <w:lang w:eastAsia="zh-CN"/>
        </w:rPr>
      </w:pPr>
      <w:r>
        <w:rPr>
          <w:rFonts w:hint="eastAsia" w:ascii="宋体" w:hAnsi="宋体"/>
          <w:sz w:val="32"/>
          <w:szCs w:val="32"/>
        </w:rPr>
        <w:t>编制人：</w:t>
      </w:r>
      <w:r>
        <w:rPr>
          <w:rFonts w:hint="eastAsia" w:ascii="宋体" w:hAnsi="宋体"/>
          <w:sz w:val="32"/>
          <w:szCs w:val="32"/>
          <w:lang w:val="en-US" w:eastAsia="zh-CN"/>
        </w:rPr>
        <w:t>崔还威</w:t>
      </w:r>
    </w:p>
    <w:p>
      <w:pPr>
        <w:spacing w:line="360" w:lineRule="auto"/>
        <w:ind w:firstLine="2240" w:firstLineChars="700"/>
        <w:jc w:val="left"/>
        <w:rPr>
          <w:rFonts w:ascii="宋体" w:hAnsi="宋体"/>
          <w:sz w:val="32"/>
          <w:szCs w:val="32"/>
        </w:rPr>
      </w:pPr>
      <w:r>
        <w:rPr>
          <w:rFonts w:hint="eastAsia" w:ascii="宋体" w:hAnsi="宋体"/>
          <w:sz w:val="32"/>
          <w:szCs w:val="32"/>
        </w:rPr>
        <w:t>报送日期：</w:t>
      </w:r>
      <w:r>
        <w:rPr>
          <w:rFonts w:ascii="宋体" w:hAnsi="宋体"/>
          <w:sz w:val="32"/>
          <w:szCs w:val="32"/>
        </w:rPr>
        <w:t>2025</w:t>
      </w:r>
      <w:r>
        <w:rPr>
          <w:rFonts w:hint="eastAsia" w:ascii="宋体" w:hAnsi="宋体"/>
          <w:sz w:val="32"/>
          <w:szCs w:val="32"/>
        </w:rPr>
        <w:t>年7月</w:t>
      </w:r>
    </w:p>
    <w:p>
      <w:pPr>
        <w:ind w:firstLine="2248" w:firstLineChars="700"/>
        <w:rPr>
          <w:rFonts w:ascii="仿宋" w:hAnsi="仿宋" w:eastAsia="仿宋"/>
          <w:b/>
          <w:sz w:val="32"/>
          <w:szCs w:val="32"/>
        </w:rPr>
        <w:sectPr>
          <w:footerReference r:id="rId5" w:type="default"/>
          <w:pgSz w:w="11906" w:h="16838"/>
          <w:pgMar w:top="1440" w:right="1083" w:bottom="1440" w:left="1083" w:header="0" w:footer="720"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after="240"/>
        <w:ind w:firstLine="0" w:firstLineChars="0"/>
        <w:jc w:val="center"/>
        <w:textAlignment w:val="auto"/>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w:t>
      </w:r>
      <w:r>
        <w:rPr>
          <w:rFonts w:ascii="Calibri" w:hAnsi="Calibri" w:eastAsia="Calibri" w:cs="Calibri"/>
          <w:b/>
          <w:bCs/>
          <w:kern w:val="0"/>
          <w:sz w:val="54"/>
          <w:szCs w:val="54"/>
        </w:rPr>
        <w:t> </w:t>
      </w:r>
      <w:r>
        <w:rPr>
          <w:rFonts w:ascii="仿宋_GB2312" w:hAnsi="仿宋_GB2312" w:eastAsia="仿宋_GB2312" w:cs="仿宋_GB2312"/>
          <w:b/>
          <w:bCs/>
          <w:kern w:val="0"/>
          <w:sz w:val="54"/>
          <w:szCs w:val="54"/>
        </w:rPr>
        <w:t>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二、单位机构设置及决算单位构成情况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第二部分单位决算情况说明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第五部分单位决算表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pStyle w:val="4"/>
        <w:bidi w:val="0"/>
        <w:rPr>
          <w:rFonts w:hint="eastAsia"/>
        </w:rPr>
      </w:pPr>
      <w:r>
        <w:rPr>
          <w:rFonts w:hint="eastAsia"/>
        </w:rPr>
        <w:t>第一部分单位概况</w:t>
      </w:r>
    </w:p>
    <w:p>
      <w:pPr>
        <w:pStyle w:val="5"/>
        <w:bidi w:val="0"/>
        <w:rPr>
          <w:rFonts w:hint="eastAsia"/>
        </w:rPr>
      </w:pPr>
      <w:r>
        <w:rPr>
          <w:rFonts w:hint="eastAsia"/>
        </w:rPr>
        <w:t>一、主要职能、职责</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times_new_roman" w:hAnsi="times_new_roman" w:eastAsia="times_new_roman" w:cs="times_new_roman"/>
          <w:kern w:val="0"/>
          <w:sz w:val="32"/>
          <w:szCs w:val="32"/>
          <w:lang w:val="en-US" w:eastAsia="zh-CN"/>
        </w:rPr>
      </w:pPr>
      <w:r>
        <w:rPr>
          <w:rFonts w:hint="eastAsia" w:ascii="仿宋_GB2312" w:hAnsi="仿宋_GB2312" w:eastAsia="仿宋_GB2312" w:cs="仿宋_GB2312"/>
          <w:kern w:val="0"/>
          <w:sz w:val="32"/>
          <w:szCs w:val="32"/>
          <w:lang w:val="en-US" w:eastAsia="zh-CN"/>
        </w:rPr>
        <w:t>赤峰市政务服务与数据管理局是市政府工作部门，为正处级。主要职能是</w:t>
      </w:r>
      <w:r>
        <w:rPr>
          <w:rFonts w:hint="eastAsia" w:ascii="仿宋_GB2312" w:hAnsi="仿宋_GB2312" w:eastAsia="仿宋_GB2312" w:cs="仿宋_GB2312"/>
          <w:kern w:val="0"/>
          <w:sz w:val="32"/>
          <w:szCs w:val="32"/>
        </w:rPr>
        <w:t>指导全市政务服务工作；统筹指导全市优化营商环境工作；统筹指导全市数字政府建设；负责市本级政府信息公开和政务公开工作；负责全市公共资源交易工作；完成市委、市政府交办的其他任务。名称与上年度信息偏差较大</w:t>
      </w:r>
      <w:r>
        <w:rPr>
          <w:rFonts w:hint="eastAsia" w:ascii="仿宋_GB2312" w:hAnsi="仿宋_GB2312" w:eastAsia="仿宋_GB2312" w:cs="仿宋_GB2312"/>
          <w:kern w:val="0"/>
          <w:sz w:val="32"/>
          <w:szCs w:val="32"/>
          <w:lang w:val="en-US" w:eastAsia="zh-CN"/>
        </w:rPr>
        <w:t>的原因是：2024年，</w:t>
      </w:r>
      <w:r>
        <w:rPr>
          <w:rFonts w:hint="eastAsia" w:ascii="仿宋_GB2312" w:hAnsi="仿宋_GB2312" w:eastAsia="仿宋_GB2312" w:cs="仿宋_GB2312"/>
          <w:kern w:val="0"/>
          <w:sz w:val="32"/>
          <w:szCs w:val="32"/>
        </w:rPr>
        <w:t>由于机构</w:t>
      </w:r>
      <w:r>
        <w:rPr>
          <w:rFonts w:hint="eastAsia" w:ascii="仿宋_GB2312" w:hAnsi="仿宋_GB2312" w:eastAsia="仿宋_GB2312" w:cs="仿宋_GB2312"/>
          <w:kern w:val="0"/>
          <w:sz w:val="32"/>
          <w:szCs w:val="32"/>
          <w:lang w:val="en-US" w:eastAsia="zh-CN"/>
        </w:rPr>
        <w:t>改革本单位名称由“赤峰市政务服务局”变更为“赤峰市政务服务与数据管理局”。</w:t>
      </w:r>
    </w:p>
    <w:p>
      <w:pPr>
        <w:pStyle w:val="5"/>
        <w:bidi w:val="0"/>
        <w:rPr>
          <w:rFonts w:hint="eastAsia"/>
        </w:rPr>
      </w:pPr>
      <w:r>
        <w:rPr>
          <w:rFonts w:hint="eastAsia"/>
        </w:rPr>
        <w:t>二、单位机构设置及决算单位构成情况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根据单位职责分工，本单位内设机构包括办公室、政策法规与政务公开科、政务服务科、数据规划建设科、数据资源科、公共资源交易综合指导科、公共资源交易业务管理科、营商环境建设协调科、机关党组织。本单位无下属单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2.从决算单位构成看，纳入本单位决算编制范围的预算单位共计1家，具体包括：赤峰市政务服务与数据管理局</w:t>
      </w:r>
      <w:r>
        <w:rPr>
          <w:rFonts w:hint="eastAsia" w:cs="仿宋_GB2312"/>
          <w:kern w:val="0"/>
          <w:sz w:val="32"/>
          <w:szCs w:val="32"/>
          <w:lang w:val="en-US" w:eastAsia="zh-CN"/>
        </w:rPr>
        <w:t>本级</w:t>
      </w:r>
      <w:r>
        <w:rPr>
          <w:rFonts w:hint="eastAsia" w:ascii="仿宋_GB2312" w:hAnsi="仿宋_GB2312" w:eastAsia="仿宋_GB2312" w:cs="仿宋_GB2312"/>
          <w:kern w:val="0"/>
          <w:sz w:val="32"/>
          <w:szCs w:val="32"/>
          <w:lang w:val="en-US" w:eastAsia="zh-CN"/>
        </w:rPr>
        <w:t>。详细情况见表：</w:t>
      </w:r>
    </w:p>
    <w:tbl>
      <w:tblPr>
        <w:tblStyle w:val="22"/>
        <w:tblW w:w="1179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仿宋_GB2312" w:hAnsi="仿宋_GB2312" w:eastAsia="仿宋_GB2312" w:cs="仿宋_GB2312"/>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仿宋_GB2312" w:hAnsi="仿宋_GB2312" w:eastAsia="仿宋_GB2312" w:cs="仿宋_GB2312"/>
                <w:b w:val="0"/>
                <w:bCs w:val="0"/>
                <w:i w:val="0"/>
                <w:iCs w:val="0"/>
                <w:smallCaps w:val="0"/>
                <w:color w:val="000000"/>
                <w:kern w:val="0"/>
                <w:sz w:val="24"/>
              </w:rPr>
            </w:pPr>
            <w:r>
              <w:rPr>
                <w:rFonts w:hint="eastAsia" w:ascii="仿宋_GB2312" w:hAnsi="仿宋_GB2312" w:eastAsia="仿宋_GB2312" w:cs="仿宋_GB2312"/>
                <w:b w:val="0"/>
                <w:bCs w:val="0"/>
                <w:i w:val="0"/>
                <w:iCs w:val="0"/>
                <w:smallCaps w:val="0"/>
                <w:color w:val="000000"/>
                <w:kern w:val="0"/>
                <w:sz w:val="24"/>
                <w:lang w:val="en-US" w:eastAsia="zh-CN"/>
              </w:rPr>
              <w:t>赤峰市政务服务与数据管理局</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行政单位</w:t>
            </w:r>
          </w:p>
        </w:tc>
      </w:tr>
    </w:tbl>
    <w:p>
      <w:pPr>
        <w:pStyle w:val="5"/>
        <w:bidi w:val="0"/>
        <w:rPr>
          <w:rFonts w:hint="eastAsia"/>
        </w:rPr>
      </w:pPr>
      <w:r>
        <w:rPr>
          <w:rFonts w:hint="eastAsia"/>
        </w:rPr>
        <w:t>三、2024年度单位主要工作完成情况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是深化“放管服”改革，加大简政放权力度，推动市级行政审批事项向旗县区应放尽放。持续梳理市本级权清单，发布《赤峰市市本级部门权责清单（2024版）》，保留市本级行政权力事项6077项，取消下放（含执法重心下移）行政权力事项212项。梳理全市可容缺高频政务服务事项5</w:t>
      </w:r>
      <w:r>
        <w:rPr>
          <w:rFonts w:hint="eastAsia" w:ascii="仿宋_GB2312" w:hAnsi="仿宋_GB2312" w:eastAsia="仿宋_GB2312" w:cs="仿宋_GB2312"/>
          <w:kern w:val="0"/>
          <w:sz w:val="32"/>
          <w:szCs w:val="32"/>
          <w:lang w:val="en" w:eastAsia="zh-CN"/>
        </w:rPr>
        <w:t>65</w:t>
      </w:r>
      <w:r>
        <w:rPr>
          <w:rFonts w:hint="eastAsia" w:ascii="仿宋_GB2312" w:hAnsi="仿宋_GB2312" w:eastAsia="仿宋_GB2312" w:cs="仿宋_GB2312"/>
          <w:kern w:val="0"/>
          <w:sz w:val="32"/>
          <w:szCs w:val="32"/>
          <w:lang w:val="en-US" w:eastAsia="zh-CN"/>
        </w:rPr>
        <w:t>项，确认市本级行政许可事项2049项，清理中介服务事项12项。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cs="仿宋_GB2312"/>
          <w:kern w:val="0"/>
          <w:sz w:val="32"/>
          <w:szCs w:val="32"/>
          <w:lang w:val="en-US" w:eastAsia="zh-CN"/>
        </w:rPr>
        <w:t>二</w:t>
      </w:r>
      <w:r>
        <w:rPr>
          <w:rFonts w:hint="eastAsia" w:ascii="仿宋_GB2312" w:hAnsi="仿宋_GB2312" w:eastAsia="仿宋_GB2312" w:cs="仿宋_GB2312"/>
          <w:kern w:val="0"/>
          <w:sz w:val="32"/>
          <w:szCs w:val="32"/>
          <w:lang w:val="en-US" w:eastAsia="zh-CN"/>
        </w:rPr>
        <w:t>是加快推行“市域通办”“全区通办”和“跨省通办”。推动“市域通办”系统向乡镇、村、园区、政银合作点延伸，市域内“无差别受理、同标准办理”事项达到1402项，累计办理700余件。线上线下推广应用“全区通办”业务系统，实现新增150项“全区通办”事项“无差别受理、同标准办理”。</w:t>
      </w:r>
      <w:r>
        <w:rPr>
          <w:rFonts w:hint="eastAsia" w:ascii="仿宋_GB2312" w:hAnsi="仿宋_GB2312" w:eastAsia="仿宋_GB2312" w:cs="仿宋_GB2312"/>
          <w:kern w:val="0"/>
          <w:sz w:val="32"/>
          <w:szCs w:val="32"/>
          <w:lang w:val="en" w:eastAsia="zh-CN"/>
        </w:rPr>
        <w:t>签订跨省通办协议29个，</w:t>
      </w:r>
      <w:r>
        <w:rPr>
          <w:rFonts w:hint="eastAsia" w:ascii="仿宋_GB2312" w:hAnsi="仿宋_GB2312" w:eastAsia="仿宋_GB2312" w:cs="仿宋_GB2312"/>
          <w:kern w:val="0"/>
          <w:sz w:val="32"/>
          <w:szCs w:val="32"/>
          <w:lang w:val="en-US" w:eastAsia="zh-CN"/>
        </w:rPr>
        <w:t>与11个省的23个地区实现点对点通办，设置跨省通办窗口36个，“跨省通办”</w:t>
      </w:r>
      <w:r>
        <w:rPr>
          <w:rFonts w:hint="eastAsia" w:ascii="仿宋_GB2312" w:hAnsi="仿宋_GB2312" w:eastAsia="仿宋_GB2312" w:cs="仿宋_GB2312"/>
          <w:kern w:val="0"/>
          <w:sz w:val="32"/>
          <w:szCs w:val="32"/>
          <w:lang w:val="en" w:eastAsia="zh-CN"/>
        </w:rPr>
        <w:t>事项数</w:t>
      </w:r>
      <w:r>
        <w:rPr>
          <w:rFonts w:hint="eastAsia" w:ascii="仿宋_GB2312" w:hAnsi="仿宋_GB2312" w:eastAsia="仿宋_GB2312" w:cs="仿宋_GB2312"/>
          <w:kern w:val="0"/>
          <w:sz w:val="32"/>
          <w:szCs w:val="32"/>
          <w:lang w:val="en-US" w:eastAsia="zh-CN"/>
        </w:rPr>
        <w:t>210</w:t>
      </w:r>
      <w:r>
        <w:rPr>
          <w:rFonts w:hint="eastAsia" w:ascii="仿宋_GB2312" w:hAnsi="仿宋_GB2312" w:eastAsia="仿宋_GB2312" w:cs="仿宋_GB2312"/>
          <w:kern w:val="0"/>
          <w:sz w:val="32"/>
          <w:szCs w:val="32"/>
          <w:lang w:val="en" w:eastAsia="zh-CN"/>
        </w:rPr>
        <w:t>个，累计办件量为</w:t>
      </w:r>
      <w:r>
        <w:rPr>
          <w:rFonts w:hint="eastAsia" w:ascii="仿宋_GB2312" w:hAnsi="仿宋_GB2312" w:eastAsia="仿宋_GB2312" w:cs="仿宋_GB2312"/>
          <w:kern w:val="0"/>
          <w:sz w:val="32"/>
          <w:szCs w:val="32"/>
          <w:lang w:val="en-US" w:eastAsia="zh-CN"/>
        </w:rPr>
        <w:t>23516</w:t>
      </w:r>
      <w:r>
        <w:rPr>
          <w:rFonts w:hint="eastAsia" w:ascii="仿宋_GB2312" w:hAnsi="仿宋_GB2312" w:eastAsia="仿宋_GB2312" w:cs="仿宋_GB2312"/>
          <w:kern w:val="0"/>
          <w:sz w:val="32"/>
          <w:szCs w:val="32"/>
          <w:lang w:val="en" w:eastAsia="zh-CN"/>
        </w:rPr>
        <w:t>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cs="仿宋_GB2312"/>
          <w:kern w:val="0"/>
          <w:sz w:val="32"/>
          <w:szCs w:val="32"/>
          <w:lang w:val="en-US" w:eastAsia="zh-CN"/>
        </w:rPr>
        <w:t>三</w:t>
      </w:r>
      <w:r>
        <w:rPr>
          <w:rFonts w:hint="eastAsia" w:ascii="仿宋_GB2312" w:hAnsi="仿宋_GB2312" w:eastAsia="仿宋_GB2312" w:cs="仿宋_GB2312"/>
          <w:kern w:val="0"/>
          <w:sz w:val="32"/>
          <w:szCs w:val="32"/>
          <w:lang w:val="en-US" w:eastAsia="zh-CN"/>
        </w:rPr>
        <w:t>是高效推进“一网通办”“一网统管”“一线通达”。全力提升政务外网支撑保障能力，实现政务外网市县乡村四级全覆盖，网上办件率达到88.22%，较2023年提高10个百分点。整合26个部门35条热线，设立交警、旅游、供暖等服务专席，确保相关诉求第一时间得到有效解决。年初以来，热线共受理诉求工单40万余件。其中直接答复33万余件，派单8万余件，热线转办工单响应率为100%，解决率为81.47%，满意率为85.12%，办结率为91%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kern w:val="0"/>
          <w:sz w:val="32"/>
          <w:szCs w:val="32"/>
          <w:lang w:val="en-US" w:eastAsia="zh-CN"/>
        </w:rPr>
        <w:t>四是筑牢数据基础底座，持续激发数字经济发展活力。</w:t>
      </w:r>
      <w:r>
        <w:rPr>
          <w:rFonts w:hint="eastAsia" w:ascii="仿宋_GB2312" w:hAnsi="仿宋_GB2312" w:eastAsia="仿宋_GB2312" w:cs="仿宋_GB2312"/>
          <w:b w:val="0"/>
          <w:bCs w:val="0"/>
          <w:color w:val="000000" w:themeColor="text1"/>
          <w:sz w:val="32"/>
          <w:szCs w:val="32"/>
          <w:lang w:val="en-US" w:eastAsia="zh-CN"/>
        </w:rPr>
        <w:t>加强数字化项目管理，印发《赤峰市本级政务信息化项目管理暂行办法》，全流程规范市本级信息化项目建设管理，压缩数字化项目建设资金近5000万。</w:t>
      </w:r>
      <w:r>
        <w:rPr>
          <w:rFonts w:hint="eastAsia" w:ascii="仿宋_GB2312" w:hAnsi="仿宋_GB2312" w:eastAsia="仿宋_GB2312" w:cs="仿宋_GB2312"/>
          <w:b w:val="0"/>
          <w:bCs/>
          <w:color w:val="000000" w:themeColor="text1"/>
          <w:kern w:val="2"/>
          <w:sz w:val="32"/>
          <w:szCs w:val="32"/>
          <w:lang w:val="en-US" w:eastAsia="zh-CN" w:bidi="ar-SA"/>
        </w:rPr>
        <w:t>促进数据资源有序开放共享，政务信息资源共享平台汇集人口、法人、信用信息、政务信息四大综合数据库，</w:t>
      </w:r>
      <w:r>
        <w:rPr>
          <w:rFonts w:hint="default" w:ascii="仿宋_GB2312" w:hAnsi="仿宋_GB2312" w:eastAsia="仿宋_GB2312" w:cs="仿宋_GB2312"/>
          <w:b w:val="0"/>
          <w:bCs/>
          <w:color w:val="000000" w:themeColor="text1"/>
          <w:kern w:val="2"/>
          <w:sz w:val="32"/>
          <w:szCs w:val="32"/>
          <w:lang w:val="en-US" w:eastAsia="zh-CN" w:bidi="ar-SA"/>
        </w:rPr>
        <w:t>现有数据目录2086条，挂接资源2224项，累计数据量3381万余条，汇聚数量及应用率均居自治区首位</w:t>
      </w:r>
      <w:r>
        <w:rPr>
          <w:rFonts w:hint="eastAsia" w:ascii="仿宋_GB2312" w:hAnsi="仿宋_GB2312" w:eastAsia="仿宋_GB2312" w:cs="仿宋_GB2312"/>
          <w:b w:val="0"/>
          <w:bCs/>
          <w:color w:val="000000" w:themeColor="text1"/>
          <w:kern w:val="2"/>
          <w:sz w:val="32"/>
          <w:szCs w:val="32"/>
          <w:lang w:val="en-US" w:eastAsia="zh-CN" w:bidi="ar-SA"/>
        </w:rPr>
        <w:t>。</w:t>
      </w:r>
    </w:p>
    <w:p>
      <w:pPr>
        <w:keepNext w:val="0"/>
        <w:keepLines w:val="0"/>
        <w:pageBreakBefore w:val="0"/>
        <w:numPr>
          <w:ilvl w:val="0"/>
          <w:numId w:val="0"/>
        </w:numPr>
        <w:kinsoku/>
        <w:overflowPunct/>
        <w:autoSpaceDE/>
        <w:autoSpaceDN/>
        <w:bidi w:val="0"/>
        <w:adjustRightInd/>
        <w:snapToGrid/>
        <w:spacing w:line="540" w:lineRule="exact"/>
        <w:ind w:firstLine="640" w:firstLineChars="200"/>
        <w:textAlignment w:val="auto"/>
        <w:rPr>
          <w:rFonts w:hint="default" w:ascii="仿宋_GB2312" w:hAnsi="仿宋_GB2312" w:eastAsia="仿宋_GB2312" w:cs="仿宋_GB2312"/>
          <w:color w:val="000000" w:themeColor="text1"/>
          <w:sz w:val="32"/>
          <w:szCs w:val="32"/>
          <w:lang w:val="en-US" w:eastAsia="zh-CN"/>
        </w:rPr>
      </w:pPr>
      <w:r>
        <w:rPr>
          <w:rFonts w:hint="eastAsia" w:cs="仿宋_GB2312"/>
          <w:kern w:val="0"/>
          <w:sz w:val="32"/>
          <w:szCs w:val="32"/>
          <w:lang w:val="en-US" w:eastAsia="zh-CN"/>
        </w:rPr>
        <w:t>五</w:t>
      </w:r>
      <w:r>
        <w:rPr>
          <w:rFonts w:hint="eastAsia" w:ascii="仿宋_GB2312" w:hAnsi="仿宋_GB2312" w:eastAsia="仿宋_GB2312" w:cs="仿宋_GB2312"/>
          <w:kern w:val="0"/>
          <w:sz w:val="32"/>
          <w:szCs w:val="32"/>
          <w:lang w:val="en-US" w:eastAsia="zh-CN"/>
        </w:rPr>
        <w:t>是严格落实自治区营商环境4.0版政策举措。</w:t>
      </w:r>
      <w:r>
        <w:rPr>
          <w:rFonts w:hint="default" w:ascii="仿宋_GB2312" w:hAnsi="仿宋_GB2312" w:eastAsia="仿宋_GB2312" w:cs="仿宋_GB2312"/>
          <w:kern w:val="0"/>
          <w:sz w:val="32"/>
          <w:szCs w:val="32"/>
          <w:lang w:val="en-US" w:eastAsia="zh-CN"/>
        </w:rPr>
        <w:t>逐条梳理分解任务、逐项压实牵头部门责任，实行台账式管理、项目化推进。</w:t>
      </w:r>
      <w:r>
        <w:rPr>
          <w:rFonts w:hint="eastAsia" w:ascii="仿宋_GB2312" w:hAnsi="仿宋_GB2312" w:eastAsia="仿宋_GB2312" w:cs="仿宋_GB2312"/>
          <w:kern w:val="0"/>
          <w:sz w:val="32"/>
          <w:szCs w:val="32"/>
          <w:lang w:val="en-US" w:eastAsia="zh-CN"/>
        </w:rPr>
        <w:t>配套出台政策措施，以自治区4.0方案为指引，制定印发《赤峰市优化营商环境指标任务整改及提升方案》、《赤峰市持续优化营商环境行动方案》，与贯彻落实自治区4.0方案同步发力，切实保障4.0方案任务措施落细落实。</w:t>
      </w:r>
      <w:r>
        <w:rPr>
          <w:rFonts w:hint="eastAsia" w:cs="仿宋_GB2312"/>
          <w:kern w:val="0"/>
          <w:sz w:val="32"/>
          <w:szCs w:val="32"/>
          <w:lang w:val="en-US" w:eastAsia="zh-CN"/>
        </w:rPr>
        <w:t>截止年底，</w:t>
      </w:r>
      <w:r>
        <w:rPr>
          <w:rFonts w:hint="eastAsia" w:ascii="仿宋_GB2312" w:hAnsi="仿宋_GB2312" w:eastAsia="仿宋_GB2312" w:cs="仿宋_GB2312"/>
          <w:kern w:val="0"/>
          <w:sz w:val="32"/>
          <w:szCs w:val="32"/>
          <w:lang w:val="en-US" w:eastAsia="zh-CN"/>
        </w:rPr>
        <w:t>自治区4.0方案</w:t>
      </w:r>
      <w:r>
        <w:rPr>
          <w:rFonts w:hint="eastAsia" w:cs="仿宋_GB2312"/>
          <w:kern w:val="0"/>
          <w:sz w:val="32"/>
          <w:szCs w:val="32"/>
          <w:lang w:val="en-US" w:eastAsia="zh-CN"/>
        </w:rPr>
        <w:t>中</w:t>
      </w:r>
      <w:r>
        <w:rPr>
          <w:rFonts w:hint="eastAsia" w:ascii="仿宋_GB2312" w:hAnsi="仿宋_GB2312" w:eastAsia="仿宋_GB2312" w:cs="仿宋_GB2312"/>
          <w:kern w:val="0"/>
          <w:sz w:val="32"/>
          <w:szCs w:val="32"/>
          <w:lang w:val="en-US" w:eastAsia="zh-CN"/>
        </w:rPr>
        <w:t>2024年度121项任务已全部销号完成。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kern w:val="0"/>
          <w:sz w:val="32"/>
          <w:szCs w:val="32"/>
          <w:lang w:val="en-US" w:eastAsia="zh-CN"/>
        </w:rPr>
        <w:t>六是高质量、高标准推进公共资源交易更加公平公正。加强区域协作，与50多个城市建立了远程异地评标合作关系，成为全区唯一入选“易采虹”跨区域远程异地评标双随机城市联盟的盟市。</w:t>
      </w:r>
      <w:r>
        <w:rPr>
          <w:rFonts w:hint="eastAsia" w:ascii="仿宋_GB2312" w:hAnsi="仿宋_GB2312" w:eastAsia="仿宋_GB2312" w:cs="仿宋_GB2312"/>
          <w:b w:val="0"/>
          <w:bCs w:val="0"/>
          <w:color w:val="000000" w:themeColor="text1"/>
          <w:sz w:val="32"/>
          <w:szCs w:val="32"/>
          <w:lang w:val="en-US" w:eastAsia="zh-CN"/>
        </w:rPr>
        <w:t>牵头成立全区首个县域间政府采购联盟，整合5个盟市、54个旗县区政府采购领域评审专家资源，实现了专家资源共享从盟市间进一步延伸到旗县区间的突破。深化改革实践，推进“双随机”“双盲”项目评审，完成主副场“双随机”“双盲”项目10个。</w:t>
      </w:r>
    </w:p>
    <w:p>
      <w:pPr>
        <w:pStyle w:val="4"/>
        <w:bidi w:val="0"/>
        <w:rPr>
          <w:rFonts w:hint="eastAsia"/>
        </w:rPr>
      </w:pPr>
      <w:r>
        <w:rPr>
          <w:rFonts w:hint="eastAsia"/>
        </w:rPr>
        <w:t>第二部分单位决算情况说明</w:t>
      </w:r>
    </w:p>
    <w:p>
      <w:pPr>
        <w:pStyle w:val="5"/>
        <w:bidi w:val="0"/>
        <w:rPr>
          <w:rFonts w:hint="eastAsia"/>
        </w:rPr>
      </w:pPr>
      <w:r>
        <w:rPr>
          <w:rFonts w:hint="eastAsia"/>
        </w:rPr>
        <w:t>一、收入支出决算总体情况说明</w:t>
      </w:r>
    </w:p>
    <w:p>
      <w:pPr>
        <w:bidi w:val="0"/>
        <w:rPr>
          <w:rFonts w:hint="eastAsia"/>
          <w:lang w:val="en-US" w:eastAsia="zh-CN"/>
        </w:rPr>
      </w:pPr>
      <w:r>
        <w:rPr>
          <w:rFonts w:hint="eastAsia"/>
          <w:lang w:val="en-US" w:eastAsia="zh-CN"/>
        </w:rPr>
        <w:t>赤峰市政务服务与数据管理局（本级）2024年度收入、支出决算总计均为2959.03万元。与年初预算相比，收、支总计各减少3659.15万元，下降55.29%，变动原因：一是部分项目资金应付未付，已计入“其他应付款中”，二是根据合同约定，部分项目资金分年度支付，故未在本年度列支；与上年决算相比，收、支总计各减少1662.37万元，下降35.97%。其中：</w:t>
      </w:r>
    </w:p>
    <w:p>
      <w:pPr>
        <w:pStyle w:val="6"/>
        <w:bidi w:val="0"/>
        <w:rPr>
          <w:rFonts w:hint="eastAsia"/>
        </w:rPr>
      </w:pPr>
      <w:r>
        <w:rPr>
          <w:rFonts w:hint="eastAsia"/>
        </w:rPr>
        <w:t>（一）收入决算总计 2959.03万元。包括：</w:t>
      </w:r>
    </w:p>
    <w:p>
      <w:pPr>
        <w:bidi w:val="0"/>
      </w:pPr>
      <w:r>
        <w:t>1.本年收入决算合计 2959.03万元。与上年决算相比，减少 1662.37万元，下降35.97%，变动原因：</w:t>
      </w:r>
      <w:r>
        <w:rPr>
          <w:rFonts w:hint="eastAsia"/>
        </w:rPr>
        <w:t>一是减少政务大厅智能化和在线政务能力提升咨询服务等项目；二是部分项目资金应付未付，当年未列支。</w:t>
      </w:r>
    </w:p>
    <w:p>
      <w:pPr>
        <w:bidi w:val="0"/>
      </w:pPr>
      <w:r>
        <w:t>2.使用非财政拨款结余（含专用结余）0万元。与上年决算相比，增加0万元，增长0%，变动原因：不存在此项内容。</w:t>
      </w:r>
    </w:p>
    <w:p>
      <w:pPr>
        <w:bidi w:val="0"/>
      </w:pPr>
      <w:r>
        <w:t>3.年初结转和结余 0万元。与上年决算相比，增加0万元，增长 0%，变动原因：不存在此项内容。</w:t>
      </w:r>
    </w:p>
    <w:p>
      <w:pPr>
        <w:pStyle w:val="6"/>
        <w:bidi w:val="0"/>
      </w:pPr>
      <w:r>
        <w:t>（二）支出决算总计 2959.03万元。包括：</w:t>
      </w:r>
    </w:p>
    <w:p>
      <w:pPr>
        <w:bidi w:val="0"/>
      </w:pPr>
      <w:r>
        <w:t>1.本年支出决算合计 2959.03万元。与上年决算相比，减少1662.37万元，下降35.97%，变动原因：</w:t>
      </w:r>
      <w:r>
        <w:rPr>
          <w:rFonts w:hint="eastAsia"/>
        </w:rPr>
        <w:t>一是减少政务大厅智能化和在线政务能力提升咨询服务等项目；二是部分项目资金应付未付，当年未列支。</w:t>
      </w:r>
    </w:p>
    <w:p>
      <w:pPr>
        <w:bidi w:val="0"/>
      </w:pPr>
      <w:r>
        <w:t>2.结余分配 0万元。结余分配事项：不存在此项内容。与上年决算相比，增加 0万元，增长0%，变动原因：不存在此项内容。</w:t>
      </w:r>
    </w:p>
    <w:p>
      <w:pPr>
        <w:bidi w:val="0"/>
      </w:pPr>
      <w:r>
        <w:t>3.年末结转和结余 0万元。结转和结余事项：不存在此项内容。与上年决算相比，增加 0万元，增长 0%，变动原因：不存在此项内容。</w:t>
      </w:r>
    </w:p>
    <w:p>
      <w:pPr>
        <w:pStyle w:val="5"/>
        <w:bidi w:val="0"/>
      </w:pPr>
      <w:r>
        <w:t>二、收入决算情况说明</w:t>
      </w:r>
    </w:p>
    <w:p>
      <w:pPr>
        <w:bidi w:val="0"/>
      </w:pPr>
      <w:r>
        <w:t>赤峰市政务服务与数据管理局（本级） 2024年度本年收入决算合计 2959.03万元，其中：</w:t>
      </w:r>
    </w:p>
    <w:p>
      <w:pPr>
        <w:bidi w:val="0"/>
      </w:pPr>
      <w:r>
        <w:t>本年一般公共预算财政拨款收入 2959.03万元，占 100.00%；</w:t>
      </w:r>
    </w:p>
    <w:p>
      <w:pPr>
        <w:bidi w:val="0"/>
      </w:pPr>
      <w:r>
        <w:t>本年政府性基金预算财政拨款收入 0万元，占 0%；</w:t>
      </w:r>
    </w:p>
    <w:p>
      <w:pPr>
        <w:bidi w:val="0"/>
      </w:pPr>
      <w:r>
        <w:t>本年国有资本经营预算财政拨款收入 0万元，占 0%；</w:t>
      </w:r>
    </w:p>
    <w:p>
      <w:pPr>
        <w:bidi w:val="0"/>
      </w:pPr>
      <w:r>
        <w:t>本年上级补助收入 0万元，占 0%；</w:t>
      </w:r>
    </w:p>
    <w:p>
      <w:pPr>
        <w:bidi w:val="0"/>
      </w:pPr>
      <w:r>
        <w:t>本年事业收入 0万元，占 0%；</w:t>
      </w:r>
    </w:p>
    <w:p>
      <w:pPr>
        <w:bidi w:val="0"/>
      </w:pPr>
      <w:r>
        <w:t>本年经营收入 0万元，占 0%；</w:t>
      </w:r>
    </w:p>
    <w:p>
      <w:pPr>
        <w:bidi w:val="0"/>
      </w:pPr>
      <w:r>
        <w:t>本年附属单位上缴收入 0万元，占 0%；</w:t>
      </w:r>
    </w:p>
    <w:p>
      <w:pPr>
        <w:bidi w:val="0"/>
      </w:pPr>
      <w:r>
        <w:t>本年其他收入 0万元，占 0%。</w:t>
      </w:r>
    </w:p>
    <w:p>
      <w:pPr>
        <w:widowControl/>
        <w:spacing w:before="240" w:after="240"/>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type="#_x0000_t75" style="height:274.2pt;width:438.65pt;" filled="f" o:preferrelative="t" stroked="f" coordsize="21600,21600">
            <v:path/>
            <v:fill on="f" focussize="0,0"/>
            <v:stroke on="f"/>
            <v:imagedata r:id="rId8" o:title=""/>
            <o:lock v:ext="edit" aspectratio="t"/>
            <w10:wrap type="none"/>
            <w10:anchorlock/>
          </v:shape>
        </w:pict>
      </w:r>
      <w:r>
        <w:rPr>
          <w:rFonts w:ascii="Times New Roman" w:hAnsi="Times New Roman" w:eastAsia="Times New Roman" w:cs="Times New Roman"/>
          <w:kern w:val="0"/>
          <w:sz w:val="24"/>
        </w:rPr>
        <w:t>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pPr>
        <w:pStyle w:val="5"/>
        <w:bidi w:val="0"/>
      </w:pPr>
      <w:r>
        <w:t>三、支出决算情况说明</w:t>
      </w:r>
    </w:p>
    <w:p>
      <w:pPr>
        <w:bidi w:val="0"/>
      </w:pPr>
      <w:r>
        <w:t>赤峰市政务服务与数据管理局（本级）2024年度本年支出决算合计 2959.03万元，其中：</w:t>
      </w:r>
    </w:p>
    <w:p>
      <w:pPr>
        <w:bidi w:val="0"/>
      </w:pPr>
      <w:r>
        <w:t>本年基本支出 360.55万元，占 12.18%；</w:t>
      </w:r>
    </w:p>
    <w:p>
      <w:pPr>
        <w:bidi w:val="0"/>
      </w:pPr>
      <w:r>
        <w:t>本年项目支出 2598.48万元，占 87.82%；</w:t>
      </w:r>
    </w:p>
    <w:p>
      <w:pPr>
        <w:bidi w:val="0"/>
      </w:pPr>
      <w:r>
        <w:t>本年上缴上级支出 0万元，占 0%；</w:t>
      </w:r>
    </w:p>
    <w:p>
      <w:pPr>
        <w:bidi w:val="0"/>
      </w:pPr>
      <w:r>
        <w:t>本年经营支出 0万元，占 0%；</w:t>
      </w:r>
    </w:p>
    <w:p>
      <w:pPr>
        <w:bidi w:val="0"/>
      </w:pPr>
      <w:r>
        <w:t>本年对附属单位补助支出 0万元，占 0%。</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6" o:spt="75" type="#_x0000_t75" style="height:267.3pt;width:427.65pt;" filled="f" o:preferrelative="t" stroked="f" coordsize="21600,21600">
            <v:path/>
            <v:fill on="f" focussize="0,0"/>
            <v:stroke on="f"/>
            <v:imagedata r:id="rId9" o:title=""/>
            <o:lock v:ext="edit" aspectratio="t"/>
            <w10:wrap type="none"/>
            <w10:anchorlock/>
          </v:shape>
        </w:pict>
      </w:r>
      <w:r>
        <w:rPr>
          <w:rFonts w:ascii="Times New Roman" w:hAnsi="Times New Roman" w:eastAsia="Times New Roman" w:cs="Times New Roman"/>
          <w:kern w:val="0"/>
          <w:sz w:val="24"/>
        </w:rPr>
        <w:t>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pStyle w:val="5"/>
        <w:bidi w:val="0"/>
      </w:pPr>
      <w:r>
        <w:t>四、财政拨款收入支出决算总体情况说明</w:t>
      </w:r>
    </w:p>
    <w:p>
      <w:pPr>
        <w:bidi w:val="0"/>
      </w:pPr>
      <w:r>
        <w:t>赤峰市政务服务与数据管理局（本级） 2024年度财政拨款收入、支出决算总计均为 2959.03万元，与年初预算相比，收、支总计各减少3659.15万元，下降55.29%，变动原因：</w:t>
      </w:r>
      <w:r>
        <w:rPr>
          <w:rFonts w:hint="eastAsia"/>
          <w:lang w:val="en-US" w:eastAsia="zh-CN"/>
        </w:rPr>
        <w:t>一是</w:t>
      </w:r>
      <w:r>
        <w:rPr>
          <w:rFonts w:hint="eastAsia"/>
        </w:rPr>
        <w:t>部分项目资金应付未付，</w:t>
      </w:r>
      <w:r>
        <w:rPr>
          <w:rFonts w:hint="eastAsia"/>
          <w:lang w:val="en-US" w:eastAsia="zh-CN"/>
        </w:rPr>
        <w:t>已计入“其他应付款中”，二是根据合同约定，部分项目资金分年度支付，故未在本年度列支</w:t>
      </w:r>
      <w:r>
        <w:t>；与上年决算相比，收、支总计各减少1662.37万元，下降35.97%，变动原因：</w:t>
      </w:r>
      <w:r>
        <w:rPr>
          <w:rFonts w:hint="eastAsia"/>
        </w:rPr>
        <w:t>一是减少政务大厅智能化和在线政务能力提升咨询服务等项目；二是部分项目资金应付未付，当年未列支。</w:t>
      </w:r>
    </w:p>
    <w:p>
      <w:pPr>
        <w:pStyle w:val="5"/>
        <w:bidi w:val="0"/>
      </w:pPr>
      <w:r>
        <w:t>五、一般公共预算财政拨款支出决算情况说明</w:t>
      </w:r>
    </w:p>
    <w:p>
      <w:pPr>
        <w:bidi w:val="0"/>
      </w:pPr>
      <w:r>
        <w:t>赤峰市政务服务与数据管理局（本级） 2024年度一般公共预算财政拨款支出决算 2959.03万元。与年初预算6618.18万元相比，完成年初预算的44.71%。其中：</w:t>
      </w:r>
    </w:p>
    <w:p>
      <w:pPr>
        <w:pStyle w:val="6"/>
        <w:bidi w:val="0"/>
      </w:pPr>
      <w:r>
        <w:t>（一）一般公共服务（类）</w:t>
      </w:r>
    </w:p>
    <w:p>
      <w:pPr>
        <w:bidi w:val="0"/>
        <w:rPr>
          <w:rFonts w:hint="eastAsia"/>
        </w:rPr>
      </w:pPr>
      <w:r>
        <w:t> </w:t>
      </w:r>
      <w:r>
        <w:rPr>
          <w:rFonts w:hint="eastAsia"/>
        </w:rPr>
        <w:t>一般公共服务（类）决算数为 2893.46万元，与年初预算相比减少3652.74万元。其中：</w:t>
      </w:r>
    </w:p>
    <w:p>
      <w:pPr>
        <w:bidi w:val="0"/>
        <w:rPr>
          <w:rFonts w:hint="eastAsia"/>
        </w:rPr>
      </w:pPr>
      <w:r>
        <w:rPr>
          <w:rFonts w:hint="eastAsia"/>
        </w:rPr>
        <w:t>1．政府办公厅（室）及相关机构事务（款）行政运行（项）。年初预算</w:t>
      </w:r>
      <w:r>
        <w:rPr>
          <w:rFonts w:hint="eastAsia"/>
          <w:lang w:val="en-US" w:eastAsia="zh-CN"/>
        </w:rPr>
        <w:t>229.85</w:t>
      </w:r>
      <w:r>
        <w:rPr>
          <w:rFonts w:hint="eastAsia"/>
        </w:rPr>
        <w:t>万元，支出决算</w:t>
      </w:r>
      <w:r>
        <w:rPr>
          <w:rFonts w:hint="eastAsia"/>
          <w:lang w:val="en-US" w:eastAsia="zh-CN"/>
        </w:rPr>
        <w:t>208.91</w:t>
      </w:r>
      <w:r>
        <w:rPr>
          <w:rFonts w:hint="eastAsia"/>
        </w:rPr>
        <w:t>万元，完成年初预算的</w:t>
      </w:r>
      <w:r>
        <w:rPr>
          <w:rFonts w:hint="eastAsia"/>
          <w:lang w:val="en-US" w:eastAsia="zh-CN"/>
        </w:rPr>
        <w:t>90.9</w:t>
      </w:r>
      <w:r>
        <w:rPr>
          <w:rFonts w:hint="eastAsia"/>
        </w:rPr>
        <w:t>%。决算数与年初预算数的差异原因：</w:t>
      </w:r>
      <w:r>
        <w:rPr>
          <w:rFonts w:hint="eastAsia"/>
          <w:lang w:val="en-US" w:eastAsia="zh-CN"/>
        </w:rPr>
        <w:t>年初预算时按照13个月的标准测算工资数</w:t>
      </w:r>
      <w:r>
        <w:rPr>
          <w:rFonts w:hint="eastAsia"/>
        </w:rPr>
        <w:t>。</w:t>
      </w:r>
    </w:p>
    <w:p>
      <w:pPr>
        <w:bidi w:val="0"/>
        <w:rPr>
          <w:rFonts w:hint="eastAsia"/>
          <w:lang w:val="en-US" w:eastAsia="zh-CN"/>
        </w:rPr>
      </w:pPr>
      <w:r>
        <w:rPr>
          <w:rFonts w:hint="eastAsia"/>
          <w:lang w:val="en-US" w:eastAsia="zh-CN"/>
        </w:rPr>
        <w:t>2．政府办公厅（室）及相关机构事务（款）一般行政管理事务（项）。年初预算43.20万元，支出决算41.40万元，完成年初预算的95.8%。决算数与年初预算数的差异原因：提供法律服务的律师事务所人事变动，本单位减少一名律师的服务费。</w:t>
      </w:r>
    </w:p>
    <w:p>
      <w:pPr>
        <w:bidi w:val="0"/>
        <w:rPr>
          <w:rFonts w:hint="eastAsia"/>
          <w:lang w:val="en-US" w:eastAsia="zh-CN"/>
        </w:rPr>
      </w:pPr>
      <w:r>
        <w:rPr>
          <w:rFonts w:hint="eastAsia"/>
          <w:lang w:val="en-US" w:eastAsia="zh-CN"/>
        </w:rPr>
        <w:t>3．政府办公厅（室）及相关机构事务（款）政务公开审批（项）。年初预算1752.62万元，支出决算163.96万元，完成年初预算的9.4%。决算数与年初预算数的差异原因：赤峰市民中心建设项目款应付未付，已列入“其他应付款”中。</w:t>
      </w:r>
    </w:p>
    <w:p>
      <w:pPr>
        <w:bidi w:val="0"/>
        <w:rPr>
          <w:rFonts w:hint="eastAsia"/>
          <w:lang w:val="en-US" w:eastAsia="zh-CN"/>
        </w:rPr>
      </w:pPr>
      <w:r>
        <w:rPr>
          <w:rFonts w:hint="eastAsia"/>
          <w:lang w:val="en-US" w:eastAsia="zh-CN"/>
        </w:rPr>
        <w:t>4．政府办公厅（室）及相关机构事务（款）其他政府办公厅（室）及相关机构事务支出（项）。年初预算4520.52万元，支出决算2475.19万元，完成年初预算的54.8%。决算数与年初预算数的差异原因：一是</w:t>
      </w:r>
      <w:r>
        <w:rPr>
          <w:rFonts w:hint="eastAsia"/>
        </w:rPr>
        <w:t>部分项目资金应付未付，</w:t>
      </w:r>
      <w:r>
        <w:rPr>
          <w:rFonts w:hint="eastAsia"/>
          <w:lang w:val="en-US" w:eastAsia="zh-CN"/>
        </w:rPr>
        <w:t>已计入“其他应付款中”，二是根据合同约定，部分项目资金分年度支付，故未在本年度列支。</w:t>
      </w:r>
    </w:p>
    <w:p>
      <w:pPr>
        <w:bidi w:val="0"/>
      </w:pPr>
      <w:r>
        <w:rPr>
          <w:rFonts w:hint="eastAsia"/>
          <w:lang w:val="en-US" w:eastAsia="zh-CN"/>
        </w:rPr>
        <w:t>5．组织事务（款）其他组织事务支出（项）。年初预算0万元，支出决算4万元，完成年初预算的100%。决算数与年初预算数的差异原因：此款项为定向选调生经济补助专项经费，属本年度追加项目，故而与年初数存在差异。</w:t>
      </w:r>
    </w:p>
    <w:p>
      <w:pPr>
        <w:pStyle w:val="6"/>
        <w:bidi w:val="0"/>
      </w:pPr>
      <w:r>
        <w:t>（</w:t>
      </w:r>
      <w:r>
        <w:rPr>
          <w:rFonts w:hint="eastAsia"/>
          <w:lang w:val="en-US" w:eastAsia="zh-CN"/>
        </w:rPr>
        <w:t>二</w:t>
      </w:r>
      <w:r>
        <w:t>）社会保障和就业支出（类）</w:t>
      </w:r>
    </w:p>
    <w:p>
      <w:pPr>
        <w:bidi w:val="0"/>
      </w:pPr>
      <w:r>
        <w:rPr>
          <w:rFonts w:hint="eastAsia"/>
          <w:lang w:val="en-US" w:eastAsia="zh-CN"/>
        </w:rPr>
        <w:t>社会保障和就业支出（类）决算数为 27.04万元，与年初预算相比减少2.75万元。其中：</w:t>
      </w:r>
    </w:p>
    <w:p>
      <w:pPr>
        <w:bidi w:val="0"/>
      </w:pPr>
      <w:r>
        <w:rPr>
          <w:rFonts w:hint="eastAsia"/>
          <w:lang w:val="en-US" w:eastAsia="zh-CN"/>
        </w:rPr>
        <w:t>1．行政事业单位养老支出（款）行政单位离退休（项）。年初预算0万元，支出决算0.8</w:t>
      </w:r>
      <w:r>
        <w:rPr>
          <w:rFonts w:hint="eastAsia"/>
        </w:rPr>
        <w:t>3</w:t>
      </w:r>
      <w:r>
        <w:t>万元，完成年初预算的</w:t>
      </w:r>
      <w:r>
        <w:rPr>
          <w:rFonts w:hint="eastAsia"/>
          <w:lang w:val="en-US" w:eastAsia="zh-CN"/>
        </w:rPr>
        <w:t>100</w:t>
      </w:r>
      <w:r>
        <w:t>%。决算数与年初预算数的差异原因：</w:t>
      </w:r>
      <w:r>
        <w:rPr>
          <w:rFonts w:hint="eastAsia"/>
          <w:lang w:val="en-US" w:eastAsia="zh-CN"/>
        </w:rPr>
        <w:t>此项属本年度追加项目，用于发放新增退休人员的退休费</w:t>
      </w:r>
      <w:r>
        <w:t>。</w:t>
      </w:r>
    </w:p>
    <w:p>
      <w:pPr>
        <w:bidi w:val="0"/>
      </w:pPr>
      <w:r>
        <w:t>2．行政事业单位养老支出（款）</w:t>
      </w:r>
      <w:r>
        <w:rPr>
          <w:rFonts w:hint="eastAsia"/>
        </w:rPr>
        <w:t>机关事业单位基本养老保险缴费支出</w:t>
      </w:r>
      <w:r>
        <w:t>（项）。年初预算</w:t>
      </w:r>
      <w:r>
        <w:rPr>
          <w:rFonts w:hint="eastAsia"/>
        </w:rPr>
        <w:t>29.37</w:t>
      </w:r>
      <w:r>
        <w:t>万元，支出决算</w:t>
      </w:r>
      <w:r>
        <w:rPr>
          <w:rFonts w:hint="eastAsia"/>
        </w:rPr>
        <w:t>25.81</w:t>
      </w:r>
      <w:r>
        <w:t>万元，完成年初预算的</w:t>
      </w:r>
      <w:r>
        <w:rPr>
          <w:rFonts w:hint="eastAsia"/>
          <w:lang w:val="en-US" w:eastAsia="zh-CN"/>
        </w:rPr>
        <w:t>87.9</w:t>
      </w:r>
      <w:r>
        <w:t>%。决算数与年初预算数的差异原因：</w:t>
      </w:r>
      <w:r>
        <w:rPr>
          <w:rFonts w:hint="eastAsia"/>
          <w:lang w:val="en-US" w:eastAsia="zh-CN"/>
        </w:rPr>
        <w:t>年初预算是按照13个月的标准测算全年的养老保险</w:t>
      </w:r>
      <w:r>
        <w:t>。</w:t>
      </w:r>
    </w:p>
    <w:p>
      <w:pPr>
        <w:bidi w:val="0"/>
      </w:pPr>
      <w:r>
        <w:rPr>
          <w:rFonts w:hint="eastAsia"/>
          <w:lang w:val="en-US" w:eastAsia="zh-CN"/>
        </w:rPr>
        <w:t>3</w:t>
      </w:r>
      <w:r>
        <w:t>．</w:t>
      </w:r>
      <w:r>
        <w:rPr>
          <w:rFonts w:hint="eastAsia"/>
        </w:rPr>
        <w:t>其他社会保障和就业支出</w:t>
      </w:r>
      <w:r>
        <w:t>（款）</w:t>
      </w:r>
      <w:r>
        <w:rPr>
          <w:rFonts w:hint="eastAsia"/>
        </w:rPr>
        <w:t>其他社会保障和就业支出</w:t>
      </w:r>
      <w:r>
        <w:t>（项）。年初预算</w:t>
      </w:r>
      <w:r>
        <w:rPr>
          <w:rFonts w:hint="eastAsia"/>
        </w:rPr>
        <w:t>0.44</w:t>
      </w:r>
      <w:r>
        <w:t>万元，支出决算</w:t>
      </w:r>
      <w:r>
        <w:rPr>
          <w:rFonts w:hint="eastAsia"/>
        </w:rPr>
        <w:t>0.4</w:t>
      </w:r>
      <w:r>
        <w:t>万元，完成年初预算的</w:t>
      </w:r>
      <w:r>
        <w:rPr>
          <w:rFonts w:hint="eastAsia"/>
          <w:lang w:val="en-US" w:eastAsia="zh-CN"/>
        </w:rPr>
        <w:t>90.9</w:t>
      </w:r>
      <w:r>
        <w:t>%。决算数与年初预算数的差异原因：</w:t>
      </w:r>
      <w:r>
        <w:rPr>
          <w:rFonts w:hint="eastAsia"/>
          <w:lang w:val="en-US" w:eastAsia="zh-CN"/>
        </w:rPr>
        <w:t>年初预算是按照13个月的标准测算全年的工伤保险</w:t>
      </w:r>
      <w:r>
        <w:t>。</w:t>
      </w:r>
    </w:p>
    <w:p>
      <w:pPr>
        <w:pStyle w:val="6"/>
        <w:bidi w:val="0"/>
      </w:pPr>
      <w:r>
        <w:t>（</w:t>
      </w:r>
      <w:r>
        <w:rPr>
          <w:rFonts w:hint="eastAsia"/>
          <w:lang w:val="en-US" w:eastAsia="zh-CN"/>
        </w:rPr>
        <w:t>三</w:t>
      </w:r>
      <w:r>
        <w:t>）卫生健康支出（类）</w:t>
      </w:r>
    </w:p>
    <w:p>
      <w:pPr>
        <w:bidi w:val="0"/>
      </w:pPr>
      <w:r>
        <w:t> 卫生健康支出（类）决算数为 14.36万元，与年初预算相比减少1.34万元。其中：</w:t>
      </w:r>
    </w:p>
    <w:p>
      <w:pPr>
        <w:bidi w:val="0"/>
      </w:pPr>
      <w:r>
        <w:t> 1．行政事业单位医疗（款）行政单位医疗（项）。年初预算</w:t>
      </w:r>
      <w:r>
        <w:rPr>
          <w:rFonts w:hint="eastAsia"/>
        </w:rPr>
        <w:t>15.71</w:t>
      </w:r>
      <w:r>
        <w:t>万元，支出决算</w:t>
      </w:r>
      <w:r>
        <w:rPr>
          <w:rFonts w:hint="eastAsia"/>
        </w:rPr>
        <w:t>14.02</w:t>
      </w:r>
      <w:r>
        <w:t>万元，完成年初预算的</w:t>
      </w:r>
      <w:r>
        <w:rPr>
          <w:rFonts w:hint="eastAsia"/>
          <w:lang w:val="en-US" w:eastAsia="zh-CN"/>
        </w:rPr>
        <w:t>89.2</w:t>
      </w:r>
      <w:r>
        <w:t>%。决算数与年初预算数的差异原因：</w:t>
      </w:r>
      <w:r>
        <w:rPr>
          <w:rFonts w:hint="eastAsia"/>
          <w:lang w:val="en-US" w:eastAsia="zh-CN"/>
        </w:rPr>
        <w:t>年初预算是按照13个月的标准测算全年的基本医疗保险</w:t>
      </w:r>
      <w:r>
        <w:t>。</w:t>
      </w:r>
    </w:p>
    <w:p>
      <w:pPr>
        <w:bidi w:val="0"/>
      </w:pPr>
      <w:r>
        <w:t> </w:t>
      </w:r>
      <w:r>
        <w:rPr>
          <w:rFonts w:hint="eastAsia"/>
          <w:lang w:val="en-US" w:eastAsia="zh-CN"/>
        </w:rPr>
        <w:t>2</w:t>
      </w:r>
      <w:r>
        <w:t>．行政事业单位医疗（款）公务员医疗补助（项）。年初预算</w:t>
      </w:r>
      <w:r>
        <w:rPr>
          <w:rFonts w:hint="eastAsia"/>
          <w:lang w:val="en-US" w:eastAsia="zh-CN"/>
        </w:rPr>
        <w:t>0</w:t>
      </w:r>
      <w:r>
        <w:t>万元，支出决算</w:t>
      </w:r>
      <w:r>
        <w:rPr>
          <w:rFonts w:hint="eastAsia"/>
          <w:lang w:val="en-US" w:eastAsia="zh-CN"/>
        </w:rPr>
        <w:t>0.35</w:t>
      </w:r>
      <w:r>
        <w:t>万元，完成年初预算的</w:t>
      </w:r>
      <w:r>
        <w:rPr>
          <w:rFonts w:hint="eastAsia"/>
          <w:lang w:val="en-US" w:eastAsia="zh-CN"/>
        </w:rPr>
        <w:t>100</w:t>
      </w:r>
      <w:r>
        <w:t>%。决算数与年初预算数的差异原因：</w:t>
      </w:r>
      <w:r>
        <w:rPr>
          <w:rFonts w:hint="eastAsia"/>
          <w:lang w:val="en-US" w:eastAsia="zh-CN"/>
        </w:rPr>
        <w:t>此项为本年度追加项目，用于支付1月份的公务员医疗补助</w:t>
      </w:r>
      <w:r>
        <w:t>。</w:t>
      </w:r>
    </w:p>
    <w:p>
      <w:pPr>
        <w:pStyle w:val="6"/>
        <w:bidi w:val="0"/>
      </w:pPr>
      <w:r>
        <w:t>（</w:t>
      </w:r>
      <w:r>
        <w:rPr>
          <w:rFonts w:hint="eastAsia"/>
          <w:lang w:val="en-US" w:eastAsia="zh-CN"/>
        </w:rPr>
        <w:t>四</w:t>
      </w:r>
      <w:r>
        <w:t>）住房保障支出（类）</w:t>
      </w:r>
    </w:p>
    <w:p>
      <w:pPr>
        <w:bidi w:val="0"/>
      </w:pPr>
      <w:r>
        <w:t> 住房保障支出（类）决算数为 24.17万元，与年初预算相比减少2.33万元。其中：</w:t>
      </w:r>
    </w:p>
    <w:p>
      <w:pPr>
        <w:bidi w:val="0"/>
      </w:pPr>
      <w:r>
        <w:t>1．住房改革支出（款）住房公积金（项）。年初预算</w:t>
      </w:r>
      <w:r>
        <w:rPr>
          <w:rFonts w:hint="eastAsia"/>
        </w:rPr>
        <w:t>26.49</w:t>
      </w:r>
      <w:r>
        <w:t>万元，支出决算</w:t>
      </w:r>
      <w:r>
        <w:rPr>
          <w:rFonts w:hint="eastAsia"/>
          <w:lang w:val="en-US" w:eastAsia="zh-CN"/>
        </w:rPr>
        <w:t>24.17</w:t>
      </w:r>
      <w:r>
        <w:t>万元，完成年初预算的</w:t>
      </w:r>
      <w:r>
        <w:rPr>
          <w:rFonts w:hint="eastAsia"/>
          <w:lang w:val="en-US" w:eastAsia="zh-CN"/>
        </w:rPr>
        <w:t>91.2</w:t>
      </w:r>
      <w:r>
        <w:t>%。决算数与年初预算数的差异原因：</w:t>
      </w:r>
      <w:r>
        <w:rPr>
          <w:rFonts w:hint="eastAsia"/>
          <w:lang w:val="en-US" w:eastAsia="zh-CN"/>
        </w:rPr>
        <w:t>年初预算是按照13个月的标准测算全年的住房公积金</w:t>
      </w:r>
      <w:r>
        <w:t>。</w:t>
      </w:r>
    </w:p>
    <w:p>
      <w:pPr>
        <w:pStyle w:val="5"/>
        <w:bidi w:val="0"/>
      </w:pPr>
      <w:r>
        <w:t>六、一般公共预算财政拨款基本支出决算情况说明</w:t>
      </w:r>
    </w:p>
    <w:p>
      <w:pPr>
        <w:bidi w:val="0"/>
      </w:pPr>
      <w:r>
        <w:t>赤峰市政务服务与数据管理局（本级）2024年度一般公共预算财政拨款基本支出决算 360.55万元，其中：</w:t>
      </w:r>
    </w:p>
    <w:p>
      <w:pPr>
        <w:widowControl/>
        <w:spacing w:before="240" w:after="240"/>
        <w:rPr>
          <w:rFonts w:hint="eastAsia" w:ascii="Times New Roman" w:hAnsi="Times New Roman" w:eastAsia="仿宋_GB2312" w:cs="Times New Roman"/>
          <w:kern w:val="0"/>
          <w:sz w:val="24"/>
          <w:lang w:eastAsia="zh-CN"/>
        </w:rPr>
      </w:pPr>
      <w:r>
        <w:rPr>
          <w:rStyle w:val="31"/>
        </w:rPr>
        <w:t>（一）人员经费 268.98万元。</w:t>
      </w:r>
      <w:r>
        <w:rPr>
          <w:rFonts w:ascii="仿宋_GB2312" w:hAnsi="仿宋_GB2312" w:eastAsia="仿宋_GB2312" w:cs="仿宋_GB2312"/>
          <w:kern w:val="0"/>
          <w:sz w:val="32"/>
          <w:szCs w:val="32"/>
        </w:rPr>
        <w:t>主要包括：基本工资</w:t>
      </w:r>
      <w:r>
        <w:rPr>
          <w:rFonts w:hint="eastAsia" w:ascii="仿宋_GB2312" w:hAnsi="仿宋_GB2312" w:eastAsia="仿宋_GB2312" w:cs="仿宋_GB2312"/>
          <w:kern w:val="0"/>
          <w:sz w:val="32"/>
          <w:szCs w:val="32"/>
        </w:rPr>
        <w:t>88.05</w:t>
      </w:r>
      <w:r>
        <w:rPr>
          <w:rFonts w:hint="eastAsia" w:cs="仿宋_GB2312"/>
          <w:kern w:val="0"/>
          <w:sz w:val="32"/>
          <w:szCs w:val="32"/>
          <w:lang w:val="en-US" w:eastAsia="zh-CN"/>
        </w:rPr>
        <w:t>万元</w:t>
      </w:r>
      <w:r>
        <w:rPr>
          <w:rFonts w:ascii="仿宋_GB2312" w:hAnsi="仿宋_GB2312" w:eastAsia="仿宋_GB2312" w:cs="仿宋_GB2312"/>
          <w:kern w:val="0"/>
          <w:sz w:val="32"/>
          <w:szCs w:val="32"/>
        </w:rPr>
        <w:t>、津贴补贴</w:t>
      </w:r>
      <w:r>
        <w:rPr>
          <w:rFonts w:hint="eastAsia" w:ascii="仿宋_GB2312" w:hAnsi="仿宋_GB2312" w:eastAsia="仿宋_GB2312" w:cs="仿宋_GB2312"/>
          <w:kern w:val="0"/>
          <w:sz w:val="32"/>
          <w:szCs w:val="32"/>
        </w:rPr>
        <w:t>89.45</w:t>
      </w:r>
      <w:r>
        <w:rPr>
          <w:rFonts w:hint="eastAsia" w:cs="仿宋_GB2312"/>
          <w:kern w:val="0"/>
          <w:sz w:val="32"/>
          <w:szCs w:val="32"/>
          <w:lang w:val="en-US" w:eastAsia="zh-CN"/>
        </w:rPr>
        <w:t>万元</w:t>
      </w:r>
      <w:r>
        <w:rPr>
          <w:rFonts w:ascii="仿宋_GB2312" w:hAnsi="仿宋_GB2312" w:eastAsia="仿宋_GB2312" w:cs="仿宋_GB2312"/>
          <w:kern w:val="0"/>
          <w:sz w:val="32"/>
          <w:szCs w:val="32"/>
        </w:rPr>
        <w:t>、奖金</w:t>
      </w:r>
      <w:r>
        <w:rPr>
          <w:rFonts w:hint="eastAsia" w:ascii="仿宋_GB2312" w:hAnsi="仿宋_GB2312" w:eastAsia="仿宋_GB2312" w:cs="仿宋_GB2312"/>
          <w:kern w:val="0"/>
          <w:sz w:val="32"/>
          <w:szCs w:val="32"/>
        </w:rPr>
        <w:t>25.91</w:t>
      </w:r>
      <w:r>
        <w:rPr>
          <w:rFonts w:hint="eastAsia" w:cs="仿宋_GB2312"/>
          <w:kern w:val="0"/>
          <w:sz w:val="32"/>
          <w:szCs w:val="32"/>
          <w:lang w:val="en-US" w:eastAsia="zh-CN"/>
        </w:rPr>
        <w:t>万元</w:t>
      </w:r>
      <w:r>
        <w:rPr>
          <w:rFonts w:ascii="仿宋_GB2312" w:hAnsi="仿宋_GB2312" w:eastAsia="仿宋_GB2312" w:cs="仿宋_GB2312"/>
          <w:kern w:val="0"/>
          <w:sz w:val="32"/>
          <w:szCs w:val="32"/>
        </w:rPr>
        <w:t>、机关事业单位基本养老保险缴费</w:t>
      </w:r>
      <w:r>
        <w:rPr>
          <w:rFonts w:hint="eastAsia" w:ascii="仿宋_GB2312" w:hAnsi="仿宋_GB2312" w:eastAsia="仿宋_GB2312" w:cs="仿宋_GB2312"/>
          <w:kern w:val="0"/>
          <w:sz w:val="32"/>
          <w:szCs w:val="32"/>
        </w:rPr>
        <w:t>25.81</w:t>
      </w:r>
      <w:r>
        <w:rPr>
          <w:rFonts w:hint="eastAsia" w:cs="仿宋_GB2312"/>
          <w:kern w:val="0"/>
          <w:sz w:val="32"/>
          <w:szCs w:val="32"/>
          <w:lang w:val="en-US" w:eastAsia="zh-CN"/>
        </w:rPr>
        <w:t>万元</w:t>
      </w:r>
      <w:r>
        <w:rPr>
          <w:rFonts w:ascii="仿宋_GB2312" w:hAnsi="仿宋_GB2312" w:eastAsia="仿宋_GB2312" w:cs="仿宋_GB2312"/>
          <w:kern w:val="0"/>
          <w:sz w:val="32"/>
          <w:szCs w:val="32"/>
        </w:rPr>
        <w:t>、职工基本医疗保险缴费</w:t>
      </w:r>
      <w:r>
        <w:rPr>
          <w:rFonts w:hint="eastAsia" w:ascii="仿宋_GB2312" w:hAnsi="仿宋_GB2312" w:eastAsia="仿宋_GB2312" w:cs="仿宋_GB2312"/>
          <w:kern w:val="0"/>
          <w:sz w:val="32"/>
          <w:szCs w:val="32"/>
        </w:rPr>
        <w:t>14.02</w:t>
      </w:r>
      <w:r>
        <w:rPr>
          <w:rFonts w:hint="eastAsia" w:cs="仿宋_GB2312"/>
          <w:kern w:val="0"/>
          <w:sz w:val="32"/>
          <w:szCs w:val="32"/>
          <w:lang w:val="en-US" w:eastAsia="zh-CN"/>
        </w:rPr>
        <w:t>万元</w:t>
      </w:r>
      <w:r>
        <w:rPr>
          <w:rFonts w:ascii="仿宋_GB2312" w:hAnsi="仿宋_GB2312" w:eastAsia="仿宋_GB2312" w:cs="仿宋_GB2312"/>
          <w:kern w:val="0"/>
          <w:sz w:val="32"/>
          <w:szCs w:val="32"/>
        </w:rPr>
        <w:t>、公务员医疗补助缴费</w:t>
      </w:r>
      <w:r>
        <w:rPr>
          <w:rFonts w:hint="eastAsia" w:cs="仿宋_GB2312"/>
          <w:kern w:val="0"/>
          <w:sz w:val="32"/>
          <w:szCs w:val="32"/>
          <w:lang w:val="en-US" w:eastAsia="zh-CN"/>
        </w:rPr>
        <w:t>0.35万元</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其他社会保障缴费0.4</w:t>
      </w:r>
      <w:r>
        <w:rPr>
          <w:rFonts w:hint="eastAsia" w:cs="仿宋_GB2312"/>
          <w:kern w:val="0"/>
          <w:sz w:val="32"/>
          <w:szCs w:val="32"/>
          <w:lang w:val="en-US" w:eastAsia="zh-CN"/>
        </w:rPr>
        <w:t>万元</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住房公积金</w:t>
      </w:r>
      <w:r>
        <w:rPr>
          <w:rFonts w:hint="eastAsia" w:ascii="仿宋_GB2312" w:hAnsi="仿宋_GB2312" w:eastAsia="仿宋_GB2312" w:cs="仿宋_GB2312"/>
          <w:kern w:val="0"/>
          <w:sz w:val="32"/>
          <w:szCs w:val="32"/>
        </w:rPr>
        <w:t>24.17</w:t>
      </w:r>
      <w:r>
        <w:rPr>
          <w:rFonts w:hint="eastAsia" w:cs="仿宋_GB2312"/>
          <w:kern w:val="0"/>
          <w:sz w:val="32"/>
          <w:szCs w:val="32"/>
          <w:lang w:val="en-US" w:eastAsia="zh-CN"/>
        </w:rPr>
        <w:t>万元</w:t>
      </w:r>
      <w:r>
        <w:rPr>
          <w:rFonts w:hint="eastAsia" w:cs="仿宋_GB2312"/>
          <w:kern w:val="0"/>
          <w:sz w:val="32"/>
          <w:szCs w:val="32"/>
          <w:lang w:eastAsia="zh-CN"/>
        </w:rPr>
        <w:t>、退休费</w:t>
      </w:r>
      <w:r>
        <w:rPr>
          <w:rFonts w:hint="eastAsia" w:cs="仿宋_GB2312"/>
          <w:kern w:val="0"/>
          <w:sz w:val="32"/>
          <w:szCs w:val="32"/>
          <w:lang w:val="en-US" w:eastAsia="zh-CN"/>
        </w:rPr>
        <w:t>0.83万元</w:t>
      </w:r>
      <w:r>
        <w:rPr>
          <w:rFonts w:hint="eastAsia" w:cs="仿宋_GB2312"/>
          <w:kern w:val="0"/>
          <w:sz w:val="32"/>
          <w:szCs w:val="32"/>
          <w:lang w:eastAsia="zh-CN"/>
        </w:rPr>
        <w:t>。</w:t>
      </w:r>
    </w:p>
    <w:p>
      <w:pPr>
        <w:widowControl/>
        <w:spacing w:before="240" w:after="240"/>
        <w:rPr>
          <w:rStyle w:val="31"/>
        </w:rPr>
      </w:pPr>
      <w:r>
        <w:rPr>
          <w:rStyle w:val="31"/>
        </w:rPr>
        <w:t>（二）公用经费 91.57万元。</w:t>
      </w:r>
      <w:r>
        <w:t>主要包括：办公费</w:t>
      </w:r>
      <w:r>
        <w:rPr>
          <w:rFonts w:hint="eastAsia"/>
          <w:lang w:val="en-US" w:eastAsia="zh-CN"/>
        </w:rPr>
        <w:t>9.7</w:t>
      </w:r>
      <w:r>
        <w:rPr>
          <w:rFonts w:hint="eastAsia" w:cs="仿宋_GB2312"/>
          <w:kern w:val="0"/>
          <w:sz w:val="32"/>
          <w:szCs w:val="32"/>
          <w:lang w:val="en-US" w:eastAsia="zh-CN"/>
        </w:rPr>
        <w:t>万元</w:t>
      </w:r>
      <w:r>
        <w:t>、印刷费</w:t>
      </w:r>
      <w:r>
        <w:rPr>
          <w:rFonts w:hint="eastAsia"/>
        </w:rPr>
        <w:t>1.87</w:t>
      </w:r>
      <w:r>
        <w:rPr>
          <w:rFonts w:hint="eastAsia" w:cs="仿宋_GB2312"/>
          <w:kern w:val="0"/>
          <w:sz w:val="32"/>
          <w:szCs w:val="32"/>
          <w:lang w:val="en-US" w:eastAsia="zh-CN"/>
        </w:rPr>
        <w:t>万元</w:t>
      </w:r>
      <w:r>
        <w:t>、水费</w:t>
      </w:r>
      <w:r>
        <w:rPr>
          <w:rFonts w:hint="eastAsia"/>
        </w:rPr>
        <w:t>0.21</w:t>
      </w:r>
      <w:r>
        <w:rPr>
          <w:rFonts w:hint="eastAsia" w:cs="仿宋_GB2312"/>
          <w:kern w:val="0"/>
          <w:sz w:val="32"/>
          <w:szCs w:val="32"/>
          <w:lang w:val="en-US" w:eastAsia="zh-CN"/>
        </w:rPr>
        <w:t>万元</w:t>
      </w:r>
      <w:r>
        <w:t>、电费</w:t>
      </w:r>
      <w:r>
        <w:rPr>
          <w:rFonts w:hint="eastAsia"/>
        </w:rPr>
        <w:t>0.94</w:t>
      </w:r>
      <w:r>
        <w:rPr>
          <w:rFonts w:hint="eastAsia" w:cs="仿宋_GB2312"/>
          <w:kern w:val="0"/>
          <w:sz w:val="32"/>
          <w:szCs w:val="32"/>
          <w:lang w:val="en-US" w:eastAsia="zh-CN"/>
        </w:rPr>
        <w:t>万元</w:t>
      </w:r>
      <w:r>
        <w:t>、邮电费</w:t>
      </w:r>
      <w:r>
        <w:rPr>
          <w:rFonts w:hint="eastAsia"/>
        </w:rPr>
        <w:t>1.22</w:t>
      </w:r>
      <w:r>
        <w:rPr>
          <w:rFonts w:hint="eastAsia" w:cs="仿宋_GB2312"/>
          <w:kern w:val="0"/>
          <w:sz w:val="32"/>
          <w:szCs w:val="32"/>
          <w:lang w:val="en-US" w:eastAsia="zh-CN"/>
        </w:rPr>
        <w:t>万元</w:t>
      </w:r>
      <w:r>
        <w:t>、取暖费</w:t>
      </w:r>
      <w:r>
        <w:rPr>
          <w:rFonts w:hint="eastAsia"/>
        </w:rPr>
        <w:t>1.43</w:t>
      </w:r>
      <w:r>
        <w:rPr>
          <w:rFonts w:hint="eastAsia" w:cs="仿宋_GB2312"/>
          <w:kern w:val="0"/>
          <w:sz w:val="32"/>
          <w:szCs w:val="32"/>
          <w:lang w:val="en-US" w:eastAsia="zh-CN"/>
        </w:rPr>
        <w:t>万元</w:t>
      </w:r>
      <w:r>
        <w:t>、物业管理费</w:t>
      </w:r>
      <w:r>
        <w:rPr>
          <w:rFonts w:hint="eastAsia"/>
        </w:rPr>
        <w:t>6.11</w:t>
      </w:r>
      <w:r>
        <w:rPr>
          <w:rFonts w:hint="eastAsia" w:cs="仿宋_GB2312"/>
          <w:kern w:val="0"/>
          <w:sz w:val="32"/>
          <w:szCs w:val="32"/>
          <w:lang w:val="en-US" w:eastAsia="zh-CN"/>
        </w:rPr>
        <w:t>万元</w:t>
      </w:r>
      <w:r>
        <w:t>、差旅费</w:t>
      </w:r>
      <w:r>
        <w:rPr>
          <w:rFonts w:hint="eastAsia"/>
        </w:rPr>
        <w:t>10.37</w:t>
      </w:r>
      <w:r>
        <w:rPr>
          <w:rFonts w:hint="eastAsia" w:cs="仿宋_GB2312"/>
          <w:kern w:val="0"/>
          <w:sz w:val="32"/>
          <w:szCs w:val="32"/>
          <w:lang w:val="en-US" w:eastAsia="zh-CN"/>
        </w:rPr>
        <w:t>万元</w:t>
      </w:r>
      <w:r>
        <w:t>、维修（护）费</w:t>
      </w:r>
      <w:r>
        <w:rPr>
          <w:rFonts w:hint="eastAsia"/>
        </w:rPr>
        <w:t>1.99</w:t>
      </w:r>
      <w:r>
        <w:rPr>
          <w:rFonts w:hint="eastAsia" w:cs="仿宋_GB2312"/>
          <w:kern w:val="0"/>
          <w:sz w:val="32"/>
          <w:szCs w:val="32"/>
          <w:lang w:val="en-US" w:eastAsia="zh-CN"/>
        </w:rPr>
        <w:t>万元</w:t>
      </w:r>
      <w:r>
        <w:t>、租赁费</w:t>
      </w:r>
      <w:r>
        <w:rPr>
          <w:rFonts w:hint="eastAsia"/>
        </w:rPr>
        <w:t>43.95</w:t>
      </w:r>
      <w:r>
        <w:rPr>
          <w:rFonts w:hint="eastAsia" w:cs="仿宋_GB2312"/>
          <w:kern w:val="0"/>
          <w:sz w:val="32"/>
          <w:szCs w:val="32"/>
          <w:lang w:val="en-US" w:eastAsia="zh-CN"/>
        </w:rPr>
        <w:t>万元</w:t>
      </w:r>
      <w:r>
        <w:t>、会议费</w:t>
      </w:r>
      <w:r>
        <w:rPr>
          <w:rFonts w:hint="eastAsia"/>
        </w:rPr>
        <w:t>2.98</w:t>
      </w:r>
      <w:r>
        <w:rPr>
          <w:rFonts w:hint="eastAsia" w:cs="仿宋_GB2312"/>
          <w:kern w:val="0"/>
          <w:sz w:val="32"/>
          <w:szCs w:val="32"/>
          <w:lang w:val="en-US" w:eastAsia="zh-CN"/>
        </w:rPr>
        <w:t>万元</w:t>
      </w:r>
      <w:r>
        <w:t>、培训费</w:t>
      </w:r>
      <w:r>
        <w:rPr>
          <w:rFonts w:hint="eastAsia"/>
        </w:rPr>
        <w:t>0.1</w:t>
      </w:r>
      <w:r>
        <w:rPr>
          <w:rFonts w:hint="eastAsia" w:cs="仿宋_GB2312"/>
          <w:kern w:val="0"/>
          <w:sz w:val="32"/>
          <w:szCs w:val="32"/>
          <w:lang w:val="en-US" w:eastAsia="zh-CN"/>
        </w:rPr>
        <w:t>万元</w:t>
      </w:r>
      <w:r>
        <w:t>、劳务费</w:t>
      </w:r>
      <w:r>
        <w:rPr>
          <w:rFonts w:hint="eastAsia"/>
        </w:rPr>
        <w:t>3.78</w:t>
      </w:r>
      <w:r>
        <w:rPr>
          <w:rFonts w:hint="eastAsia" w:cs="仿宋_GB2312"/>
          <w:kern w:val="0"/>
          <w:sz w:val="32"/>
          <w:szCs w:val="32"/>
          <w:lang w:val="en-US" w:eastAsia="zh-CN"/>
        </w:rPr>
        <w:t>万元</w:t>
      </w:r>
      <w:r>
        <w:t>、福利费</w:t>
      </w:r>
      <w:r>
        <w:rPr>
          <w:rFonts w:hint="eastAsia"/>
        </w:rPr>
        <w:t>5.28</w:t>
      </w:r>
      <w:r>
        <w:rPr>
          <w:rFonts w:hint="eastAsia" w:cs="仿宋_GB2312"/>
          <w:kern w:val="0"/>
          <w:sz w:val="32"/>
          <w:szCs w:val="32"/>
          <w:lang w:val="en-US" w:eastAsia="zh-CN"/>
        </w:rPr>
        <w:t>万元</w:t>
      </w:r>
      <w:r>
        <w:t>、</w:t>
      </w:r>
      <w:r>
        <w:rPr>
          <w:rFonts w:hint="eastAsia"/>
        </w:rPr>
        <w:t>其他交通费用1.48</w:t>
      </w:r>
      <w:r>
        <w:rPr>
          <w:rFonts w:hint="eastAsia" w:cs="仿宋_GB2312"/>
          <w:kern w:val="0"/>
          <w:sz w:val="32"/>
          <w:szCs w:val="32"/>
          <w:lang w:val="en-US" w:eastAsia="zh-CN"/>
        </w:rPr>
        <w:t>万元、</w:t>
      </w:r>
      <w:r>
        <w:t>办公设备购置</w:t>
      </w:r>
      <w:r>
        <w:rPr>
          <w:rFonts w:hint="eastAsia"/>
          <w:lang w:val="en-US" w:eastAsia="zh-CN"/>
        </w:rPr>
        <w:t>0.19</w:t>
      </w:r>
      <w:r>
        <w:rPr>
          <w:rFonts w:hint="eastAsia" w:cs="仿宋_GB2312"/>
          <w:kern w:val="0"/>
          <w:sz w:val="32"/>
          <w:szCs w:val="32"/>
          <w:lang w:val="en-US" w:eastAsia="zh-CN"/>
        </w:rPr>
        <w:t>万元</w:t>
      </w:r>
      <w:r>
        <w:t>。</w:t>
      </w:r>
    </w:p>
    <w:p>
      <w:pPr>
        <w:pStyle w:val="5"/>
        <w:bidi w:val="0"/>
      </w:pPr>
      <w:r>
        <w:t> 七、一般公共预算财政拨款项目支出决算情况说明</w:t>
      </w:r>
    </w:p>
    <w:p>
      <w:pPr>
        <w:bidi w:val="0"/>
      </w:pPr>
      <w:r>
        <w:t>赤峰市政务服务与数据管理局（本级） 2024年度一般公共预算财政拨款项目支出决算2598.48万元，其中：</w:t>
      </w:r>
    </w:p>
    <w:p>
      <w:pPr>
        <w:pStyle w:val="6"/>
        <w:numPr>
          <w:ilvl w:val="0"/>
          <w:numId w:val="0"/>
        </w:numPr>
        <w:bidi w:val="0"/>
        <w:ind w:firstLine="642" w:firstLineChars="200"/>
      </w:pPr>
      <w:r>
        <w:rPr>
          <w:rFonts w:hint="eastAsia" w:ascii="楷体" w:hAnsi="楷体" w:eastAsia="楷体" w:cs="楷体"/>
          <w:b/>
          <w:bCs/>
          <w:kern w:val="0"/>
          <w:sz w:val="32"/>
          <w:szCs w:val="32"/>
          <w:lang w:val="en-US" w:eastAsia="zh-CN" w:bidi="ar-SA"/>
        </w:rPr>
        <w:t>（一）</w:t>
      </w:r>
      <w:r>
        <w:t>工资福利支出0万元。</w:t>
      </w:r>
    </w:p>
    <w:p>
      <w:pPr>
        <w:pStyle w:val="6"/>
        <w:numPr>
          <w:ilvl w:val="0"/>
          <w:numId w:val="0"/>
        </w:numPr>
        <w:bidi w:val="0"/>
        <w:ind w:firstLine="642" w:firstLineChars="200"/>
        <w:rPr>
          <w:rFonts w:hint="eastAsia"/>
          <w:lang w:eastAsia="zh-CN"/>
        </w:rPr>
      </w:pPr>
      <w:r>
        <w:rPr>
          <w:rStyle w:val="31"/>
          <w:b/>
          <w:bCs/>
        </w:rPr>
        <w:t>（二）商品和服务支出1798.56万元。</w:t>
      </w:r>
      <w:r>
        <w:rPr>
          <w:rFonts w:ascii="仿宋_GB2312" w:hAnsi="仿宋_GB2312" w:eastAsia="仿宋_GB2312" w:cs="仿宋_GB2312"/>
          <w:b w:val="0"/>
          <w:bCs w:val="0"/>
          <w:kern w:val="0"/>
          <w:sz w:val="32"/>
          <w:szCs w:val="32"/>
          <w:lang w:val="en-US" w:eastAsia="zh-CN" w:bidi="ar-SA"/>
        </w:rPr>
        <w:t>主要包括：办公费</w:t>
      </w:r>
      <w:r>
        <w:rPr>
          <w:rFonts w:hint="eastAsia" w:ascii="仿宋_GB2312" w:hAnsi="仿宋_GB2312" w:eastAsia="仿宋_GB2312" w:cs="仿宋_GB2312"/>
          <w:b w:val="0"/>
          <w:bCs w:val="0"/>
          <w:kern w:val="0"/>
          <w:sz w:val="32"/>
          <w:szCs w:val="32"/>
          <w:lang w:val="en-US" w:eastAsia="zh-CN" w:bidi="ar-SA"/>
        </w:rPr>
        <w:t>0.62</w:t>
      </w:r>
      <w:r>
        <w:rPr>
          <w:rFonts w:ascii="仿宋_GB2312" w:hAnsi="仿宋_GB2312" w:eastAsia="仿宋_GB2312" w:cs="仿宋_GB2312"/>
          <w:b w:val="0"/>
          <w:bCs w:val="0"/>
          <w:kern w:val="0"/>
          <w:sz w:val="32"/>
          <w:szCs w:val="32"/>
          <w:lang w:val="en-US" w:eastAsia="zh-CN" w:bidi="ar-SA"/>
        </w:rPr>
        <w:t>万元、印刷费</w:t>
      </w:r>
      <w:r>
        <w:rPr>
          <w:rFonts w:hint="eastAsia" w:ascii="仿宋_GB2312" w:hAnsi="仿宋_GB2312" w:eastAsia="仿宋_GB2312" w:cs="仿宋_GB2312"/>
          <w:b w:val="0"/>
          <w:bCs w:val="0"/>
          <w:kern w:val="0"/>
          <w:sz w:val="32"/>
          <w:szCs w:val="32"/>
          <w:lang w:val="en-US" w:eastAsia="zh-CN" w:bidi="ar-SA"/>
        </w:rPr>
        <w:t>27.56</w:t>
      </w:r>
      <w:r>
        <w:rPr>
          <w:rFonts w:ascii="仿宋_GB2312" w:hAnsi="仿宋_GB2312" w:eastAsia="仿宋_GB2312" w:cs="仿宋_GB2312"/>
          <w:b w:val="0"/>
          <w:bCs w:val="0"/>
          <w:kern w:val="0"/>
          <w:sz w:val="32"/>
          <w:szCs w:val="32"/>
          <w:lang w:val="en-US" w:eastAsia="zh-CN" w:bidi="ar-SA"/>
        </w:rPr>
        <w:t>万元、咨询费</w:t>
      </w:r>
      <w:r>
        <w:rPr>
          <w:rFonts w:hint="eastAsia" w:ascii="仿宋_GB2312" w:hAnsi="仿宋_GB2312" w:eastAsia="仿宋_GB2312" w:cs="仿宋_GB2312"/>
          <w:b w:val="0"/>
          <w:bCs w:val="0"/>
          <w:kern w:val="0"/>
          <w:sz w:val="32"/>
          <w:szCs w:val="32"/>
          <w:lang w:val="en-US" w:eastAsia="zh-CN" w:bidi="ar-SA"/>
        </w:rPr>
        <w:t>44.16</w:t>
      </w:r>
      <w:r>
        <w:rPr>
          <w:rFonts w:ascii="仿宋_GB2312" w:hAnsi="仿宋_GB2312" w:eastAsia="仿宋_GB2312" w:cs="仿宋_GB2312"/>
          <w:b w:val="0"/>
          <w:bCs w:val="0"/>
          <w:kern w:val="0"/>
          <w:sz w:val="32"/>
          <w:szCs w:val="32"/>
          <w:lang w:val="en-US" w:eastAsia="zh-CN" w:bidi="ar-SA"/>
        </w:rPr>
        <w:t>万元、邮电费</w:t>
      </w:r>
      <w:r>
        <w:rPr>
          <w:rFonts w:hint="eastAsia" w:ascii="仿宋_GB2312" w:hAnsi="仿宋_GB2312" w:eastAsia="仿宋_GB2312" w:cs="仿宋_GB2312"/>
          <w:b w:val="0"/>
          <w:bCs w:val="0"/>
          <w:kern w:val="0"/>
          <w:sz w:val="32"/>
          <w:szCs w:val="32"/>
          <w:lang w:val="en-US" w:eastAsia="zh-CN" w:bidi="ar-SA"/>
        </w:rPr>
        <w:t>11.6</w:t>
      </w:r>
      <w:r>
        <w:rPr>
          <w:rFonts w:ascii="仿宋_GB2312" w:hAnsi="仿宋_GB2312" w:eastAsia="仿宋_GB2312" w:cs="仿宋_GB2312"/>
          <w:b w:val="0"/>
          <w:bCs w:val="0"/>
          <w:kern w:val="0"/>
          <w:sz w:val="32"/>
          <w:szCs w:val="32"/>
          <w:lang w:val="en-US" w:eastAsia="zh-CN" w:bidi="ar-SA"/>
        </w:rPr>
        <w:t>万元、差旅费</w:t>
      </w:r>
      <w:r>
        <w:rPr>
          <w:rFonts w:hint="eastAsia" w:ascii="仿宋_GB2312" w:hAnsi="仿宋_GB2312" w:eastAsia="仿宋_GB2312" w:cs="仿宋_GB2312"/>
          <w:b w:val="0"/>
          <w:bCs w:val="0"/>
          <w:kern w:val="0"/>
          <w:sz w:val="32"/>
          <w:szCs w:val="32"/>
          <w:lang w:val="en-US" w:eastAsia="zh-CN" w:bidi="ar-SA"/>
        </w:rPr>
        <w:t>3</w:t>
      </w:r>
      <w:r>
        <w:rPr>
          <w:rFonts w:ascii="仿宋_GB2312" w:hAnsi="仿宋_GB2312" w:eastAsia="仿宋_GB2312" w:cs="仿宋_GB2312"/>
          <w:b w:val="0"/>
          <w:bCs w:val="0"/>
          <w:kern w:val="0"/>
          <w:sz w:val="32"/>
          <w:szCs w:val="32"/>
          <w:lang w:val="en-US" w:eastAsia="zh-CN" w:bidi="ar-SA"/>
        </w:rPr>
        <w:t>万元、维修（护）费</w:t>
      </w:r>
      <w:r>
        <w:rPr>
          <w:rFonts w:hint="eastAsia" w:ascii="仿宋_GB2312" w:hAnsi="仿宋_GB2312" w:eastAsia="仿宋_GB2312" w:cs="仿宋_GB2312"/>
          <w:b w:val="0"/>
          <w:bCs w:val="0"/>
          <w:kern w:val="0"/>
          <w:sz w:val="32"/>
          <w:szCs w:val="32"/>
          <w:lang w:val="en-US" w:eastAsia="zh-CN" w:bidi="ar-SA"/>
        </w:rPr>
        <w:t>376.25</w:t>
      </w:r>
      <w:r>
        <w:rPr>
          <w:rFonts w:ascii="仿宋_GB2312" w:hAnsi="仿宋_GB2312" w:eastAsia="仿宋_GB2312" w:cs="仿宋_GB2312"/>
          <w:b w:val="0"/>
          <w:bCs w:val="0"/>
          <w:kern w:val="0"/>
          <w:sz w:val="32"/>
          <w:szCs w:val="32"/>
          <w:lang w:val="en-US" w:eastAsia="zh-CN" w:bidi="ar-SA"/>
        </w:rPr>
        <w:t>万元、会议费</w:t>
      </w:r>
      <w:r>
        <w:rPr>
          <w:rFonts w:hint="eastAsia" w:ascii="仿宋_GB2312" w:hAnsi="仿宋_GB2312" w:eastAsia="仿宋_GB2312" w:cs="仿宋_GB2312"/>
          <w:b w:val="0"/>
          <w:bCs w:val="0"/>
          <w:kern w:val="0"/>
          <w:sz w:val="32"/>
          <w:szCs w:val="32"/>
          <w:lang w:val="en-US" w:eastAsia="zh-CN" w:bidi="ar-SA"/>
        </w:rPr>
        <w:t>1.79</w:t>
      </w:r>
      <w:r>
        <w:rPr>
          <w:rFonts w:ascii="仿宋_GB2312" w:hAnsi="仿宋_GB2312" w:eastAsia="仿宋_GB2312" w:cs="仿宋_GB2312"/>
          <w:b w:val="0"/>
          <w:bCs w:val="0"/>
          <w:kern w:val="0"/>
          <w:sz w:val="32"/>
          <w:szCs w:val="32"/>
          <w:lang w:val="en-US" w:eastAsia="zh-CN" w:bidi="ar-SA"/>
        </w:rPr>
        <w:t>万元、培训费</w:t>
      </w:r>
      <w:r>
        <w:rPr>
          <w:rFonts w:hint="eastAsia" w:ascii="仿宋_GB2312" w:hAnsi="仿宋_GB2312" w:eastAsia="仿宋_GB2312" w:cs="仿宋_GB2312"/>
          <w:b w:val="0"/>
          <w:bCs w:val="0"/>
          <w:kern w:val="0"/>
          <w:sz w:val="32"/>
          <w:szCs w:val="32"/>
          <w:lang w:val="en-US" w:eastAsia="zh-CN" w:bidi="ar-SA"/>
        </w:rPr>
        <w:t>4.04</w:t>
      </w:r>
      <w:r>
        <w:rPr>
          <w:rFonts w:ascii="仿宋_GB2312" w:hAnsi="仿宋_GB2312" w:eastAsia="仿宋_GB2312" w:cs="仿宋_GB2312"/>
          <w:b w:val="0"/>
          <w:bCs w:val="0"/>
          <w:kern w:val="0"/>
          <w:sz w:val="32"/>
          <w:szCs w:val="32"/>
          <w:lang w:val="en-US" w:eastAsia="zh-CN" w:bidi="ar-SA"/>
        </w:rPr>
        <w:t>万元、委托业务费</w:t>
      </w:r>
      <w:r>
        <w:rPr>
          <w:rFonts w:hint="eastAsia" w:ascii="仿宋_GB2312" w:hAnsi="仿宋_GB2312" w:eastAsia="仿宋_GB2312" w:cs="仿宋_GB2312"/>
          <w:b w:val="0"/>
          <w:bCs w:val="0"/>
          <w:kern w:val="0"/>
          <w:sz w:val="32"/>
          <w:szCs w:val="32"/>
          <w:lang w:val="en-US" w:eastAsia="zh-CN" w:bidi="ar-SA"/>
        </w:rPr>
        <w:t>1280.64</w:t>
      </w:r>
      <w:r>
        <w:rPr>
          <w:rFonts w:ascii="仿宋_GB2312" w:hAnsi="仿宋_GB2312" w:eastAsia="仿宋_GB2312" w:cs="仿宋_GB2312"/>
          <w:b w:val="0"/>
          <w:bCs w:val="0"/>
          <w:kern w:val="0"/>
          <w:sz w:val="32"/>
          <w:szCs w:val="32"/>
          <w:lang w:val="en-US" w:eastAsia="zh-CN" w:bidi="ar-SA"/>
        </w:rPr>
        <w:t>万元、</w:t>
      </w:r>
      <w:r>
        <w:rPr>
          <w:rFonts w:hint="eastAsia" w:ascii="仿宋_GB2312" w:hAnsi="仿宋_GB2312" w:eastAsia="仿宋_GB2312" w:cs="仿宋_GB2312"/>
          <w:b w:val="0"/>
          <w:bCs w:val="0"/>
          <w:kern w:val="0"/>
          <w:sz w:val="32"/>
          <w:szCs w:val="32"/>
          <w:lang w:val="en-US" w:eastAsia="zh-CN" w:bidi="ar-SA"/>
        </w:rPr>
        <w:t>其他商品和服务支出48.9</w:t>
      </w:r>
      <w:r>
        <w:rPr>
          <w:rFonts w:ascii="仿宋_GB2312" w:hAnsi="仿宋_GB2312" w:eastAsia="仿宋_GB2312" w:cs="仿宋_GB2312"/>
          <w:b w:val="0"/>
          <w:bCs w:val="0"/>
          <w:kern w:val="0"/>
          <w:sz w:val="32"/>
          <w:szCs w:val="32"/>
          <w:lang w:val="en-US" w:eastAsia="zh-CN" w:bidi="ar-SA"/>
        </w:rPr>
        <w:t>万元</w:t>
      </w:r>
      <w:r>
        <w:rPr>
          <w:rFonts w:hint="eastAsia" w:ascii="仿宋_GB2312" w:hAnsi="仿宋_GB2312" w:eastAsia="仿宋_GB2312" w:cs="仿宋_GB2312"/>
          <w:b w:val="0"/>
          <w:bCs w:val="0"/>
          <w:kern w:val="0"/>
          <w:sz w:val="32"/>
          <w:szCs w:val="32"/>
          <w:lang w:val="en-US" w:eastAsia="zh-CN" w:bidi="ar-SA"/>
        </w:rPr>
        <w:t>。</w:t>
      </w:r>
    </w:p>
    <w:p>
      <w:pPr>
        <w:pStyle w:val="9"/>
        <w:rPr>
          <w:rFonts w:hint="eastAsia" w:ascii="仿宋_GB2312" w:hAnsi="仿宋_GB2312" w:eastAsia="仿宋_GB2312" w:cs="仿宋_GB2312"/>
          <w:lang w:val="en-US" w:eastAsia="zh-CN"/>
        </w:rPr>
      </w:pPr>
      <w:r>
        <w:rPr>
          <w:rStyle w:val="31"/>
        </w:rPr>
        <w:t>（</w:t>
      </w:r>
      <w:r>
        <w:rPr>
          <w:rStyle w:val="31"/>
          <w:rFonts w:hint="eastAsia"/>
          <w:lang w:val="en-US" w:eastAsia="zh-CN"/>
        </w:rPr>
        <w:t>三</w:t>
      </w:r>
      <w:r>
        <w:rPr>
          <w:rStyle w:val="31"/>
        </w:rPr>
        <w:t>）</w:t>
      </w:r>
      <w:r>
        <w:rPr>
          <w:rStyle w:val="31"/>
          <w:rFonts w:hint="eastAsia"/>
        </w:rPr>
        <w:t>对个人和家庭的补助</w:t>
      </w:r>
      <w:r>
        <w:rPr>
          <w:rStyle w:val="31"/>
          <w:rFonts w:hint="eastAsia"/>
          <w:lang w:val="en-US" w:eastAsia="zh-CN"/>
        </w:rPr>
        <w:t>4.00</w:t>
      </w:r>
      <w:r>
        <w:rPr>
          <w:rStyle w:val="31"/>
        </w:rPr>
        <w:t>万元。</w:t>
      </w:r>
      <w:r>
        <w:rPr>
          <w:rFonts w:hint="eastAsia" w:ascii="仿宋_GB2312" w:hAnsi="仿宋_GB2312" w:eastAsia="仿宋_GB2312" w:cs="仿宋_GB2312"/>
          <w:b w:val="0"/>
          <w:bCs w:val="0"/>
          <w:kern w:val="0"/>
          <w:sz w:val="32"/>
          <w:szCs w:val="32"/>
          <w:lang w:val="en-US" w:eastAsia="zh-CN" w:bidi="ar-SA"/>
        </w:rPr>
        <w:t>主要包括：其他对个人和家庭的补助4万元。</w:t>
      </w:r>
    </w:p>
    <w:p>
      <w:pPr>
        <w:pStyle w:val="9"/>
      </w:pPr>
      <w:r>
        <w:rPr>
          <w:rStyle w:val="31"/>
        </w:rPr>
        <w:t>（</w:t>
      </w:r>
      <w:r>
        <w:rPr>
          <w:rStyle w:val="31"/>
          <w:rFonts w:hint="eastAsia"/>
          <w:lang w:val="en-US" w:eastAsia="zh-CN"/>
        </w:rPr>
        <w:t>四</w:t>
      </w:r>
      <w:r>
        <w:rPr>
          <w:rStyle w:val="31"/>
        </w:rPr>
        <w:t>）</w:t>
      </w:r>
      <w:r>
        <w:rPr>
          <w:rStyle w:val="31"/>
          <w:rFonts w:hint="eastAsia"/>
        </w:rPr>
        <w:t>资本性支出795.92万元</w:t>
      </w:r>
      <w:r>
        <w:rPr>
          <w:rStyle w:val="31"/>
        </w:rPr>
        <w:t>。</w:t>
      </w:r>
      <w:r>
        <w:rPr>
          <w:rFonts w:hint="eastAsia" w:ascii="仿宋_GB2312" w:hAnsi="仿宋_GB2312" w:eastAsia="仿宋_GB2312" w:cs="仿宋_GB2312"/>
          <w:b w:val="0"/>
          <w:bCs w:val="0"/>
          <w:kern w:val="0"/>
          <w:sz w:val="32"/>
          <w:szCs w:val="32"/>
          <w:lang w:val="en-US" w:eastAsia="zh-CN" w:bidi="ar-SA"/>
        </w:rPr>
        <w:t>主要包括：办公设备购置795.92万元。</w:t>
      </w:r>
    </w:p>
    <w:p>
      <w:pPr>
        <w:pStyle w:val="5"/>
        <w:bidi w:val="0"/>
      </w:pPr>
      <w:r>
        <w:t>  八、财政拨款“三公”经费支出决算情况说明</w:t>
      </w:r>
    </w:p>
    <w:p>
      <w:pPr>
        <w:pStyle w:val="6"/>
        <w:bidi w:val="0"/>
      </w:pPr>
      <w:r>
        <w:t>（一）财政拨款“三公”经费支出总体情况说明。</w:t>
      </w:r>
    </w:p>
    <w:p>
      <w:pPr>
        <w:bidi w:val="0"/>
        <w:rPr>
          <w:rFonts w:hint="eastAsia" w:eastAsia="仿宋_GB2312"/>
          <w:lang w:val="en-US" w:eastAsia="zh-CN"/>
        </w:rPr>
      </w:pPr>
      <w:r>
        <w:t>  赤峰市政务服务与数据管理局（本级） 2024年度财政拨款“三公”经费全年预算1.00万元，支出决算0万元，完成预算的0%。其中：因公出国（境）费全年预算0万元，支出决算0万元，完成预算的0%；公务用车购置及运行维护费全年预算0万元，支出决算0万元，完成预算的0%；公务接待费全年预算1.00万元，支出决算0万元，完成预算的0%。2024年度一般公共预算财政拨款“三公”经费全年预算1.00万元，支出决算0万元，与预算差异原因</w:t>
      </w:r>
      <w:r>
        <w:rPr>
          <w:rFonts w:hint="eastAsia"/>
          <w:lang w:eastAsia="zh-CN"/>
        </w:rPr>
        <w:t>：</w:t>
      </w:r>
      <w:r>
        <w:rPr>
          <w:rFonts w:hint="eastAsia"/>
          <w:lang w:val="en-US" w:eastAsia="zh-CN"/>
        </w:rPr>
        <w:t>本年度无“三公”经费支出</w:t>
      </w:r>
      <w:r>
        <w:rPr>
          <w:rFonts w:hint="eastAsia"/>
          <w:lang w:eastAsia="zh-CN"/>
        </w:rPr>
        <w:t>。</w:t>
      </w:r>
    </w:p>
    <w:p>
      <w:pPr>
        <w:pStyle w:val="6"/>
        <w:bidi w:val="0"/>
      </w:pPr>
      <w:r>
        <w:t>（二）财政拨款“三公”经费支出具体情况说明。</w:t>
      </w:r>
    </w:p>
    <w:p>
      <w:pPr>
        <w:bidi w:val="0"/>
      </w:pPr>
      <w:r>
        <w:t>赤峰市政务服务与数据管理局（本级） 2024年度财政拨款“三公”经费支出0万元。因公出国（境）费支出0万元，占0%；公务用车购置及运行维护费支出0万元，占0%；公务接待费支出0万元，占0%。其中：</w:t>
      </w:r>
    </w:p>
    <w:p>
      <w:pPr>
        <w:bidi w:val="0"/>
      </w:pPr>
      <w:r>
        <w:t> 1.因公出国（境）费支出0万元，全年出国（境）团组0个，累计0人次。与上年决算相比，增加0万元，增长0%，变动原因：</w:t>
      </w:r>
      <w:r>
        <w:rPr>
          <w:rFonts w:hint="eastAsia"/>
          <w:lang w:val="en-US" w:eastAsia="zh-CN"/>
        </w:rPr>
        <w:t>本年度无</w:t>
      </w:r>
      <w:r>
        <w:t>因公出国（境）费支出。</w:t>
      </w:r>
    </w:p>
    <w:p>
      <w:pPr>
        <w:bidi w:val="0"/>
      </w:pPr>
      <w:r>
        <w:t>2.公务用车购置及运行维护费支出0万元。其中：</w:t>
      </w:r>
    </w:p>
    <w:p>
      <w:pPr>
        <w:bidi w:val="0"/>
      </w:pPr>
      <w:r>
        <w:t>（1）公务用车购置支出0万元。本年度使用财政拨款购置公务用车0辆，开支内容：</w:t>
      </w:r>
      <w:r>
        <w:rPr>
          <w:rFonts w:hint="eastAsia"/>
          <w:lang w:val="en-US" w:eastAsia="zh-CN"/>
        </w:rPr>
        <w:t>无</w:t>
      </w:r>
      <w:r>
        <w:t>。与上年决算相比，增加0万元，增长0%，变动原因：</w:t>
      </w:r>
      <w:r>
        <w:rPr>
          <w:rFonts w:hint="eastAsia"/>
          <w:lang w:val="en-US" w:eastAsia="zh-CN"/>
        </w:rPr>
        <w:t>本年度无</w:t>
      </w:r>
      <w:r>
        <w:t>公务用车购置支出。</w:t>
      </w:r>
    </w:p>
    <w:p>
      <w:pPr>
        <w:bidi w:val="0"/>
      </w:pPr>
      <w:r>
        <w:t>（2）公务用车运行维护费支出0万元。公务用车运行维护费主要用于按规定保留的公务用车的燃料费、维修费、过桥过路费、保险费、安全奖励费用等支出。截至2024年12月31日，使用财政拨款开支的公务用车保有量为0辆。与上年决算相比，增加0万元，增长0%，变动原因：</w:t>
      </w:r>
      <w:r>
        <w:rPr>
          <w:rFonts w:hint="eastAsia"/>
          <w:lang w:val="en-US" w:eastAsia="zh-CN"/>
        </w:rPr>
        <w:t>本年度无</w:t>
      </w:r>
      <w:r>
        <w:t>公务用车运行维护费支出。</w:t>
      </w:r>
    </w:p>
    <w:p>
      <w:pPr>
        <w:bidi w:val="0"/>
      </w:pPr>
      <w:r>
        <w:t>3.公务接待费支出0万元。其中：国内公务接待支出0万元，接待0批次，0人次，开支内容：</w:t>
      </w:r>
      <w:r>
        <w:rPr>
          <w:rFonts w:hint="eastAsia"/>
          <w:lang w:val="en-US" w:eastAsia="zh-CN"/>
        </w:rPr>
        <w:t>无</w:t>
      </w:r>
      <w:r>
        <w:t>；国（境）外公务接待支出0万元，接待0批次，0人次，开支内容：</w:t>
      </w:r>
      <w:r>
        <w:rPr>
          <w:rFonts w:hint="eastAsia"/>
          <w:lang w:val="en-US" w:eastAsia="zh-CN"/>
        </w:rPr>
        <w:t>无</w:t>
      </w:r>
      <w:r>
        <w:t>。与上年决算相比，减少0.25万元，下降100.00%，变动原因：</w:t>
      </w:r>
      <w:r>
        <w:rPr>
          <w:rFonts w:hint="eastAsia"/>
          <w:lang w:val="en-US" w:eastAsia="zh-CN"/>
        </w:rPr>
        <w:t>本年度无</w:t>
      </w:r>
      <w:r>
        <w:t>公务接待费支出。</w:t>
      </w:r>
    </w:p>
    <w:p>
      <w:pPr>
        <w:pStyle w:val="5"/>
        <w:bidi w:val="0"/>
      </w:pPr>
      <w:r>
        <w:t>九、政府性基金预算财政拨款支出决算情况说明</w:t>
      </w:r>
    </w:p>
    <w:p>
      <w:pPr>
        <w:bidi w:val="0"/>
      </w:pPr>
      <w:r>
        <w:t>赤峰市政务服务与数据管理局（本级） 2024年度政府性基金预算财政拨款支出决算 0万元。与上年决算相比，增加0万元，增长0%，变动原因：本年无政府性基金预算财政拨款收、支、余。</w:t>
      </w:r>
    </w:p>
    <w:p>
      <w:pPr>
        <w:pStyle w:val="5"/>
        <w:bidi w:val="0"/>
      </w:pPr>
      <w:r>
        <w:t>十、国有资本经营预算财政拨款支出决算情况说明</w:t>
      </w:r>
    </w:p>
    <w:p>
      <w:pPr>
        <w:bidi w:val="0"/>
      </w:pPr>
      <w:r>
        <w:t>赤峰市政务服务与数据管理局（本级） 2024年度国有资本经营预算财政拨款支出决算 0万元。与上年决算相比，增加0万元，增长0%，变动原因：本年无国有资本经营预算财政拨款收、支、余。</w:t>
      </w:r>
    </w:p>
    <w:p>
      <w:pPr>
        <w:pStyle w:val="5"/>
        <w:bidi w:val="0"/>
      </w:pPr>
      <w:r>
        <w:t>十一、机关运行经费（公用经费）支出决算情况说明</w:t>
      </w:r>
    </w:p>
    <w:p>
      <w:pPr>
        <w:bidi w:val="0"/>
        <w:rPr>
          <w:rFonts w:hint="eastAsia"/>
          <w:lang w:val="en-US" w:eastAsia="zh-CN"/>
        </w:rPr>
      </w:pPr>
      <w:r>
        <w:t>赤峰市政务服务与数据管理局（本级）2024年度公用经费支出决算91.57万元，与上年决算相比，减少4.19万元，下降4.37%，变动原因：</w:t>
      </w:r>
      <w:r>
        <w:rPr>
          <w:rFonts w:hint="eastAsia"/>
          <w:lang w:val="en-US" w:eastAsia="zh-CN"/>
        </w:rPr>
        <w:t>2024年本单位未发生网络租赁费。其中，机关运行经费支出决算91.57万元。比上年决算相比，减少4.19万元，下降4.37%，变动原因：2024年本单位未发生网络租赁费。</w:t>
      </w:r>
    </w:p>
    <w:p>
      <w:pPr>
        <w:pStyle w:val="5"/>
        <w:bidi w:val="0"/>
      </w:pPr>
      <w:r>
        <w:t> 十二、政府采购支出决算情况说明</w:t>
      </w:r>
    </w:p>
    <w:p>
      <w:pPr>
        <w:bidi w:val="0"/>
      </w:pPr>
      <w:r>
        <w:t>赤峰市政务服务与数据管理局（本级） 2024年度政府采购支出总额 1957.74万元，其中：政府采购货物支出 0.97万元、政府采购工程支出 0万元、政府采购服务支出 1956.78万元。政府采购授予中小企业合同金额 1936.96万元，占政府采购支出总额的</w:t>
      </w:r>
      <w:r>
        <w:rPr>
          <w:rFonts w:hint="eastAsia"/>
          <w:lang w:val="en-US" w:eastAsia="zh-CN"/>
        </w:rPr>
        <w:t>98.9</w:t>
      </w:r>
      <w:r>
        <w:t>%，其中：授予小微企业合同金额 56.49万元，占政府采购支出总额的</w:t>
      </w:r>
      <w:r>
        <w:rPr>
          <w:rFonts w:hint="eastAsia"/>
          <w:lang w:val="en-US" w:eastAsia="zh-CN"/>
        </w:rPr>
        <w:t>2.9</w:t>
      </w:r>
      <w:r>
        <w:t>%；货物采购授予中小企业合同金额占货物支出金额的</w:t>
      </w:r>
      <w:r>
        <w:rPr>
          <w:rFonts w:hint="eastAsia"/>
          <w:lang w:val="en-US" w:eastAsia="zh-CN"/>
        </w:rPr>
        <w:t>0</w:t>
      </w:r>
      <w:r>
        <w:t>%，工程采购授予中小企业合同金额占工程支出金额的</w:t>
      </w:r>
      <w:r>
        <w:rPr>
          <w:rFonts w:hint="eastAsia"/>
          <w:lang w:val="en-US" w:eastAsia="zh-CN"/>
        </w:rPr>
        <w:t>0</w:t>
      </w:r>
      <w:r>
        <w:t>%，服务采购授予中小企业合同金额占服务支出金额的</w:t>
      </w:r>
      <w:r>
        <w:rPr>
          <w:rFonts w:hint="eastAsia"/>
          <w:lang w:val="en-US" w:eastAsia="zh-CN"/>
        </w:rPr>
        <w:t>99.0</w:t>
      </w:r>
      <w:r>
        <w:t>%。</w:t>
      </w:r>
    </w:p>
    <w:p>
      <w:pPr>
        <w:pStyle w:val="5"/>
        <w:bidi w:val="0"/>
      </w:pPr>
      <w:r>
        <w:t>十三、国有资产占用情况说明</w:t>
      </w:r>
    </w:p>
    <w:p>
      <w:pPr>
        <w:bidi w:val="0"/>
      </w:pPr>
      <w:r>
        <w:t>赤峰市政务服务与数据管理局（本级）截至2024年12月31日，本单位共有车辆 0辆，其中：副部（省）级及以上领导用车0 辆、主要负责人用车 0辆、机要通信用车 0辆、应急保障用车 0辆、执法执勤用车 0辆、特种专业技术用车 0辆、离退休干部服务用车 0辆，其他用车 0辆；单价100万元（含）以上的设备（不含车辆） 0台（套）。</w:t>
      </w:r>
    </w:p>
    <w:p>
      <w:pPr>
        <w:pStyle w:val="5"/>
        <w:bidi w:val="0"/>
      </w:pPr>
      <w:r>
        <w:t> 十四、预算绩效情况说明</w:t>
      </w:r>
    </w:p>
    <w:p>
      <w:pPr>
        <w:pStyle w:val="6"/>
        <w:bidi w:val="0"/>
      </w:pPr>
      <w:r>
        <w:t>（一）预算绩效管理工作开展情况。</w:t>
      </w:r>
    </w:p>
    <w:p>
      <w:pPr>
        <w:bidi w:val="0"/>
        <w:rPr>
          <w:rFonts w:hint="eastAsia"/>
          <w:lang w:eastAsia="zh-CN"/>
        </w:rPr>
      </w:pPr>
      <w:r>
        <w:t>  赤峰市政务服务与数据管理局（本级）根据预算绩效管理要求组织对2024年一般公共预算项目支出全面开展绩效自评，其中一级项目</w:t>
      </w:r>
      <w:r>
        <w:rPr>
          <w:rFonts w:hint="eastAsia"/>
        </w:rPr>
        <w:t>31</w:t>
      </w:r>
      <w:r>
        <w:t>个，二级项目</w:t>
      </w:r>
      <w:r>
        <w:rPr>
          <w:rFonts w:hint="eastAsia"/>
        </w:rPr>
        <w:t>0</w:t>
      </w:r>
      <w:r>
        <w:t>个，共涉及资金</w:t>
      </w:r>
      <w:r>
        <w:rPr>
          <w:rFonts w:hint="eastAsia"/>
        </w:rPr>
        <w:t>7719.28</w:t>
      </w:r>
      <w:r>
        <w:t>万元，占一般公共预算</w:t>
      </w:r>
      <w:bookmarkStart w:id="1" w:name="_GoBack"/>
      <w:bookmarkEnd w:id="1"/>
      <w:r>
        <w:t>项目支出总额的100%；政府性基金预算项目</w:t>
      </w:r>
      <w:r>
        <w:rPr>
          <w:rFonts w:hint="eastAsia"/>
        </w:rPr>
        <w:t>0</w:t>
      </w:r>
      <w:r>
        <w:t>个，其中，一级项目</w:t>
      </w:r>
      <w:r>
        <w:rPr>
          <w:rFonts w:hint="eastAsia"/>
        </w:rPr>
        <w:t>0</w:t>
      </w:r>
      <w:r>
        <w:t>个，二级项目</w:t>
      </w:r>
      <w:r>
        <w:rPr>
          <w:rFonts w:hint="eastAsia"/>
        </w:rPr>
        <w:t>0</w:t>
      </w:r>
      <w:r>
        <w:t>个，共涉及资金</w:t>
      </w:r>
      <w:r>
        <w:rPr>
          <w:rFonts w:hint="eastAsia"/>
        </w:rPr>
        <w:t>0</w:t>
      </w:r>
      <w:r>
        <w:t>万元，占应纳入绩效自评的政府性基金预算项目支出总额的100%</w:t>
      </w:r>
      <w:r>
        <w:rPr>
          <w:rFonts w:hint="eastAsia"/>
          <w:lang w:eastAsia="zh-CN"/>
        </w:rPr>
        <w:t>。</w:t>
      </w:r>
    </w:p>
    <w:p>
      <w:pPr>
        <w:bidi w:val="0"/>
      </w:pPr>
      <w:r>
        <w:t>  组织对“</w:t>
      </w:r>
      <w:r>
        <w:rPr>
          <w:rFonts w:hint="eastAsia"/>
        </w:rPr>
        <w:t>赤峰市人民政府公报印发资金</w:t>
      </w:r>
      <w:r>
        <w:t>”、“</w:t>
      </w:r>
      <w:r>
        <w:rPr>
          <w:rFonts w:hint="eastAsia"/>
        </w:rPr>
        <w:t>蒙企通接口使用及服务费</w:t>
      </w:r>
      <w:r>
        <w:t>”、“</w:t>
      </w:r>
      <w:r>
        <w:rPr>
          <w:rFonts w:hint="eastAsia"/>
        </w:rPr>
        <w:t>法律咨询费项目</w:t>
      </w:r>
      <w:r>
        <w:t>”等 </w:t>
      </w:r>
      <w:r>
        <w:rPr>
          <w:rFonts w:hint="eastAsia"/>
        </w:rPr>
        <w:t>31</w:t>
      </w:r>
      <w:r>
        <w:t>个项目开展了</w:t>
      </w:r>
      <w:r>
        <w:rPr>
          <w:rFonts w:hint="eastAsia"/>
          <w:lang w:val="en-US" w:eastAsia="zh-CN"/>
        </w:rPr>
        <w:t>部门</w:t>
      </w:r>
      <w:r>
        <w:t>评价</w:t>
      </w:r>
      <w:r>
        <w:rPr>
          <w:rFonts w:hint="eastAsia"/>
          <w:lang w:eastAsia="zh-CN"/>
        </w:rPr>
        <w:t>，</w:t>
      </w:r>
      <w:r>
        <w:t>涉及一般公共预算支出</w:t>
      </w:r>
      <w:r>
        <w:rPr>
          <w:rFonts w:hint="eastAsia"/>
        </w:rPr>
        <w:t>7719.28</w:t>
      </w:r>
      <w:r>
        <w:t>万元，政府性基金支出</w:t>
      </w:r>
      <w:r>
        <w:rPr>
          <w:rFonts w:hint="eastAsia"/>
        </w:rPr>
        <w:t>0</w:t>
      </w:r>
      <w:r>
        <w:t>万元。其中，对“</w:t>
      </w:r>
      <w:r>
        <w:rPr>
          <w:rFonts w:hint="eastAsia"/>
        </w:rPr>
        <w:t>政务云服务</w:t>
      </w:r>
      <w:r>
        <w:t>”等项目分别委托相关第三方机构开展绩效评价。从评价情况看，以上项目</w:t>
      </w:r>
      <w:r>
        <w:rPr>
          <w:rFonts w:hint="eastAsia"/>
        </w:rPr>
        <w:t>积极强化网络基础保障，统筹云资源服务管理，夯实电子政务外网基础保障，网络覆盖，资金管理规范，管理制度健全，执行有效，保障了赤峰市区单位和部门的正常运转，同时也提升了政务服务能力</w:t>
      </w:r>
      <w:r>
        <w:t>。</w:t>
      </w:r>
    </w:p>
    <w:p>
      <w:pPr>
        <w:pStyle w:val="6"/>
        <w:bidi w:val="0"/>
      </w:pPr>
      <w:r>
        <w:t>（二）单位决算中项目绩效自评结果。</w:t>
      </w:r>
    </w:p>
    <w:p>
      <w:pPr>
        <w:bidi w:val="0"/>
      </w:pPr>
      <w:r>
        <w:t>赤峰市政务服务与数据管理局（本级） 2024年度在决算中反映</w:t>
      </w:r>
      <w:r>
        <w:rPr>
          <w:rFonts w:hint="eastAsia"/>
        </w:rPr>
        <w:t>31</w:t>
      </w:r>
      <w:r>
        <w:t>个一般公共预算项目，以及</w:t>
      </w:r>
      <w:r>
        <w:rPr>
          <w:rFonts w:hint="eastAsia"/>
        </w:rPr>
        <w:t>0</w:t>
      </w:r>
      <w:r>
        <w:t>个政府性基金项目</w:t>
      </w:r>
      <w:r>
        <w:rPr>
          <w:rFonts w:hint="eastAsia"/>
          <w:lang w:eastAsia="zh-CN"/>
        </w:rPr>
        <w:t>。</w:t>
      </w:r>
      <w:r>
        <w:t>共</w:t>
      </w:r>
      <w:r>
        <w:rPr>
          <w:rFonts w:hint="eastAsia"/>
        </w:rPr>
        <w:t>31</w:t>
      </w:r>
      <w:r>
        <w:t>个项目的绩效自评结果。</w:t>
      </w:r>
    </w:p>
    <w:p>
      <w:pPr>
        <w:numPr>
          <w:ilvl w:val="0"/>
          <w:numId w:val="0"/>
        </w:numPr>
        <w:bidi w:val="0"/>
        <w:ind w:firstLine="640" w:firstLineChars="200"/>
        <w:rPr>
          <w:rFonts w:hint="eastAsia"/>
        </w:rPr>
      </w:pPr>
      <w:r>
        <w:rPr>
          <w:rFonts w:hint="eastAsia" w:ascii="仿宋_GB2312" w:hAnsi="仿宋_GB2312" w:eastAsia="仿宋_GB2312" w:cs="仿宋_GB2312"/>
          <w:kern w:val="0"/>
          <w:sz w:val="32"/>
          <w:szCs w:val="32"/>
          <w:lang w:val="en-US" w:eastAsia="zh-CN" w:bidi="ar-SA"/>
        </w:rPr>
        <w:t>1.</w:t>
      </w:r>
      <w:r>
        <w:rPr>
          <w:rFonts w:hint="eastAsia"/>
        </w:rPr>
        <w:t>法律咨询费项目自评综述：根据年初设定的绩效目标，项目自评得分90.9分。全年预算数为43.2万元，执行数为41.4万元，完成预算的95.83%。项目绩效目标完成情况：确立咨询服务内容、事项、提供与服务相关的场所及办公类事项，按要求完成咨询服务内容，按期完成交办的工作，确保工作顺利进展。发现的主要问题及原因：预算执行进度慢。下一步改进措施：加快预算执行进度和力度。</w:t>
      </w:r>
    </w:p>
    <w:p>
      <w:pPr>
        <w:bidi w:val="0"/>
        <w:rPr>
          <w:rFonts w:hint="eastAsia"/>
        </w:rPr>
      </w:pPr>
      <w:r>
        <w:rPr>
          <w:rFonts w:hint="eastAsia"/>
        </w:rPr>
        <w:t>2.赤峰市人民政府公报印发资金</w:t>
      </w:r>
      <w:r>
        <w:t>项目自评综述：根据年初设定的绩效目标，项目自评得分</w:t>
      </w:r>
      <w:r>
        <w:rPr>
          <w:rFonts w:hint="eastAsia"/>
        </w:rPr>
        <w:t>88.97</w:t>
      </w:r>
      <w:r>
        <w:t>分。全年预算数为</w:t>
      </w:r>
      <w:r>
        <w:rPr>
          <w:rFonts w:hint="eastAsia"/>
        </w:rPr>
        <w:t>60</w:t>
      </w:r>
      <w:r>
        <w:t>万元，执行数为</w:t>
      </w:r>
      <w:r>
        <w:rPr>
          <w:rFonts w:hint="eastAsia"/>
        </w:rPr>
        <w:t>3.87</w:t>
      </w:r>
      <w:r>
        <w:t>万元，完成预算的</w:t>
      </w:r>
      <w:r>
        <w:rPr>
          <w:rFonts w:hint="eastAsia"/>
        </w:rPr>
        <w:t>6.45</w:t>
      </w:r>
      <w:r>
        <w:t>%。项目绩效目标完成情况：</w:t>
      </w:r>
      <w:r>
        <w:rPr>
          <w:rFonts w:hint="eastAsia"/>
        </w:rPr>
        <w:t>市本级政府公报发行范围到嘎查村（居委会）一级，实现发行全覆盖，同时加快政府公报工作信息化建设进程，实现电子公报与纸质公报同步更新。发现的主要问题及原因：预算执行进度慢。下一步改进措施：加快预算执行进度和力度。</w:t>
      </w:r>
    </w:p>
    <w:p>
      <w:pPr>
        <w:bidi w:val="0"/>
        <w:rPr>
          <w:rFonts w:hint="eastAsia"/>
        </w:rPr>
      </w:pPr>
      <w:r>
        <w:rPr>
          <w:rFonts w:hint="eastAsia"/>
        </w:rPr>
        <w:t>3.蒙企通接口使用及服务费项目自评综述：根据年初设定的绩效目标，项目自评得分86分。全年预算数为35万元，执行数为0万元，完成预算的0%。项目绩效目标完成情况：在全区推广“蒙企通”APP，打造成为服务民营企业优化营商环境的重要平台。实现企业诉求、政策推送、问卷调查、数据驾驶功能。发现的主要问题及原因：预算执行进度慢。下一步改进措施：加快预算执行进度和力度。</w:t>
      </w:r>
    </w:p>
    <w:p>
      <w:pPr>
        <w:bidi w:val="0"/>
        <w:rPr>
          <w:rFonts w:hint="eastAsia"/>
        </w:rPr>
      </w:pPr>
      <w:r>
        <w:rPr>
          <w:rFonts w:hint="eastAsia"/>
        </w:rPr>
        <w:t>4.政务公开保障金</w:t>
      </w:r>
      <w:r>
        <w:t>项目自评综述：根据年初设定的绩效目标，项目自评得分</w:t>
      </w:r>
      <w:r>
        <w:rPr>
          <w:rFonts w:hint="eastAsia"/>
        </w:rPr>
        <w:t>93.11</w:t>
      </w:r>
      <w:r>
        <w:t>分。全年预算数为</w:t>
      </w:r>
      <w:r>
        <w:rPr>
          <w:rFonts w:hint="eastAsia"/>
        </w:rPr>
        <w:t>5</w:t>
      </w:r>
      <w:r>
        <w:t>万元，执行数为</w:t>
      </w:r>
      <w:r>
        <w:rPr>
          <w:rFonts w:hint="eastAsia"/>
        </w:rPr>
        <w:t>4.95</w:t>
      </w:r>
      <w:r>
        <w:t>万元，完成预算的</w:t>
      </w:r>
      <w:r>
        <w:rPr>
          <w:rFonts w:hint="eastAsia"/>
        </w:rPr>
        <w:t>99</w:t>
      </w:r>
      <w:r>
        <w:t>%。项目绩效目标完成情况：</w:t>
      </w:r>
      <w:r>
        <w:rPr>
          <w:rFonts w:hint="eastAsia"/>
        </w:rPr>
        <w:t>完成市政府网站运维服务包括栏目调整、页面调整以及其他应急服务。对政务公开政策文件采用多种形式进行解读。发现的主要问题及原因：暂无。下一步改进措施：暂无。</w:t>
      </w:r>
    </w:p>
    <w:p>
      <w:pPr>
        <w:bidi w:val="0"/>
        <w:rPr>
          <w:rFonts w:hint="eastAsia"/>
        </w:rPr>
      </w:pPr>
      <w:r>
        <w:rPr>
          <w:rFonts w:hint="eastAsia"/>
        </w:rPr>
        <w:t>5.四级政务服务平台运维服务费自评综述：根据年初设定的绩效目标，项目自评得分94.47分。全年预算数为105.59万元，执行数为105.59万元，完成预算的100%。项目绩效目标完成情况：完成四级一体化政务服务平台运维服务，主要包括四级一体化政务服务平台、好差评系统和事项清单管理平台以及相关配套硬件提供业务系统运行维护、安全保障、售后服务等运维服务。发现的主要问题及原因：运行维护日常管理有待加强。下一步改进措施：强化日常网络运行维护管理，保障网络安全。</w:t>
      </w:r>
    </w:p>
    <w:p>
      <w:pPr>
        <w:pStyle w:val="6"/>
        <w:bidi w:val="0"/>
      </w:pPr>
      <w:r>
        <w:t>（三）部门项目绩效评价结果。</w:t>
      </w:r>
    </w:p>
    <w:p>
      <w:pPr>
        <w:bidi w:val="0"/>
        <w:rPr>
          <w:rFonts w:hint="eastAsia"/>
        </w:rPr>
      </w:pPr>
      <w:r>
        <w:t>以</w:t>
      </w:r>
      <w:r>
        <w:rPr>
          <w:rFonts w:hint="eastAsia"/>
        </w:rPr>
        <w:t>法律咨询费</w:t>
      </w:r>
      <w:r>
        <w:t>项目为例，该项目绩效评价综合得分为</w:t>
      </w:r>
      <w:r>
        <w:rPr>
          <w:rFonts w:hint="eastAsia"/>
        </w:rPr>
        <w:t>90.9</w:t>
      </w:r>
      <w:r>
        <w:t>分，绩效评价结果为“优”。重点项目绩效评价得分情况详见单位具体绩效评价结果。</w:t>
      </w:r>
    </w:p>
    <w:p>
      <w:pPr>
        <w:spacing w:line="620" w:lineRule="exact"/>
        <w:jc w:val="center"/>
        <w:rPr>
          <w:rFonts w:hint="eastAsia" w:ascii="仿宋" w:hAnsi="仿宋" w:eastAsia="仿宋" w:cs="仿宋"/>
          <w:sz w:val="44"/>
          <w:szCs w:val="44"/>
        </w:rPr>
      </w:pPr>
    </w:p>
    <w:p>
      <w:pPr>
        <w:spacing w:line="620" w:lineRule="exact"/>
        <w:jc w:val="center"/>
        <w:rPr>
          <w:rFonts w:ascii="Times New Roman Regular" w:hAnsi="Times New Roman Regular" w:eastAsia="方正小标宋简体" w:cs="Times New Roman Regular"/>
          <w:sz w:val="44"/>
          <w:szCs w:val="44"/>
        </w:rPr>
      </w:pPr>
      <w:r>
        <w:rPr>
          <w:rFonts w:hint="eastAsia" w:ascii="Times New Roman Regular" w:hAnsi="Times New Roman Regular" w:eastAsia="方正小标宋简体" w:cs="Times New Roman Regular"/>
          <w:sz w:val="44"/>
          <w:szCs w:val="44"/>
        </w:rPr>
        <w:t>2024</w:t>
      </w:r>
      <w:r>
        <w:rPr>
          <w:rFonts w:ascii="Times New Roman Regular" w:hAnsi="Times New Roman Regular" w:eastAsia="方正小标宋简体" w:cs="Times New Roman Regular"/>
          <w:sz w:val="44"/>
          <w:szCs w:val="44"/>
        </w:rPr>
        <w:t>年度</w:t>
      </w:r>
      <w:r>
        <w:rPr>
          <w:rFonts w:hint="eastAsia" w:ascii="Times New Roman Regular" w:hAnsi="Times New Roman Regular" w:eastAsia="方正小标宋简体" w:cs="Times New Roman Regular"/>
          <w:sz w:val="44"/>
          <w:szCs w:val="44"/>
        </w:rPr>
        <w:t>法律咨询服务</w:t>
      </w:r>
      <w:r>
        <w:rPr>
          <w:rFonts w:ascii="Times New Roman Regular" w:hAnsi="Times New Roman Regular" w:eastAsia="方正小标宋简体" w:cs="Times New Roman Regular"/>
          <w:sz w:val="44"/>
          <w:szCs w:val="44"/>
        </w:rPr>
        <w:t>项目绩效自评报告</w:t>
      </w:r>
    </w:p>
    <w:p>
      <w:pPr>
        <w:spacing w:line="620" w:lineRule="exact"/>
        <w:jc w:val="center"/>
        <w:rPr>
          <w:rFonts w:ascii="Times New Roman Regular" w:hAnsi="Times New Roman Regular" w:eastAsia="方正小标宋简体" w:cs="Times New Roman Regular"/>
          <w:sz w:val="44"/>
          <w:szCs w:val="44"/>
        </w:rPr>
      </w:pPr>
    </w:p>
    <w:p>
      <w:pPr>
        <w:pStyle w:val="5"/>
        <w:bidi w:val="0"/>
      </w:pPr>
      <w:r>
        <w:rPr>
          <w:rFonts w:hint="eastAsia"/>
        </w:rPr>
        <w:t>一、项目基本情况</w:t>
      </w:r>
    </w:p>
    <w:p>
      <w:pPr>
        <w:topLinePunct/>
        <w:spacing w:line="520" w:lineRule="exact"/>
        <w:ind w:firstLine="640"/>
        <w:outlineLvl w:val="1"/>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（一）项目基本情况简介。</w:t>
      </w:r>
    </w:p>
    <w:p>
      <w:pPr>
        <w:topLinePunct/>
        <w:spacing w:line="520" w:lineRule="exact"/>
        <w:ind w:firstLine="640"/>
        <w:rPr>
          <w:rFonts w:ascii="Times New Roman Regular" w:hAnsi="Times New Roman Regular" w:eastAsia="仿宋" w:cs="Times New Roman Regular"/>
          <w:sz w:val="32"/>
          <w:szCs w:val="32"/>
        </w:rPr>
      </w:pPr>
      <w:r>
        <w:rPr>
          <w:rFonts w:hint="eastAsia" w:ascii="仿宋" w:hAnsi="仿宋" w:eastAsia="仿宋" w:cs="仿宋"/>
          <w:sz w:val="32"/>
          <w:szCs w:val="32"/>
        </w:rPr>
        <w:t>梳理权责清单和政务服务事项流程优化</w:t>
      </w:r>
    </w:p>
    <w:p>
      <w:pPr>
        <w:topLinePunct/>
        <w:spacing w:line="520" w:lineRule="exact"/>
        <w:ind w:firstLine="640"/>
        <w:outlineLvl w:val="1"/>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（二）绩效目标设定及指标完成情况。</w:t>
      </w:r>
    </w:p>
    <w:p>
      <w:pPr>
        <w:topLinePunct/>
        <w:spacing w:line="520" w:lineRule="exact"/>
        <w:ind w:firstLine="64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年度绩效</w:t>
      </w:r>
      <w:r>
        <w:rPr>
          <w:rFonts w:ascii="Times New Roman Regular" w:hAnsi="Times New Roman Regular" w:eastAsia="仿宋" w:cs="Times New Roman Regular"/>
          <w:sz w:val="32"/>
          <w:szCs w:val="32"/>
        </w:rPr>
        <w:t>目标：</w:t>
      </w:r>
      <w:r>
        <w:rPr>
          <w:rFonts w:hint="eastAsia" w:ascii="仿宋" w:hAnsi="仿宋" w:eastAsia="仿宋" w:cs="仿宋"/>
          <w:sz w:val="32"/>
          <w:szCs w:val="32"/>
        </w:rPr>
        <w:t>预计支出43.2万元，主要用于聘请专业律师咨询服务内容、事项、提供与服务相关的场所及办公类事项，按要求完成咨询服务内容，按期完成交办的工作，确保工作顺利进展。</w:t>
      </w:r>
    </w:p>
    <w:p>
      <w:pPr>
        <w:topLinePunct/>
        <w:spacing w:line="520" w:lineRule="exact"/>
        <w:ind w:firstLine="64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年度</w:t>
      </w:r>
      <w:r>
        <w:rPr>
          <w:rFonts w:ascii="Times New Roman Regular" w:hAnsi="Times New Roman Regular" w:eastAsia="仿宋" w:cs="Times New Roman Regular"/>
          <w:sz w:val="32"/>
          <w:szCs w:val="32"/>
        </w:rPr>
        <w:t>绩效目标完成情况：</w:t>
      </w:r>
      <w:r>
        <w:rPr>
          <w:rFonts w:hint="eastAsia" w:ascii="仿宋" w:hAnsi="仿宋" w:eastAsia="仿宋" w:cs="仿宋"/>
          <w:sz w:val="32"/>
          <w:szCs w:val="32"/>
        </w:rPr>
        <w:t>聘请专业律师咨询服务内容、事项、提供与服务相关的场所及办公类事项，按要求完成咨询服务内容，按期完成交办的工作，确保工作顺利进展。</w:t>
      </w:r>
    </w:p>
    <w:p>
      <w:pPr>
        <w:topLinePunct/>
        <w:spacing w:line="520" w:lineRule="exact"/>
        <w:ind w:firstLine="64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（三）偏差分析及整改措施。</w:t>
      </w:r>
    </w:p>
    <w:p>
      <w:pPr>
        <w:topLinePunct/>
        <w:spacing w:line="520" w:lineRule="exact"/>
        <w:ind w:firstLine="64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聘请专业律师咨询服务内容、事项、提供与服务相关的场所及办公类事项，按要求完成咨询服务内容，按期完成交办的工作，确保工作顺利进展。</w:t>
      </w:r>
    </w:p>
    <w:p>
      <w:pPr>
        <w:pStyle w:val="5"/>
        <w:bidi w:val="0"/>
      </w:pPr>
      <w:r>
        <w:rPr>
          <w:rFonts w:hint="eastAsia"/>
        </w:rPr>
        <w:t>二、绩效自评工作情况</w:t>
      </w:r>
    </w:p>
    <w:p>
      <w:pPr>
        <w:topLinePunct/>
        <w:spacing w:line="520" w:lineRule="exact"/>
        <w:ind w:firstLine="640"/>
        <w:outlineLvl w:val="1"/>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（一）绩效自评目的。</w:t>
      </w:r>
    </w:p>
    <w:p>
      <w:pPr>
        <w:topLinePunct/>
        <w:spacing w:line="520" w:lineRule="exact"/>
        <w:ind w:firstLine="640"/>
        <w:rPr>
          <w:rFonts w:ascii="Times New Roman Regular" w:hAnsi="Times New Roman Regular" w:eastAsia="仿宋" w:cs="Times New Roman Regular"/>
          <w:sz w:val="32"/>
          <w:szCs w:val="32"/>
        </w:rPr>
      </w:pPr>
      <w:r>
        <w:rPr>
          <w:rFonts w:hint="eastAsia" w:ascii="仿宋" w:hAnsi="仿宋" w:eastAsia="仿宋" w:cs="仿宋"/>
          <w:sz w:val="32"/>
          <w:szCs w:val="32"/>
        </w:rPr>
        <w:t>通过绩效自评，对其预算执行过程中的项目管理和目标要求完成情况，目标实现程度，目标偏差和纠偏情况进行跟踪。全面掌握项目资金的使用情况，项目进度以及实施效率，并及时发现项目执行过程中存在的问题和困难，强化绩效自评结果应用。加强项目管理，强化支出责任，减少不合理支出和无效支出，提高财政资金使用效益，运用科学合理的评价方法对年初申报部门预算项目资金时明确的绩效目标完成情况进行客观、公正的评价。</w:t>
      </w:r>
    </w:p>
    <w:p>
      <w:pPr>
        <w:topLinePunct/>
        <w:spacing w:line="520" w:lineRule="exact"/>
        <w:ind w:firstLine="640"/>
        <w:outlineLvl w:val="1"/>
        <w:rPr>
          <w:rFonts w:ascii="仿宋" w:hAnsi="仿宋" w:eastAsia="仿宋" w:cs="仿宋"/>
          <w:sz w:val="32"/>
          <w:szCs w:val="32"/>
        </w:rPr>
      </w:pPr>
      <w:r>
        <w:rPr>
          <w:rFonts w:hint="eastAsia" w:ascii="仿宋" w:hAnsi="仿宋" w:eastAsia="仿宋" w:cs="仿宋"/>
          <w:sz w:val="32"/>
          <w:szCs w:val="32"/>
        </w:rPr>
        <w:t>（二）项目资金投入情况。</w:t>
      </w:r>
    </w:p>
    <w:p>
      <w:pPr>
        <w:topLinePunct/>
        <w:spacing w:line="520" w:lineRule="exact"/>
        <w:ind w:firstLine="640"/>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本</w:t>
      </w:r>
      <w:r>
        <w:rPr>
          <w:rFonts w:hint="eastAsia" w:ascii="Times New Roman Regular" w:hAnsi="Times New Roman Regular" w:eastAsia="仿宋" w:cs="Times New Roman Regular"/>
          <w:sz w:val="32"/>
          <w:szCs w:val="32"/>
        </w:rPr>
        <w:t>项目资金</w:t>
      </w:r>
      <w:r>
        <w:rPr>
          <w:rFonts w:ascii="Times New Roman Regular" w:hAnsi="Times New Roman Regular" w:eastAsia="仿宋" w:cs="Times New Roman Regular"/>
          <w:sz w:val="32"/>
          <w:szCs w:val="32"/>
        </w:rPr>
        <w:t>年初预算数</w:t>
      </w:r>
      <w:r>
        <w:rPr>
          <w:rFonts w:hint="eastAsia" w:ascii="仿宋" w:hAnsi="仿宋" w:eastAsia="仿宋" w:cs="仿宋"/>
          <w:sz w:val="32"/>
          <w:szCs w:val="32"/>
        </w:rPr>
        <w:t>43.2</w:t>
      </w:r>
      <w:r>
        <w:rPr>
          <w:rFonts w:ascii="Times New Roman Regular" w:hAnsi="Times New Roman Regular" w:eastAsia="仿宋" w:cs="Times New Roman Regular"/>
          <w:sz w:val="32"/>
          <w:szCs w:val="32"/>
        </w:rPr>
        <w:t>万元，其中：财政拨款</w:t>
      </w:r>
      <w:r>
        <w:rPr>
          <w:rFonts w:hint="eastAsia" w:ascii="仿宋" w:hAnsi="仿宋" w:eastAsia="仿宋" w:cs="仿宋"/>
          <w:sz w:val="32"/>
          <w:szCs w:val="32"/>
        </w:rPr>
        <w:t>43.2</w:t>
      </w:r>
      <w:r>
        <w:rPr>
          <w:rFonts w:ascii="Times New Roman Regular" w:hAnsi="Times New Roman Regular" w:eastAsia="仿宋" w:cs="Times New Roman Regular"/>
          <w:sz w:val="32"/>
          <w:szCs w:val="32"/>
        </w:rPr>
        <w:t>万元，其他资金</w:t>
      </w:r>
      <w:r>
        <w:rPr>
          <w:rFonts w:hint="eastAsia" w:ascii="仿宋" w:hAnsi="仿宋" w:eastAsia="仿宋" w:cs="仿宋"/>
          <w:sz w:val="32"/>
          <w:szCs w:val="32"/>
        </w:rPr>
        <w:t>0</w:t>
      </w:r>
      <w:r>
        <w:rPr>
          <w:rFonts w:ascii="Times New Roman Regular" w:hAnsi="Times New Roman Regular" w:eastAsia="仿宋" w:cs="Times New Roman Regular"/>
          <w:sz w:val="32"/>
          <w:szCs w:val="32"/>
        </w:rPr>
        <w:t>万元。</w:t>
      </w:r>
    </w:p>
    <w:p>
      <w:pPr>
        <w:topLinePunct/>
        <w:spacing w:line="520" w:lineRule="exact"/>
        <w:ind w:firstLine="640"/>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本</w:t>
      </w:r>
      <w:r>
        <w:rPr>
          <w:rFonts w:hint="eastAsia" w:ascii="Times New Roman Regular" w:hAnsi="Times New Roman Regular" w:eastAsia="仿宋" w:cs="Times New Roman Regular"/>
          <w:sz w:val="32"/>
          <w:szCs w:val="32"/>
        </w:rPr>
        <w:t>项目</w:t>
      </w:r>
      <w:r>
        <w:rPr>
          <w:rFonts w:ascii="Times New Roman Regular" w:hAnsi="Times New Roman Regular" w:eastAsia="仿宋" w:cs="Times New Roman Regular"/>
          <w:sz w:val="32"/>
          <w:szCs w:val="32"/>
        </w:rPr>
        <w:t>资金</w:t>
      </w:r>
      <w:r>
        <w:rPr>
          <w:rFonts w:hint="eastAsia" w:ascii="Times New Roman Regular" w:hAnsi="Times New Roman Regular" w:eastAsia="仿宋" w:cs="Times New Roman Regular"/>
          <w:sz w:val="32"/>
          <w:szCs w:val="32"/>
        </w:rPr>
        <w:t>年度调整金额</w:t>
      </w:r>
      <w:r>
        <w:rPr>
          <w:rFonts w:hint="eastAsia" w:ascii="仿宋" w:hAnsi="仿宋" w:eastAsia="仿宋" w:cs="仿宋"/>
          <w:sz w:val="32"/>
          <w:szCs w:val="32"/>
        </w:rPr>
        <w:t>0</w:t>
      </w:r>
      <w:r>
        <w:rPr>
          <w:rFonts w:ascii="Times New Roman Regular" w:hAnsi="Times New Roman Regular" w:eastAsia="仿宋" w:cs="Times New Roman Regular"/>
          <w:sz w:val="32"/>
          <w:szCs w:val="32"/>
        </w:rPr>
        <w:t>万元，其中：财政拨款</w:t>
      </w:r>
      <w:r>
        <w:rPr>
          <w:rFonts w:hint="eastAsia" w:ascii="仿宋" w:hAnsi="仿宋" w:eastAsia="仿宋" w:cs="仿宋"/>
          <w:sz w:val="32"/>
          <w:szCs w:val="32"/>
        </w:rPr>
        <w:t>0</w:t>
      </w:r>
      <w:r>
        <w:rPr>
          <w:rFonts w:ascii="Times New Roman Regular" w:hAnsi="Times New Roman Regular" w:eastAsia="仿宋" w:cs="Times New Roman Regular"/>
          <w:sz w:val="32"/>
          <w:szCs w:val="32"/>
        </w:rPr>
        <w:t>万元，其他资金</w:t>
      </w:r>
      <w:r>
        <w:rPr>
          <w:rFonts w:hint="eastAsia" w:ascii="仿宋" w:hAnsi="仿宋" w:eastAsia="仿宋" w:cs="仿宋"/>
          <w:sz w:val="32"/>
          <w:szCs w:val="32"/>
        </w:rPr>
        <w:t>0</w:t>
      </w:r>
      <w:r>
        <w:rPr>
          <w:rFonts w:ascii="Times New Roman Regular" w:hAnsi="Times New Roman Regular" w:eastAsia="仿宋" w:cs="Times New Roman Regular"/>
          <w:sz w:val="32"/>
          <w:szCs w:val="32"/>
        </w:rPr>
        <w:t>万元。</w:t>
      </w:r>
    </w:p>
    <w:p>
      <w:pPr>
        <w:topLinePunct/>
        <w:spacing w:line="520" w:lineRule="exact"/>
        <w:ind w:firstLine="640"/>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本</w:t>
      </w:r>
      <w:r>
        <w:rPr>
          <w:rFonts w:hint="eastAsia" w:ascii="Times New Roman Regular" w:hAnsi="Times New Roman Regular" w:eastAsia="仿宋" w:cs="Times New Roman Regular"/>
          <w:sz w:val="32"/>
          <w:szCs w:val="32"/>
        </w:rPr>
        <w:t>项目</w:t>
      </w:r>
      <w:r>
        <w:rPr>
          <w:rFonts w:ascii="Times New Roman Regular" w:hAnsi="Times New Roman Regular" w:eastAsia="仿宋" w:cs="Times New Roman Regular"/>
          <w:sz w:val="32"/>
          <w:szCs w:val="32"/>
        </w:rPr>
        <w:t>资金</w:t>
      </w:r>
      <w:r>
        <w:rPr>
          <w:rFonts w:hint="eastAsia" w:ascii="Times New Roman Regular" w:hAnsi="Times New Roman Regular" w:eastAsia="仿宋" w:cs="Times New Roman Regular"/>
          <w:sz w:val="32"/>
          <w:szCs w:val="32"/>
        </w:rPr>
        <w:t>变动后预算数</w:t>
      </w:r>
      <w:r>
        <w:rPr>
          <w:rFonts w:hint="eastAsia" w:ascii="仿宋" w:hAnsi="仿宋" w:eastAsia="仿宋" w:cs="仿宋"/>
          <w:sz w:val="32"/>
          <w:szCs w:val="32"/>
        </w:rPr>
        <w:t>43.2</w:t>
      </w:r>
      <w:r>
        <w:rPr>
          <w:rFonts w:ascii="Times New Roman Regular" w:hAnsi="Times New Roman Regular" w:eastAsia="仿宋" w:cs="Times New Roman Regular"/>
          <w:sz w:val="32"/>
          <w:szCs w:val="32"/>
        </w:rPr>
        <w:t>万元，其中：财政拨款</w:t>
      </w:r>
      <w:r>
        <w:rPr>
          <w:rFonts w:hint="eastAsia" w:ascii="仿宋" w:hAnsi="仿宋" w:eastAsia="仿宋" w:cs="仿宋"/>
          <w:sz w:val="32"/>
          <w:szCs w:val="32"/>
        </w:rPr>
        <w:t>43.2</w:t>
      </w:r>
      <w:r>
        <w:rPr>
          <w:rFonts w:ascii="Times New Roman Regular" w:hAnsi="Times New Roman Regular" w:eastAsia="仿宋" w:cs="Times New Roman Regular"/>
          <w:sz w:val="32"/>
          <w:szCs w:val="32"/>
        </w:rPr>
        <w:t>万元，其他资金</w:t>
      </w:r>
      <w:r>
        <w:rPr>
          <w:rFonts w:hint="eastAsia" w:ascii="仿宋" w:hAnsi="仿宋" w:eastAsia="仿宋" w:cs="仿宋"/>
          <w:sz w:val="32"/>
          <w:szCs w:val="32"/>
        </w:rPr>
        <w:t>0</w:t>
      </w:r>
      <w:r>
        <w:rPr>
          <w:rFonts w:ascii="Times New Roman Regular" w:hAnsi="Times New Roman Regular" w:eastAsia="仿宋" w:cs="Times New Roman Regular"/>
          <w:sz w:val="32"/>
          <w:szCs w:val="32"/>
        </w:rPr>
        <w:t>万元。</w:t>
      </w:r>
    </w:p>
    <w:p>
      <w:pPr>
        <w:topLinePunct/>
        <w:spacing w:line="520" w:lineRule="exact"/>
        <w:ind w:firstLine="640"/>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本</w:t>
      </w:r>
      <w:r>
        <w:rPr>
          <w:rFonts w:hint="eastAsia" w:ascii="Times New Roman Regular" w:hAnsi="Times New Roman Regular" w:eastAsia="仿宋" w:cs="Times New Roman Regular"/>
          <w:sz w:val="32"/>
          <w:szCs w:val="32"/>
        </w:rPr>
        <w:t>项目</w:t>
      </w:r>
      <w:r>
        <w:rPr>
          <w:rFonts w:ascii="Times New Roman Regular" w:hAnsi="Times New Roman Regular" w:eastAsia="仿宋" w:cs="Times New Roman Regular"/>
          <w:sz w:val="32"/>
          <w:szCs w:val="32"/>
        </w:rPr>
        <w:t>资金全年执行数</w:t>
      </w:r>
      <w:r>
        <w:rPr>
          <w:rFonts w:hint="eastAsia" w:ascii="仿宋" w:hAnsi="仿宋" w:eastAsia="仿宋" w:cs="仿宋"/>
          <w:sz w:val="32"/>
          <w:szCs w:val="32"/>
        </w:rPr>
        <w:t>41.4</w:t>
      </w:r>
      <w:r>
        <w:rPr>
          <w:rFonts w:ascii="Times New Roman Regular" w:hAnsi="Times New Roman Regular" w:eastAsia="仿宋" w:cs="Times New Roman Regular"/>
          <w:sz w:val="32"/>
          <w:szCs w:val="32"/>
        </w:rPr>
        <w:t>万元</w:t>
      </w:r>
      <w:r>
        <w:rPr>
          <w:rFonts w:hint="eastAsia" w:ascii="Times New Roman Regular" w:hAnsi="Times New Roman Regular" w:eastAsia="仿宋" w:cs="Times New Roman Regular"/>
          <w:sz w:val="32"/>
          <w:szCs w:val="32"/>
        </w:rPr>
        <w:t>、执行率为</w:t>
      </w:r>
      <w:r>
        <w:rPr>
          <w:rFonts w:hint="eastAsia" w:ascii="仿宋" w:hAnsi="仿宋" w:eastAsia="仿宋" w:cs="仿宋"/>
          <w:sz w:val="32"/>
          <w:szCs w:val="32"/>
        </w:rPr>
        <w:t>95.83</w:t>
      </w:r>
      <w:r>
        <w:rPr>
          <w:rFonts w:ascii="仿宋" w:hAnsi="仿宋" w:eastAsia="仿宋" w:cs="仿宋"/>
          <w:sz w:val="32"/>
        </w:rPr>
        <w:t>%</w:t>
      </w:r>
      <w:r>
        <w:rPr>
          <w:rFonts w:ascii="Times New Roman Regular" w:hAnsi="Times New Roman Regular" w:eastAsia="仿宋" w:cs="Times New Roman Regular"/>
          <w:sz w:val="32"/>
          <w:szCs w:val="32"/>
        </w:rPr>
        <w:t>，其中：财政拨款</w:t>
      </w:r>
      <w:r>
        <w:rPr>
          <w:rFonts w:hint="eastAsia" w:ascii="仿宋" w:hAnsi="仿宋" w:eastAsia="仿宋" w:cs="仿宋"/>
          <w:sz w:val="32"/>
          <w:szCs w:val="32"/>
        </w:rPr>
        <w:t>41.4</w:t>
      </w:r>
      <w:r>
        <w:rPr>
          <w:rFonts w:ascii="Times New Roman Regular" w:hAnsi="Times New Roman Regular" w:eastAsia="仿宋" w:cs="Times New Roman Regular"/>
          <w:sz w:val="32"/>
          <w:szCs w:val="32"/>
        </w:rPr>
        <w:t>万元，其他资金</w:t>
      </w:r>
      <w:r>
        <w:rPr>
          <w:rFonts w:hint="eastAsia" w:ascii="仿宋" w:hAnsi="仿宋" w:eastAsia="仿宋" w:cs="仿宋"/>
          <w:sz w:val="32"/>
          <w:szCs w:val="32"/>
        </w:rPr>
        <w:t>0</w:t>
      </w:r>
      <w:r>
        <w:rPr>
          <w:rFonts w:ascii="Times New Roman Regular" w:hAnsi="Times New Roman Regular" w:eastAsia="仿宋" w:cs="Times New Roman Regular"/>
          <w:sz w:val="32"/>
          <w:szCs w:val="32"/>
        </w:rPr>
        <w:t>万元。</w:t>
      </w:r>
    </w:p>
    <w:p>
      <w:pPr>
        <w:topLinePunct/>
        <w:spacing w:line="520" w:lineRule="exact"/>
        <w:ind w:firstLine="640"/>
        <w:outlineLvl w:val="1"/>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（三）项目资金产出情况。</w:t>
      </w:r>
    </w:p>
    <w:p>
      <w:pPr>
        <w:topLinePunct/>
        <w:spacing w:line="520" w:lineRule="exact"/>
        <w:ind w:firstLine="640"/>
        <w:rPr>
          <w:rFonts w:ascii="Times New Roman Regular" w:hAnsi="Times New Roman Regular" w:eastAsia="仿宋" w:cs="Times New Roman Regular"/>
          <w:sz w:val="32"/>
          <w:szCs w:val="32"/>
        </w:rPr>
      </w:pPr>
      <w:r>
        <w:rPr>
          <w:rFonts w:hint="eastAsia" w:ascii="仿宋" w:hAnsi="仿宋" w:eastAsia="仿宋" w:cs="仿宋"/>
          <w:sz w:val="32"/>
          <w:szCs w:val="32"/>
        </w:rPr>
        <w:t>严格按照财务管理及相关制度，规范各项经费的开支。资金使用规范，符合国家财经法规和财务管理以及有关专项资金管理办法的规定。资金的拨付有完整的审批程序和手续。通关项目资金使用，推出一批便民举措、打通一批堵点、解决一批难点，进一步提升政务服务能力和水平，提高企业和群众办事便利度和满意度，进一步优化营商环境，为推进赤峰市高质量发展作出更大贡献。</w:t>
      </w:r>
    </w:p>
    <w:p>
      <w:pPr>
        <w:topLinePunct/>
        <w:spacing w:line="520" w:lineRule="exact"/>
        <w:ind w:firstLine="640"/>
        <w:outlineLvl w:val="1"/>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（四）项目资金管理情况。</w:t>
      </w:r>
    </w:p>
    <w:p>
      <w:pPr>
        <w:topLinePunct/>
        <w:spacing w:line="520" w:lineRule="exact"/>
        <w:ind w:firstLine="640"/>
        <w:rPr>
          <w:rFonts w:hint="eastAsia" w:ascii="Times New Roman Regular" w:hAnsi="Times New Roman Regular" w:eastAsia="仿宋" w:cs="Times New Roman Regular"/>
          <w:sz w:val="32"/>
          <w:szCs w:val="32"/>
          <w:lang w:eastAsia="zh-CN"/>
        </w:rPr>
      </w:pPr>
      <w:r>
        <w:rPr>
          <w:rFonts w:hint="eastAsia" w:ascii="仿宋" w:hAnsi="仿宋" w:eastAsia="仿宋" w:cs="仿宋"/>
          <w:sz w:val="32"/>
          <w:szCs w:val="32"/>
        </w:rPr>
        <w:t>一是加强组织领导，强化政策落实。高度重视资金使用情况以及资金监管工作，年度资金以当年目标要求管理使用。二是加强资金管理，规范会计核算。项目实施单位资金管理制度健全，项目资金使用严格按照相关制度执行，无支出依据不合规、虚列项目支出的情况；无截留、挤占、挪用资金情况。三是加强监督指导，确保实效落地。相关业务科室不定期深入项目现场开展督查指导，工作进度缓慢加强监督。</w:t>
      </w:r>
    </w:p>
    <w:p>
      <w:pPr>
        <w:pStyle w:val="5"/>
        <w:bidi w:val="0"/>
      </w:pPr>
      <w:r>
        <w:rPr>
          <w:rFonts w:hint="eastAsia"/>
        </w:rPr>
        <w:t>三、项目绩效情况</w:t>
      </w:r>
    </w:p>
    <w:p>
      <w:pPr>
        <w:topLinePunct/>
        <w:spacing w:line="520" w:lineRule="exact"/>
        <w:ind w:firstLine="640"/>
        <w:rPr>
          <w:rFonts w:ascii="仿宋" w:hAnsi="仿宋" w:eastAsia="仿宋" w:cs="仿宋"/>
          <w:sz w:val="32"/>
          <w:szCs w:val="32"/>
        </w:rPr>
      </w:pPr>
      <w:r>
        <w:rPr>
          <w:rFonts w:ascii="仿宋" w:hAnsi="仿宋" w:eastAsia="仿宋" w:cs="仿宋"/>
          <w:sz w:val="32"/>
        </w:rPr>
        <w:t>(一)产出指标</w:t>
      </w:r>
    </w:p>
    <w:p>
      <w:pPr>
        <w:topLinePunct/>
        <w:spacing w:line="520" w:lineRule="exact"/>
        <w:ind w:firstLine="640"/>
        <w:rPr>
          <w:rFonts w:ascii="仿宋" w:hAnsi="仿宋" w:eastAsia="仿宋" w:cs="仿宋"/>
          <w:sz w:val="32"/>
          <w:szCs w:val="32"/>
        </w:rPr>
      </w:pPr>
      <w:r>
        <w:rPr>
          <w:rFonts w:ascii="仿宋" w:hAnsi="仿宋" w:eastAsia="仿宋" w:cs="仿宋"/>
          <w:sz w:val="32"/>
        </w:rPr>
        <w:t>1.数量指标</w:t>
      </w:r>
    </w:p>
    <w:p>
      <w:pPr>
        <w:topLinePunct/>
        <w:spacing w:line="520" w:lineRule="exact"/>
        <w:ind w:firstLine="640"/>
        <w:rPr>
          <w:rFonts w:ascii="Times New Roman Regular" w:hAnsi="Times New Roman Regular" w:eastAsia="仿宋" w:cs="Times New Roman Regular"/>
          <w:sz w:val="32"/>
          <w:szCs w:val="32"/>
        </w:rPr>
      </w:pPr>
      <w:r>
        <w:rPr>
          <w:rFonts w:ascii="仿宋" w:hAnsi="仿宋" w:eastAsia="仿宋" w:cs="仿宋"/>
          <w:sz w:val="32"/>
        </w:rPr>
        <w:t>（1）派驻律师咨询人数(人)，</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8</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8</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7.5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7.5</w:t>
      </w:r>
      <w:r>
        <w:rPr>
          <w:rFonts w:ascii="Times New Roman Regular" w:hAnsi="Times New Roman Regular" w:eastAsia="仿宋" w:cs="Times New Roman Regular"/>
          <w:sz w:val="32"/>
          <w:szCs w:val="32"/>
        </w:rPr>
        <w:t>。</w:t>
      </w:r>
    </w:p>
    <w:p>
      <w:pPr>
        <w:topLinePunct/>
        <w:spacing w:line="520" w:lineRule="exact"/>
        <w:ind w:firstLine="640"/>
        <w:rPr>
          <w:rFonts w:ascii="Times New Roman Regular" w:hAnsi="Times New Roman Regular" w:eastAsia="仿宋" w:cs="Times New Roman Regular"/>
          <w:sz w:val="32"/>
          <w:szCs w:val="32"/>
        </w:rPr>
      </w:pPr>
      <w:r>
        <w:rPr>
          <w:rFonts w:ascii="仿宋" w:hAnsi="仿宋" w:eastAsia="仿宋" w:cs="仿宋"/>
          <w:sz w:val="32"/>
        </w:rPr>
        <w:t>（2）梳理事项清单数(张)，</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8</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8</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7.5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7.5</w:t>
      </w:r>
      <w:r>
        <w:rPr>
          <w:rFonts w:ascii="Times New Roman Regular" w:hAnsi="Times New Roman Regular" w:eastAsia="仿宋" w:cs="Times New Roman Regular"/>
          <w:sz w:val="32"/>
          <w:szCs w:val="32"/>
        </w:rPr>
        <w:t>。</w:t>
      </w:r>
    </w:p>
    <w:p>
      <w:pPr>
        <w:topLinePunct/>
        <w:spacing w:line="520" w:lineRule="exact"/>
        <w:ind w:firstLine="640"/>
        <w:rPr>
          <w:rFonts w:ascii="仿宋" w:hAnsi="仿宋" w:eastAsia="仿宋" w:cs="仿宋"/>
          <w:sz w:val="32"/>
          <w:szCs w:val="32"/>
        </w:rPr>
      </w:pPr>
      <w:r>
        <w:rPr>
          <w:rFonts w:ascii="仿宋" w:hAnsi="仿宋" w:eastAsia="仿宋" w:cs="仿宋"/>
          <w:sz w:val="32"/>
        </w:rPr>
        <w:t>2.质量指标</w:t>
      </w:r>
    </w:p>
    <w:p>
      <w:pPr>
        <w:topLinePunct/>
        <w:spacing w:line="520" w:lineRule="exact"/>
        <w:ind w:firstLine="640"/>
        <w:rPr>
          <w:rFonts w:ascii="Times New Roman Regular" w:hAnsi="Times New Roman Regular" w:eastAsia="仿宋" w:cs="Times New Roman Regular"/>
          <w:sz w:val="32"/>
          <w:szCs w:val="32"/>
        </w:rPr>
      </w:pPr>
      <w:r>
        <w:rPr>
          <w:rFonts w:ascii="仿宋" w:hAnsi="仿宋" w:eastAsia="仿宋" w:cs="仿宋"/>
          <w:sz w:val="32"/>
        </w:rPr>
        <w:t>（1）聘用律师资质，</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律师资格证</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有律师资格证</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7.5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7.5</w:t>
      </w:r>
      <w:r>
        <w:rPr>
          <w:rFonts w:ascii="Times New Roman Regular" w:hAnsi="Times New Roman Regular" w:eastAsia="仿宋" w:cs="Times New Roman Regular"/>
          <w:sz w:val="32"/>
          <w:szCs w:val="32"/>
        </w:rPr>
        <w:t>。</w:t>
      </w:r>
    </w:p>
    <w:p>
      <w:pPr>
        <w:topLinePunct/>
        <w:spacing w:line="520" w:lineRule="exact"/>
        <w:ind w:firstLine="640"/>
        <w:rPr>
          <w:rFonts w:ascii="Times New Roman Regular" w:hAnsi="Times New Roman Regular" w:eastAsia="仿宋" w:cs="Times New Roman Regular"/>
          <w:sz w:val="32"/>
          <w:szCs w:val="32"/>
        </w:rPr>
      </w:pPr>
      <w:r>
        <w:rPr>
          <w:rFonts w:ascii="仿宋" w:hAnsi="仿宋" w:eastAsia="仿宋" w:cs="仿宋"/>
          <w:sz w:val="32"/>
        </w:rPr>
        <w:t>（2）提出建议专业程度(%)，</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100</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98</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7.5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7.35</w:t>
      </w:r>
      <w:r>
        <w:rPr>
          <w:rFonts w:ascii="Times New Roman Regular" w:hAnsi="Times New Roman Regular" w:eastAsia="仿宋" w:cs="Times New Roman Regular"/>
          <w:sz w:val="32"/>
          <w:szCs w:val="32"/>
        </w:rPr>
        <w:t>。</w:t>
      </w:r>
    </w:p>
    <w:p>
      <w:pPr>
        <w:topLinePunct/>
        <w:spacing w:line="520" w:lineRule="exact"/>
        <w:ind w:firstLine="640"/>
        <w:rPr>
          <w:rFonts w:ascii="仿宋" w:hAnsi="仿宋" w:eastAsia="仿宋" w:cs="仿宋"/>
          <w:sz w:val="32"/>
          <w:szCs w:val="32"/>
        </w:rPr>
      </w:pPr>
      <w:r>
        <w:rPr>
          <w:rFonts w:ascii="仿宋" w:hAnsi="仿宋" w:eastAsia="仿宋" w:cs="仿宋"/>
          <w:sz w:val="32"/>
        </w:rPr>
        <w:t>3.时效指标</w:t>
      </w:r>
    </w:p>
    <w:p>
      <w:pPr>
        <w:topLinePunct/>
        <w:spacing w:line="520" w:lineRule="exact"/>
        <w:ind w:firstLine="640"/>
        <w:rPr>
          <w:rFonts w:ascii="Times New Roman Regular" w:hAnsi="Times New Roman Regular" w:eastAsia="仿宋" w:cs="Times New Roman Regular"/>
          <w:sz w:val="32"/>
          <w:szCs w:val="32"/>
        </w:rPr>
      </w:pPr>
      <w:r>
        <w:rPr>
          <w:rFonts w:ascii="仿宋" w:hAnsi="仿宋" w:eastAsia="仿宋" w:cs="仿宋"/>
          <w:sz w:val="32"/>
        </w:rPr>
        <w:t>（1）服务期限(年)，</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1</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1</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5</w:t>
      </w:r>
      <w:r>
        <w:rPr>
          <w:rFonts w:ascii="Times New Roman Regular" w:hAnsi="Times New Roman Regular" w:eastAsia="仿宋" w:cs="Times New Roman Regular"/>
          <w:sz w:val="32"/>
          <w:szCs w:val="32"/>
        </w:rPr>
        <w:t>。</w:t>
      </w:r>
    </w:p>
    <w:p>
      <w:pPr>
        <w:topLinePunct/>
        <w:spacing w:line="520" w:lineRule="exact"/>
        <w:ind w:firstLine="640"/>
        <w:rPr>
          <w:rFonts w:ascii="Times New Roman Regular" w:hAnsi="Times New Roman Regular" w:eastAsia="仿宋" w:cs="Times New Roman Regular"/>
          <w:sz w:val="32"/>
          <w:szCs w:val="32"/>
        </w:rPr>
      </w:pPr>
      <w:r>
        <w:rPr>
          <w:rFonts w:ascii="仿宋" w:hAnsi="仿宋" w:eastAsia="仿宋" w:cs="仿宋"/>
          <w:sz w:val="32"/>
        </w:rPr>
        <w:t>（2）清单梳理及时率(%)，</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95</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95</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5</w:t>
      </w:r>
      <w:r>
        <w:rPr>
          <w:rFonts w:ascii="Times New Roman Regular" w:hAnsi="Times New Roman Regular" w:eastAsia="仿宋" w:cs="Times New Roman Regular"/>
          <w:sz w:val="32"/>
          <w:szCs w:val="32"/>
        </w:rPr>
        <w:t>。</w:t>
      </w:r>
    </w:p>
    <w:p>
      <w:pPr>
        <w:topLinePunct/>
        <w:spacing w:line="520" w:lineRule="exact"/>
        <w:ind w:firstLine="640"/>
        <w:rPr>
          <w:rFonts w:ascii="仿宋" w:hAnsi="仿宋" w:eastAsia="仿宋" w:cs="仿宋"/>
          <w:sz w:val="32"/>
          <w:szCs w:val="32"/>
        </w:rPr>
      </w:pPr>
      <w:r>
        <w:rPr>
          <w:rFonts w:ascii="仿宋" w:hAnsi="仿宋" w:eastAsia="仿宋" w:cs="仿宋"/>
          <w:sz w:val="32"/>
        </w:rPr>
        <w:t>4.成本指标</w:t>
      </w:r>
    </w:p>
    <w:p>
      <w:pPr>
        <w:topLinePunct/>
        <w:spacing w:line="520" w:lineRule="exact"/>
        <w:ind w:firstLine="640"/>
        <w:rPr>
          <w:rFonts w:ascii="Times New Roman Regular" w:hAnsi="Times New Roman Regular" w:eastAsia="仿宋" w:cs="Times New Roman Regular"/>
          <w:sz w:val="32"/>
          <w:szCs w:val="32"/>
        </w:rPr>
      </w:pPr>
      <w:r>
        <w:rPr>
          <w:rFonts w:ascii="仿宋" w:hAnsi="仿宋" w:eastAsia="仿宋" w:cs="仿宋"/>
          <w:sz w:val="32"/>
        </w:rPr>
        <w:t>（1）咨询服务成本(万)，</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43.2</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41.4</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5</w:t>
      </w:r>
      <w:r>
        <w:rPr>
          <w:rFonts w:ascii="Times New Roman Regular" w:hAnsi="Times New Roman Regular" w:eastAsia="仿宋" w:cs="Times New Roman Regular"/>
          <w:sz w:val="32"/>
          <w:szCs w:val="32"/>
        </w:rPr>
        <w:t>。</w:t>
      </w:r>
    </w:p>
    <w:p>
      <w:pPr>
        <w:topLinePunct/>
        <w:spacing w:line="520" w:lineRule="exact"/>
        <w:ind w:firstLine="640"/>
        <w:rPr>
          <w:rFonts w:ascii="Times New Roman Regular" w:hAnsi="Times New Roman Regular" w:eastAsia="仿宋" w:cs="Times New Roman Regular"/>
          <w:sz w:val="32"/>
          <w:szCs w:val="32"/>
        </w:rPr>
      </w:pPr>
      <w:r>
        <w:rPr>
          <w:rFonts w:ascii="仿宋" w:hAnsi="仿宋" w:eastAsia="仿宋" w:cs="仿宋"/>
          <w:sz w:val="32"/>
        </w:rPr>
        <w:t>（2）聘用律师标准(万/人)，</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5.4</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5.4</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3</w:t>
      </w:r>
      <w:r>
        <w:rPr>
          <w:rFonts w:ascii="Times New Roman Regular" w:hAnsi="Times New Roman Regular" w:eastAsia="仿宋" w:cs="Times New Roman Regular"/>
          <w:sz w:val="32"/>
          <w:szCs w:val="32"/>
        </w:rPr>
        <w:t>。</w:t>
      </w:r>
    </w:p>
    <w:p>
      <w:pPr>
        <w:topLinePunct/>
        <w:spacing w:line="520" w:lineRule="exact"/>
        <w:ind w:firstLine="640"/>
        <w:rPr>
          <w:rFonts w:ascii="仿宋" w:hAnsi="仿宋" w:eastAsia="仿宋" w:cs="仿宋"/>
          <w:sz w:val="32"/>
          <w:szCs w:val="32"/>
        </w:rPr>
      </w:pPr>
      <w:r>
        <w:rPr>
          <w:rFonts w:ascii="仿宋" w:hAnsi="仿宋" w:eastAsia="仿宋" w:cs="仿宋"/>
          <w:sz w:val="32"/>
        </w:rPr>
        <w:t>(二)效益指标</w:t>
      </w:r>
    </w:p>
    <w:p>
      <w:pPr>
        <w:topLinePunct/>
        <w:spacing w:line="520" w:lineRule="exact"/>
        <w:ind w:firstLine="640"/>
        <w:rPr>
          <w:rFonts w:ascii="仿宋" w:hAnsi="仿宋" w:eastAsia="仿宋" w:cs="仿宋"/>
          <w:sz w:val="32"/>
          <w:szCs w:val="32"/>
        </w:rPr>
      </w:pPr>
      <w:r>
        <w:rPr>
          <w:rFonts w:ascii="仿宋" w:hAnsi="仿宋" w:eastAsia="仿宋" w:cs="仿宋"/>
          <w:sz w:val="32"/>
        </w:rPr>
        <w:t>5.社会效益指标</w:t>
      </w:r>
    </w:p>
    <w:p>
      <w:pPr>
        <w:topLinePunct/>
        <w:spacing w:line="520" w:lineRule="exact"/>
        <w:ind w:firstLine="640"/>
        <w:rPr>
          <w:rFonts w:ascii="Times New Roman Regular" w:hAnsi="Times New Roman Regular" w:eastAsia="仿宋" w:cs="Times New Roman Regular"/>
          <w:sz w:val="32"/>
          <w:szCs w:val="32"/>
        </w:rPr>
      </w:pPr>
      <w:r>
        <w:rPr>
          <w:rFonts w:ascii="仿宋" w:hAnsi="仿宋" w:eastAsia="仿宋" w:cs="仿宋"/>
          <w:sz w:val="32"/>
        </w:rPr>
        <w:t>（1）优化办事服务流程，</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优化</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优化</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15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12</w:t>
      </w:r>
      <w:r>
        <w:rPr>
          <w:rFonts w:ascii="Times New Roman Regular" w:hAnsi="Times New Roman Regular" w:eastAsia="仿宋" w:cs="Times New Roman Regular"/>
          <w:sz w:val="32"/>
          <w:szCs w:val="32"/>
        </w:rPr>
        <w:t>。</w:t>
      </w:r>
    </w:p>
    <w:p>
      <w:pPr>
        <w:topLinePunct/>
        <w:spacing w:line="520" w:lineRule="exact"/>
        <w:ind w:firstLine="640"/>
        <w:rPr>
          <w:rFonts w:ascii="仿宋" w:hAnsi="仿宋" w:eastAsia="仿宋" w:cs="仿宋"/>
          <w:sz w:val="32"/>
          <w:szCs w:val="32"/>
        </w:rPr>
      </w:pPr>
      <w:r>
        <w:rPr>
          <w:rFonts w:ascii="仿宋" w:hAnsi="仿宋" w:eastAsia="仿宋" w:cs="仿宋"/>
          <w:sz w:val="32"/>
        </w:rPr>
        <w:t>6.可持续影响指标</w:t>
      </w:r>
    </w:p>
    <w:p>
      <w:pPr>
        <w:topLinePunct/>
        <w:spacing w:line="520" w:lineRule="exact"/>
        <w:ind w:firstLine="640"/>
        <w:rPr>
          <w:rFonts w:ascii="Times New Roman Regular" w:hAnsi="Times New Roman Regular" w:eastAsia="仿宋" w:cs="Times New Roman Regular"/>
          <w:sz w:val="32"/>
          <w:szCs w:val="32"/>
        </w:rPr>
      </w:pPr>
      <w:r>
        <w:rPr>
          <w:rFonts w:ascii="仿宋" w:hAnsi="仿宋" w:eastAsia="仿宋" w:cs="仿宋"/>
          <w:sz w:val="32"/>
        </w:rPr>
        <w:t>（1）推进清单动态管理，</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推进</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推进</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15</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12</w:t>
      </w:r>
      <w:r>
        <w:rPr>
          <w:rFonts w:ascii="Times New Roman Regular" w:hAnsi="Times New Roman Regular" w:eastAsia="仿宋" w:cs="Times New Roman Regular"/>
          <w:sz w:val="32"/>
          <w:szCs w:val="32"/>
        </w:rPr>
        <w:t>。</w:t>
      </w:r>
    </w:p>
    <w:p>
      <w:pPr>
        <w:topLinePunct/>
        <w:spacing w:line="520" w:lineRule="exact"/>
        <w:ind w:firstLine="640"/>
        <w:rPr>
          <w:rFonts w:ascii="仿宋" w:hAnsi="仿宋" w:eastAsia="仿宋" w:cs="仿宋"/>
          <w:sz w:val="32"/>
          <w:szCs w:val="32"/>
        </w:rPr>
      </w:pPr>
      <w:r>
        <w:rPr>
          <w:rFonts w:ascii="仿宋" w:hAnsi="仿宋" w:eastAsia="仿宋" w:cs="仿宋"/>
          <w:sz w:val="32"/>
        </w:rPr>
        <w:t>(三)满意度指标</w:t>
      </w:r>
    </w:p>
    <w:p>
      <w:pPr>
        <w:topLinePunct/>
        <w:spacing w:line="520" w:lineRule="exact"/>
        <w:ind w:firstLine="640"/>
        <w:rPr>
          <w:rFonts w:ascii="仿宋" w:hAnsi="仿宋" w:eastAsia="仿宋" w:cs="仿宋"/>
          <w:sz w:val="32"/>
          <w:szCs w:val="32"/>
        </w:rPr>
      </w:pPr>
      <w:r>
        <w:rPr>
          <w:rFonts w:ascii="仿宋" w:hAnsi="仿宋" w:eastAsia="仿宋" w:cs="仿宋"/>
          <w:sz w:val="32"/>
        </w:rPr>
        <w:t>7.服务对象满意度指标</w:t>
      </w:r>
    </w:p>
    <w:p>
      <w:pPr>
        <w:topLinePunct/>
        <w:spacing w:line="520" w:lineRule="exact"/>
        <w:ind w:firstLine="640"/>
        <w:rPr>
          <w:rFonts w:ascii="Times New Roman Regular" w:hAnsi="Times New Roman Regular" w:eastAsia="仿宋" w:cs="Times New Roman Regular"/>
          <w:sz w:val="32"/>
          <w:szCs w:val="32"/>
        </w:rPr>
      </w:pPr>
      <w:r>
        <w:rPr>
          <w:rFonts w:ascii="仿宋" w:hAnsi="仿宋" w:eastAsia="仿宋" w:cs="仿宋"/>
          <w:sz w:val="32"/>
        </w:rPr>
        <w:t>（1）部门满意度(%)，</w:t>
      </w:r>
      <w:r>
        <w:rPr>
          <w:rFonts w:ascii="Times New Roman Regular" w:hAnsi="Times New Roman Regular" w:eastAsia="仿宋" w:cs="Times New Roman Regular"/>
          <w:sz w:val="32"/>
          <w:szCs w:val="32"/>
        </w:rPr>
        <w:t>目标值</w:t>
      </w:r>
      <w:r>
        <w:rPr>
          <w:rFonts w:hint="eastAsia" w:ascii="仿宋" w:hAnsi="仿宋" w:eastAsia="仿宋" w:cs="仿宋"/>
          <w:sz w:val="32"/>
          <w:szCs w:val="32"/>
        </w:rPr>
        <w:t>95</w:t>
      </w:r>
      <w:r>
        <w:rPr>
          <w:rFonts w:ascii="Times New Roman Regular" w:hAnsi="Times New Roman Regular" w:eastAsia="仿宋" w:cs="Times New Roman Regular"/>
          <w:sz w:val="32"/>
          <w:szCs w:val="32"/>
        </w:rPr>
        <w:t>，完成值</w:t>
      </w:r>
      <w:r>
        <w:rPr>
          <w:rFonts w:hint="eastAsia" w:ascii="仿宋" w:hAnsi="仿宋" w:eastAsia="仿宋" w:cs="仿宋"/>
          <w:sz w:val="32"/>
          <w:szCs w:val="32"/>
        </w:rPr>
        <w:t>90</w:t>
      </w:r>
      <w:r>
        <w:rPr>
          <w:rFonts w:ascii="Times New Roman Regular" w:hAnsi="Times New Roman Regular" w:eastAsia="仿宋" w:cs="Times New Roman Regular"/>
          <w:sz w:val="32"/>
          <w:szCs w:val="32"/>
        </w:rPr>
        <w:t>，分值</w:t>
      </w:r>
      <w:r>
        <w:rPr>
          <w:rFonts w:hint="eastAsia" w:ascii="仿宋" w:hAnsi="仿宋" w:eastAsia="仿宋" w:cs="仿宋"/>
          <w:sz w:val="32"/>
          <w:szCs w:val="32"/>
        </w:rPr>
        <w:t>10</w:t>
      </w:r>
      <w:r>
        <w:rPr>
          <w:rFonts w:ascii="Times New Roman Regular" w:hAnsi="Times New Roman Regular" w:eastAsia="仿宋" w:cs="Times New Roman Regular"/>
          <w:sz w:val="32"/>
          <w:szCs w:val="32"/>
        </w:rPr>
        <w:t>，得分</w:t>
      </w:r>
      <w:r>
        <w:rPr>
          <w:rFonts w:hint="eastAsia" w:ascii="仿宋" w:hAnsi="仿宋" w:eastAsia="仿宋" w:cs="仿宋"/>
          <w:sz w:val="32"/>
          <w:szCs w:val="32"/>
        </w:rPr>
        <w:t>9.47</w:t>
      </w:r>
      <w:r>
        <w:rPr>
          <w:rFonts w:ascii="Times New Roman Regular" w:hAnsi="Times New Roman Regular" w:eastAsia="仿宋" w:cs="Times New Roman Regular"/>
          <w:sz w:val="32"/>
          <w:szCs w:val="32"/>
        </w:rPr>
        <w:t>。</w:t>
      </w:r>
    </w:p>
    <w:p>
      <w:pPr>
        <w:topLinePunct/>
        <w:spacing w:line="520" w:lineRule="exact"/>
        <w:ind w:firstLine="640"/>
        <w:rPr>
          <w:rFonts w:ascii="仿宋" w:hAnsi="仿宋" w:eastAsia="仿宋" w:cs="仿宋"/>
          <w:sz w:val="32"/>
          <w:szCs w:val="32"/>
        </w:rPr>
      </w:pPr>
      <w:r>
        <w:rPr>
          <w:rFonts w:hint="eastAsia" w:ascii="仿宋" w:hAnsi="仿宋" w:eastAsia="仿宋" w:cs="仿宋"/>
          <w:sz w:val="32"/>
          <w:szCs w:val="32"/>
        </w:rPr>
        <w:t>(四)自评得分情况</w:t>
      </w:r>
    </w:p>
    <w:p>
      <w:pPr>
        <w:topLinePunct/>
        <w:spacing w:line="520" w:lineRule="exact"/>
        <w:ind w:firstLine="640"/>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本项目绩效自评得分</w:t>
      </w:r>
      <w:r>
        <w:rPr>
          <w:rFonts w:hint="eastAsia" w:ascii="仿宋" w:hAnsi="仿宋" w:eastAsia="仿宋" w:cs="仿宋"/>
          <w:sz w:val="32"/>
          <w:szCs w:val="32"/>
        </w:rPr>
        <w:t>90.9</w:t>
      </w:r>
      <w:r>
        <w:rPr>
          <w:rFonts w:ascii="Times New Roman Regular" w:hAnsi="Times New Roman Regular" w:eastAsia="仿宋" w:cs="Times New Roman Regular"/>
          <w:sz w:val="32"/>
          <w:szCs w:val="32"/>
        </w:rPr>
        <w:t>分，等级为</w:t>
      </w:r>
      <w:r>
        <w:rPr>
          <w:rFonts w:hint="eastAsia" w:ascii="仿宋" w:hAnsi="仿宋" w:eastAsia="仿宋" w:cs="仿宋"/>
          <w:sz w:val="32"/>
          <w:szCs w:val="32"/>
        </w:rPr>
        <w:t>优</w:t>
      </w:r>
      <w:r>
        <w:rPr>
          <w:rFonts w:ascii="Times New Roman Regular" w:hAnsi="Times New Roman Regular" w:eastAsia="仿宋" w:cs="Times New Roman Regular"/>
          <w:sz w:val="32"/>
          <w:szCs w:val="32"/>
        </w:rPr>
        <w:t>。</w:t>
      </w:r>
    </w:p>
    <w:p>
      <w:pPr>
        <w:pStyle w:val="5"/>
        <w:bidi w:val="0"/>
      </w:pPr>
      <w:r>
        <w:t>四、存在问题</w:t>
      </w:r>
    </w:p>
    <w:p>
      <w:pPr>
        <w:topLinePunct/>
        <w:spacing w:line="520" w:lineRule="exact"/>
        <w:ind w:firstLine="640"/>
        <w:rPr>
          <w:rFonts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rPr>
        <w:t>暂未发现问题</w:t>
      </w:r>
    </w:p>
    <w:p>
      <w:pPr>
        <w:pStyle w:val="5"/>
        <w:bidi w:val="0"/>
      </w:pPr>
      <w:r>
        <w:t>五、其他需要说明的问题</w:t>
      </w:r>
    </w:p>
    <w:p>
      <w:pPr>
        <w:topLinePunct/>
        <w:spacing w:line="520" w:lineRule="exact"/>
        <w:ind w:firstLine="640"/>
        <w:outlineLvl w:val="1"/>
        <w:rPr>
          <w:rFonts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（一）后续工作计划。</w:t>
      </w:r>
    </w:p>
    <w:p>
      <w:pPr>
        <w:topLinePunct/>
        <w:spacing w:line="520" w:lineRule="exact"/>
        <w:ind w:firstLine="640"/>
        <w:rPr>
          <w:rFonts w:ascii="Times New Roman Regular" w:hAnsi="Times New Roman Regular" w:eastAsia="仿宋" w:cs="Times New Roman Regular"/>
          <w:sz w:val="32"/>
          <w:szCs w:val="32"/>
        </w:rPr>
      </w:pPr>
      <w:r>
        <w:rPr>
          <w:rFonts w:hint="eastAsia" w:ascii="仿宋" w:hAnsi="仿宋" w:eastAsia="仿宋" w:cs="仿宋"/>
          <w:sz w:val="32"/>
          <w:szCs w:val="32"/>
        </w:rPr>
        <w:t>将绩效评价作为项目的重要组成部分进行申报、监控、自评等系列程序，通过自评得分对项目决策提供科学有效的信息，切实提升决策能力。加强项目管理，强化支出责任，减少不合理支出和无效支出，提高财政资金使用效益，运用科学合理的评价方法对年初申报部门预算项目资金时明确的绩效目标完成情况进行客观、公正的评价。结合绩效自评结果，对被评价项目的绩效情况、完成程度和存在问题等综合分析，作为以后年度资金申请和分配的重要依据。</w:t>
      </w:r>
    </w:p>
    <w:p>
      <w:pPr>
        <w:topLinePunct/>
        <w:spacing w:line="520" w:lineRule="exact"/>
        <w:ind w:firstLine="640"/>
        <w:outlineLvl w:val="1"/>
        <w:rPr>
          <w:rFonts w:hint="eastAsia" w:ascii="Times New Roman Regular" w:hAnsi="Times New Roman Regular" w:eastAsia="仿宋" w:cs="Times New Roman Regular"/>
          <w:sz w:val="32"/>
          <w:szCs w:val="32"/>
        </w:rPr>
      </w:pPr>
      <w:r>
        <w:rPr>
          <w:rFonts w:ascii="Times New Roman Regular" w:hAnsi="Times New Roman Regular" w:eastAsia="仿宋" w:cs="Times New Roman Regular"/>
          <w:sz w:val="32"/>
          <w:szCs w:val="32"/>
        </w:rPr>
        <w:t>（二）措施及办法。</w:t>
      </w:r>
    </w:p>
    <w:p>
      <w:pPr>
        <w:widowControl/>
        <w:spacing w:before="240" w:after="240"/>
        <w:jc w:val="left"/>
      </w:pPr>
      <w:r>
        <w:rPr>
          <w:rFonts w:ascii="Calibri" w:hAnsi="Calibri" w:eastAsia="Calibri" w:cs="Calibri"/>
          <w:b/>
          <w:color w:val="0E00FE"/>
          <w:kern w:val="0"/>
          <w:sz w:val="27"/>
          <w:szCs w:val="27"/>
        </w:rPr>
        <w:t> </w:t>
      </w:r>
      <w:r>
        <w:rPr>
          <w:rFonts w:hint="eastAsia" w:ascii="仿宋" w:hAnsi="仿宋" w:eastAsia="仿宋" w:cs="仿宋"/>
          <w:sz w:val="32"/>
          <w:szCs w:val="32"/>
        </w:rPr>
        <w:t>加强项目管理，强化支出责任，减少不合理支出和无效支出，提高财政资金使用效益，运用科学合理的评价方法对年初申报部门预算项目资金时明确的绩效目标完成情况进行客观、公正的评价。</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pStyle w:val="4"/>
        <w:bidi w:val="0"/>
      </w:pPr>
      <w:r>
        <w:t>第三部分名词解释</w:t>
      </w:r>
    </w:p>
    <w:p>
      <w:pPr>
        <w:bidi w:val="0"/>
      </w:pPr>
      <w:r>
        <w:rPr>
          <w:rStyle w:val="32"/>
        </w:rPr>
        <w:t>  一、财政拨款收入：</w:t>
      </w:r>
      <w:r>
        <w:t>从同级财政部门取得的各类财政拨款，包括一般公共预算财政拨款、政府性基金预算财政拨款、国有资本经营预算财政拨款。</w:t>
      </w:r>
    </w:p>
    <w:p>
      <w:pPr>
        <w:bidi w:val="0"/>
      </w:pPr>
      <w:r>
        <w:rPr>
          <w:rStyle w:val="32"/>
        </w:rPr>
        <w:t>  </w:t>
      </w:r>
      <w:r>
        <w:rPr>
          <w:rStyle w:val="32"/>
          <w:rFonts w:hint="eastAsia" w:eastAsia="黑体"/>
          <w:lang w:val="en-US" w:eastAsia="zh-CN"/>
        </w:rPr>
        <w:t>二</w:t>
      </w:r>
      <w:r>
        <w:rPr>
          <w:rStyle w:val="32"/>
        </w:rPr>
        <w:t>、年初结转和结余：</w:t>
      </w:r>
      <w:r>
        <w:t>指单位上年结转本年使用的基本支出结转、项目支出结转和结余、经营结余。</w:t>
      </w:r>
    </w:p>
    <w:p>
      <w:pPr>
        <w:bidi w:val="0"/>
      </w:pPr>
      <w:r>
        <w:rPr>
          <w:rStyle w:val="32"/>
        </w:rPr>
        <w:t>  </w:t>
      </w:r>
      <w:r>
        <w:rPr>
          <w:rStyle w:val="32"/>
          <w:rFonts w:hint="eastAsia" w:eastAsia="黑体"/>
          <w:lang w:val="en-US" w:eastAsia="zh-CN"/>
        </w:rPr>
        <w:t>三</w:t>
      </w:r>
      <w:r>
        <w:rPr>
          <w:rStyle w:val="32"/>
        </w:rPr>
        <w:t>、结余分配：</w:t>
      </w:r>
      <w:r>
        <w:t>指事业单位按规定缴纳企业所得税以及从非财政拨款结余或经营结余中提取各类结余的情况。</w:t>
      </w:r>
    </w:p>
    <w:p>
      <w:pPr>
        <w:bidi w:val="0"/>
      </w:pPr>
      <w:r>
        <w:rPr>
          <w:rStyle w:val="32"/>
        </w:rPr>
        <w:t> </w:t>
      </w:r>
      <w:r>
        <w:rPr>
          <w:rStyle w:val="32"/>
          <w:rFonts w:hint="eastAsia" w:eastAsia="黑体"/>
          <w:lang w:val="en-US" w:eastAsia="zh-CN"/>
        </w:rPr>
        <w:t>四</w:t>
      </w:r>
      <w:r>
        <w:rPr>
          <w:rStyle w:val="32"/>
        </w:rPr>
        <w:t>、年末结转和结余资金：</w:t>
      </w:r>
      <w:r>
        <w:t>指单位结转下年的基本支出结转、项目支出结转和结余、经营结余。</w:t>
      </w:r>
    </w:p>
    <w:p>
      <w:pPr>
        <w:bidi w:val="0"/>
      </w:pPr>
      <w:r>
        <w:rPr>
          <w:rStyle w:val="32"/>
          <w:rFonts w:hint="eastAsia" w:eastAsia="黑体"/>
          <w:lang w:val="en-US" w:eastAsia="zh-CN"/>
        </w:rPr>
        <w:t>五</w:t>
      </w:r>
      <w:r>
        <w:rPr>
          <w:rStyle w:val="32"/>
        </w:rPr>
        <w:t>、基本支出：</w:t>
      </w:r>
      <w:r>
        <w:t>指为保障机构正常运转、完成日常工作任务所发生的支出，包括人员经费和公用经费。</w:t>
      </w:r>
    </w:p>
    <w:p>
      <w:pPr>
        <w:bidi w:val="0"/>
      </w:pPr>
      <w:r>
        <w:rPr>
          <w:rStyle w:val="32"/>
          <w:rFonts w:hint="eastAsia" w:eastAsia="黑体"/>
          <w:lang w:val="en-US" w:eastAsia="zh-CN"/>
        </w:rPr>
        <w:t>六</w:t>
      </w:r>
      <w:r>
        <w:rPr>
          <w:rStyle w:val="32"/>
        </w:rPr>
        <w:t>、项目支出：</w:t>
      </w:r>
      <w:r>
        <w:t>指在为完成特定的行政工作任务或事业发展目标所发生的支出。</w:t>
      </w:r>
    </w:p>
    <w:p>
      <w:pPr>
        <w:bidi w:val="0"/>
      </w:pPr>
      <w:r>
        <w:rPr>
          <w:rFonts w:hint="eastAsia" w:eastAsia="黑体"/>
          <w:lang w:val="en-US" w:eastAsia="zh-CN"/>
        </w:rPr>
        <w:t>七</w:t>
      </w:r>
      <w:r>
        <w:rPr>
          <w:rStyle w:val="32"/>
        </w:rPr>
        <w:t>、“三公”经费：</w:t>
      </w:r>
      <w: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bidi w:val="0"/>
      </w:pPr>
      <w:r>
        <w:rPr>
          <w:rStyle w:val="32"/>
          <w:rFonts w:hint="eastAsia" w:eastAsia="黑体"/>
          <w:lang w:val="en-US" w:eastAsia="zh-CN"/>
        </w:rPr>
        <w:t>八</w:t>
      </w:r>
      <w:r>
        <w:rPr>
          <w:rStyle w:val="32"/>
        </w:rPr>
        <w:t>、机关运行经费：</w:t>
      </w:r>
      <w:r>
        <w:t>指行政单位和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p>
    <w:p>
      <w:pPr>
        <w:pStyle w:val="4"/>
        <w:bidi w:val="0"/>
      </w:pPr>
      <w:r>
        <w:t>第四部分</w:t>
      </w:r>
      <w:r>
        <w:rPr>
          <w:rFonts w:hint="eastAsia"/>
          <w:lang w:val="en-US" w:eastAsia="zh-CN"/>
        </w:rPr>
        <w:t xml:space="preserve"> </w:t>
      </w:r>
      <w:r>
        <w:t>决算公开联系方式及信息反馈渠道</w:t>
      </w:r>
    </w:p>
    <w:p>
      <w:pPr>
        <w:widowControl/>
        <w:spacing w:before="240" w:after="240"/>
        <w:jc w:val="left"/>
        <w:rPr>
          <w:rFonts w:ascii="Times New Roman" w:hAnsi="Times New Roman" w:eastAsia="Times New Roman" w:cs="Times New Roman"/>
          <w:kern w:val="0"/>
          <w:sz w:val="24"/>
        </w:rPr>
      </w:pPr>
    </w:p>
    <w:p>
      <w:pPr>
        <w:bidi w:val="0"/>
      </w:pPr>
      <w:r>
        <w:t>  本单位决算公开信息反馈和联系方式：</w:t>
      </w:r>
    </w:p>
    <w:p>
      <w:pPr>
        <w:bidi w:val="0"/>
        <w:rPr>
          <w:rFonts w:hint="default" w:eastAsia="仿宋_GB2312"/>
          <w:lang w:val="en-US" w:eastAsia="zh-CN"/>
        </w:rPr>
      </w:pPr>
      <w:r>
        <w:t>  联系人：</w:t>
      </w:r>
      <w:r>
        <w:rPr>
          <w:rFonts w:hint="eastAsia"/>
          <w:lang w:val="en-US" w:eastAsia="zh-CN"/>
        </w:rPr>
        <w:t>崔还威</w:t>
      </w:r>
      <w:r>
        <w:t>           联系电话</w:t>
      </w:r>
      <w:r>
        <w:rPr>
          <w:rFonts w:hint="eastAsia"/>
          <w:lang w:val="en-US" w:eastAsia="zh-CN"/>
        </w:rPr>
        <w:t>18847180056</w:t>
      </w:r>
    </w:p>
    <w:p>
      <w:pPr>
        <w:widowControl/>
        <w:spacing w:before="240" w:after="240"/>
        <w:jc w:val="left"/>
        <w:rPr>
          <w:rFonts w:ascii="Times New Roman" w:hAnsi="Times New Roman" w:eastAsia="Times New Roman" w:cs="Times New Roman"/>
          <w:kern w:val="0"/>
          <w:sz w:val="24"/>
        </w:rPr>
      </w:pPr>
    </w:p>
    <w:p>
      <w:pPr>
        <w:pStyle w:val="4"/>
        <w:bidi w:val="0"/>
      </w:pPr>
      <w:r>
        <w:t>第五部分单位决算表</w:t>
      </w:r>
    </w:p>
    <w:p>
      <w:pPr>
        <w:widowControl/>
        <w:spacing w:before="240" w:after="240"/>
        <w:jc w:val="center"/>
        <w:rPr>
          <w:rFonts w:ascii="Times New Roman" w:hAnsi="Times New Roman" w:eastAsia="Times New Roman" w:cs="Times New Roman"/>
          <w:kern w:val="0"/>
          <w:sz w:val="24"/>
        </w:rPr>
      </w:pPr>
    </w:p>
    <w:p>
      <w:pPr>
        <w:bidi w:val="0"/>
      </w:pPr>
      <w:r>
        <w:t>  见附件。</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adjustRightInd w:val="0"/>
        <w:snapToGrid w:val="0"/>
        <w:rPr>
          <w:rFonts w:ascii="宋体" w:hAnsi="宋体"/>
          <w:b/>
          <w:sz w:val="32"/>
          <w:szCs w:val="32"/>
        </w:rPr>
      </w:pPr>
    </w:p>
    <w:p>
      <w:pPr>
        <w:tabs>
          <w:tab w:val="left" w:pos="8415"/>
        </w:tabs>
      </w:pPr>
    </w:p>
    <w:sectPr>
      <w:footerReference r:id="rId6" w:type="default"/>
      <w:pgSz w:w="11906" w:h="16838"/>
      <w:pgMar w:top="1440" w:right="1083" w:bottom="1440" w:left="1083" w:header="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times_new_roman">
    <w:altName w:val="仿宋_GB2312"/>
    <w:panose1 w:val="00000000000000000000"/>
    <w:charset w:val="00"/>
    <w:family w:val="auto"/>
    <w:pitch w:val="default"/>
    <w:sig w:usb0="00000000" w:usb1="00000000" w:usb2="00000000" w:usb3="00000000" w:csb0="00000000" w:csb1="00000000"/>
  </w:font>
  <w:font w:name="Times New Roman Regular">
    <w:altName w:val="DejaVu Sans"/>
    <w:panose1 w:val="00000000000000000000"/>
    <w:charset w:val="00"/>
    <w:family w:val="auto"/>
    <w:pitch w:val="default"/>
    <w:sig w:usb0="00000000" w:usb1="00000000" w:usb2="00000001" w:usb3="00000000" w:csb0="400001BF" w:csb1="DFF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26</w:t>
    </w:r>
    <w:r>
      <w:rPr>
        <w:lang w:val="zh-CN"/>
      </w:rPr>
      <w:fldChar w:fldCharType="end"/>
    </w:r>
  </w:p>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52A53FB"/>
    <w:rsid w:val="0D3F7855"/>
    <w:rsid w:val="0D8B60A2"/>
    <w:rsid w:val="0DCE57A6"/>
    <w:rsid w:val="1038151E"/>
    <w:rsid w:val="29EF3A51"/>
    <w:rsid w:val="45045C09"/>
    <w:rsid w:val="49E37B14"/>
    <w:rsid w:val="4FB7A105"/>
    <w:rsid w:val="50D31EE5"/>
    <w:rsid w:val="51CD438B"/>
    <w:rsid w:val="5669630E"/>
    <w:rsid w:val="5CE35699"/>
    <w:rsid w:val="654A6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kinsoku/>
      <w:wordWrap/>
      <w:overflowPunct/>
      <w:topLinePunct w:val="0"/>
      <w:autoSpaceDE/>
      <w:autoSpaceDN/>
      <w:bidi w:val="0"/>
      <w:adjustRightInd/>
      <w:snapToGrid/>
      <w:ind w:firstLine="540" w:firstLineChars="200"/>
      <w:jc w:val="both"/>
      <w:textAlignment w:val="auto"/>
    </w:pPr>
    <w:rPr>
      <w:rFonts w:ascii="仿宋_GB2312" w:hAnsi="仿宋_GB2312" w:eastAsia="仿宋_GB2312" w:cs="仿宋_GB2312"/>
      <w:kern w:val="0"/>
      <w:sz w:val="32"/>
      <w:szCs w:val="32"/>
      <w:lang w:val="en-US" w:eastAsia="zh-CN" w:bidi="ar-SA"/>
    </w:rPr>
  </w:style>
  <w:style w:type="paragraph" w:styleId="4">
    <w:name w:val="heading 1"/>
    <w:basedOn w:val="5"/>
    <w:next w:val="1"/>
    <w:link w:val="33"/>
    <w:qFormat/>
    <w:uiPriority w:val="0"/>
    <w:pPr>
      <w:spacing w:before="299" w:after="299"/>
      <w:ind w:firstLine="0" w:firstLineChars="0"/>
      <w:jc w:val="center"/>
      <w:outlineLvl w:val="0"/>
    </w:pPr>
    <w:rPr>
      <w:rFonts w:ascii="方正小标宋简体" w:hAnsi="方正小标宋简体" w:eastAsia="方正小标宋简体" w:cs="方正小标宋简体"/>
      <w:sz w:val="44"/>
      <w:szCs w:val="44"/>
    </w:rPr>
  </w:style>
  <w:style w:type="paragraph" w:styleId="5">
    <w:name w:val="heading 2"/>
    <w:basedOn w:val="1"/>
    <w:next w:val="1"/>
    <w:link w:val="32"/>
    <w:qFormat/>
    <w:uiPriority w:val="0"/>
    <w:pPr>
      <w:widowControl/>
      <w:ind w:firstLine="640" w:firstLineChars="200"/>
      <w:jc w:val="left"/>
      <w:outlineLvl w:val="1"/>
    </w:pPr>
    <w:rPr>
      <w:rFonts w:ascii="黑体" w:hAnsi="黑体" w:eastAsia="黑体" w:cs="黑体"/>
    </w:rPr>
  </w:style>
  <w:style w:type="paragraph" w:styleId="6">
    <w:name w:val="heading 3"/>
    <w:basedOn w:val="1"/>
    <w:next w:val="1"/>
    <w:link w:val="31"/>
    <w:qFormat/>
    <w:uiPriority w:val="0"/>
    <w:pPr>
      <w:widowControl/>
      <w:ind w:firstLine="643" w:firstLineChars="200"/>
      <w:jc w:val="left"/>
      <w:outlineLvl w:val="2"/>
    </w:pPr>
    <w:rPr>
      <w:rFonts w:ascii="楷体" w:hAnsi="楷体" w:eastAsia="楷体" w:cs="楷体"/>
      <w:b/>
      <w:bCs/>
    </w:rPr>
  </w:style>
  <w:style w:type="paragraph" w:styleId="7">
    <w:name w:val="heading 4"/>
    <w:basedOn w:val="1"/>
    <w:next w:val="1"/>
    <w:link w:val="26"/>
    <w:qFormat/>
    <w:uiPriority w:val="0"/>
    <w:pPr>
      <w:keepNext/>
      <w:keepLines/>
      <w:spacing w:before="280" w:after="290" w:line="376" w:lineRule="auto"/>
      <w:outlineLvl w:val="3"/>
    </w:pPr>
    <w:rPr>
      <w:rFonts w:ascii="Cambria" w:hAnsi="Cambria"/>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10"/>
    <w:pPr>
      <w:jc w:val="center"/>
      <w:outlineLvl w:val="0"/>
    </w:pPr>
    <w:rPr>
      <w:rFonts w:eastAsia="方正小标宋简体"/>
      <w:bCs/>
      <w:sz w:val="44"/>
      <w:szCs w:val="32"/>
    </w:rPr>
  </w:style>
  <w:style w:type="paragraph" w:styleId="3">
    <w:name w:val="Body Text Indent"/>
    <w:basedOn w:val="1"/>
    <w:next w:val="1"/>
    <w:unhideWhenUsed/>
    <w:qFormat/>
    <w:uiPriority w:val="99"/>
    <w:pPr>
      <w:spacing w:before="100" w:beforeAutospacing="1" w:after="100" w:afterAutospacing="1"/>
      <w:ind w:left="420" w:leftChars="200"/>
    </w:pPr>
    <w:rPr>
      <w:rFonts w:cs="Calibri"/>
      <w:szCs w:val="21"/>
    </w:rPr>
  </w:style>
  <w:style w:type="paragraph" w:styleId="8">
    <w:name w:val="toc 7"/>
    <w:basedOn w:val="1"/>
    <w:next w:val="1"/>
    <w:qFormat/>
    <w:uiPriority w:val="0"/>
    <w:pPr>
      <w:ind w:left="1260"/>
      <w:jc w:val="left"/>
    </w:pPr>
    <w:rPr>
      <w:sz w:val="20"/>
      <w:szCs w:val="20"/>
    </w:rPr>
  </w:style>
  <w:style w:type="paragraph" w:styleId="9">
    <w:name w:val="Normal Indent"/>
    <w:basedOn w:val="1"/>
    <w:next w:val="10"/>
    <w:unhideWhenUsed/>
    <w:qFormat/>
    <w:uiPriority w:val="0"/>
    <w:pPr>
      <w:widowControl/>
      <w:suppressAutoHyphens/>
      <w:spacing w:after="200" w:line="276" w:lineRule="auto"/>
      <w:ind w:firstLine="420"/>
      <w:jc w:val="left"/>
    </w:pPr>
    <w:rPr>
      <w:rFonts w:ascii="Calibri" w:hAnsi="Calibri" w:eastAsia="宋体" w:cs="Times New Roman"/>
      <w:kern w:val="0"/>
      <w:sz w:val="32"/>
      <w:szCs w:val="32"/>
      <w:lang w:eastAsia="en-US"/>
    </w:rPr>
  </w:style>
  <w:style w:type="paragraph" w:styleId="10">
    <w:name w:val="Body Text"/>
    <w:basedOn w:val="1"/>
    <w:next w:val="1"/>
    <w:qFormat/>
    <w:uiPriority w:val="99"/>
    <w:pPr>
      <w:autoSpaceDE w:val="0"/>
      <w:autoSpaceDN w:val="0"/>
      <w:jc w:val="left"/>
    </w:pPr>
    <w:rPr>
      <w:rFonts w:ascii="宋体" w:hAnsi="宋体" w:eastAsia="宋体" w:cs="宋体"/>
      <w:kern w:val="0"/>
      <w:sz w:val="32"/>
      <w:szCs w:val="32"/>
      <w:lang w:val="zh-CN" w:bidi="zh-CN"/>
    </w:rPr>
  </w:style>
  <w:style w:type="paragraph" w:styleId="11">
    <w:name w:val="Document Map"/>
    <w:basedOn w:val="1"/>
    <w:qFormat/>
    <w:uiPriority w:val="0"/>
    <w:pPr>
      <w:shd w:val="clear" w:color="auto" w:fill="000080"/>
    </w:pPr>
  </w:style>
  <w:style w:type="paragraph" w:styleId="12">
    <w:name w:val="toc 5"/>
    <w:basedOn w:val="1"/>
    <w:next w:val="1"/>
    <w:qFormat/>
    <w:uiPriority w:val="0"/>
    <w:pPr>
      <w:ind w:left="840"/>
      <w:jc w:val="left"/>
    </w:pPr>
    <w:rPr>
      <w:sz w:val="20"/>
      <w:szCs w:val="20"/>
    </w:rPr>
  </w:style>
  <w:style w:type="paragraph" w:styleId="13">
    <w:name w:val="toc 3"/>
    <w:basedOn w:val="1"/>
    <w:next w:val="1"/>
    <w:qFormat/>
    <w:uiPriority w:val="0"/>
    <w:pPr>
      <w:adjustRightInd w:val="0"/>
      <w:snapToGrid w:val="0"/>
      <w:spacing w:line="360" w:lineRule="auto"/>
      <w:ind w:firstLine="400" w:firstLineChars="400"/>
      <w:jc w:val="left"/>
    </w:pPr>
    <w:rPr>
      <w:sz w:val="24"/>
      <w:szCs w:val="20"/>
    </w:rPr>
  </w:style>
  <w:style w:type="paragraph" w:styleId="14">
    <w:name w:val="toc 8"/>
    <w:basedOn w:val="1"/>
    <w:next w:val="1"/>
    <w:qFormat/>
    <w:uiPriority w:val="0"/>
    <w:pPr>
      <w:ind w:left="1470"/>
      <w:jc w:val="left"/>
    </w:pPr>
    <w:rPr>
      <w:sz w:val="20"/>
      <w:szCs w:val="20"/>
    </w:rPr>
  </w:style>
  <w:style w:type="paragraph" w:styleId="15">
    <w:name w:val="footer"/>
    <w:basedOn w:val="1"/>
    <w:link w:val="29"/>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adjustRightInd w:val="0"/>
      <w:snapToGrid w:val="0"/>
      <w:spacing w:line="360" w:lineRule="auto"/>
      <w:jc w:val="left"/>
    </w:pPr>
    <w:rPr>
      <w:b/>
      <w:bCs/>
      <w:sz w:val="24"/>
      <w:szCs w:val="20"/>
    </w:rPr>
  </w:style>
  <w:style w:type="paragraph" w:styleId="18">
    <w:name w:val="toc 4"/>
    <w:basedOn w:val="1"/>
    <w:next w:val="1"/>
    <w:qFormat/>
    <w:uiPriority w:val="0"/>
    <w:pPr>
      <w:ind w:left="630"/>
      <w:jc w:val="left"/>
    </w:pPr>
    <w:rPr>
      <w:sz w:val="20"/>
      <w:szCs w:val="20"/>
    </w:rPr>
  </w:style>
  <w:style w:type="paragraph" w:styleId="19">
    <w:name w:val="toc 6"/>
    <w:basedOn w:val="1"/>
    <w:next w:val="1"/>
    <w:qFormat/>
    <w:uiPriority w:val="0"/>
    <w:pPr>
      <w:ind w:left="1050"/>
      <w:jc w:val="left"/>
    </w:pPr>
    <w:rPr>
      <w:sz w:val="20"/>
      <w:szCs w:val="20"/>
    </w:rPr>
  </w:style>
  <w:style w:type="paragraph" w:styleId="20">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21">
    <w:name w:val="toc 9"/>
    <w:basedOn w:val="1"/>
    <w:next w:val="1"/>
    <w:qFormat/>
    <w:uiPriority w:val="0"/>
    <w:pPr>
      <w:ind w:left="1680"/>
      <w:jc w:val="left"/>
    </w:pPr>
    <w:rPr>
      <w:sz w:val="20"/>
      <w:szCs w:val="20"/>
    </w:rPr>
  </w:style>
  <w:style w:type="character" w:styleId="24">
    <w:name w:val="page number"/>
    <w:basedOn w:val="23"/>
    <w:qFormat/>
    <w:uiPriority w:val="0"/>
  </w:style>
  <w:style w:type="character" w:styleId="25">
    <w:name w:val="Hyperlink"/>
    <w:basedOn w:val="23"/>
    <w:qFormat/>
    <w:uiPriority w:val="0"/>
    <w:rPr>
      <w:color w:val="0000FF"/>
      <w:u w:val="single"/>
    </w:rPr>
  </w:style>
  <w:style w:type="character" w:customStyle="1" w:styleId="26">
    <w:name w:val="标题 4 字符"/>
    <w:basedOn w:val="23"/>
    <w:link w:val="7"/>
    <w:qFormat/>
    <w:uiPriority w:val="0"/>
    <w:rPr>
      <w:rFonts w:ascii="Cambria" w:hAnsi="Cambria"/>
      <w:b/>
      <w:bCs/>
      <w:kern w:val="2"/>
      <w:sz w:val="28"/>
      <w:szCs w:val="28"/>
    </w:rPr>
  </w:style>
  <w:style w:type="paragraph" w:styleId="27">
    <w:name w:val="No Spacing"/>
    <w:link w:val="28"/>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8">
    <w:name w:val="无间隔 字符"/>
    <w:link w:val="27"/>
    <w:qFormat/>
    <w:locked/>
    <w:uiPriority w:val="0"/>
    <w:rPr>
      <w:rFonts w:eastAsia="仿宋_GB2312"/>
      <w:sz w:val="30"/>
      <w:szCs w:val="22"/>
      <w:lang w:bidi="ar-SA"/>
    </w:rPr>
  </w:style>
  <w:style w:type="character" w:customStyle="1" w:styleId="29">
    <w:name w:val="页脚 字符"/>
    <w:basedOn w:val="23"/>
    <w:link w:val="15"/>
    <w:qFormat/>
    <w:uiPriority w:val="0"/>
    <w:rPr>
      <w:kern w:val="2"/>
      <w:sz w:val="18"/>
      <w:szCs w:val="18"/>
    </w:rPr>
  </w:style>
  <w:style w:type="paragraph" w:styleId="30">
    <w:name w:val="List Paragraph"/>
    <w:basedOn w:val="1"/>
    <w:qFormat/>
    <w:uiPriority w:val="0"/>
    <w:pPr>
      <w:ind w:firstLine="420" w:firstLineChars="200"/>
    </w:pPr>
  </w:style>
  <w:style w:type="character" w:customStyle="1" w:styleId="31">
    <w:name w:val="标题 3 字符"/>
    <w:link w:val="6"/>
    <w:qFormat/>
    <w:uiPriority w:val="0"/>
    <w:rPr>
      <w:rFonts w:ascii="楷体" w:hAnsi="楷体" w:eastAsia="楷体" w:cs="楷体"/>
      <w:b/>
      <w:bCs/>
      <w:kern w:val="0"/>
      <w:sz w:val="32"/>
      <w:szCs w:val="32"/>
      <w:lang w:val="en-US" w:eastAsia="zh-CN" w:bidi="ar-SA"/>
    </w:rPr>
  </w:style>
  <w:style w:type="character" w:customStyle="1" w:styleId="32">
    <w:name w:val="标题 2 Char"/>
    <w:link w:val="5"/>
    <w:qFormat/>
    <w:uiPriority w:val="0"/>
    <w:rPr>
      <w:rFonts w:ascii="黑体" w:hAnsi="黑体" w:eastAsia="黑体" w:cs="黑体"/>
    </w:rPr>
  </w:style>
  <w:style w:type="character" w:customStyle="1" w:styleId="33">
    <w:name w:val="标题 1 Char"/>
    <w:link w:val="4"/>
    <w:qFormat/>
    <w:uiPriority w:val="0"/>
    <w:rPr>
      <w:rFonts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26</Pages>
  <Words>131</Words>
  <Characters>140</Characters>
  <Lines>1</Lines>
  <Paragraphs>1</Paragraphs>
  <TotalTime>12</TotalTime>
  <ScaleCrop>false</ScaleCrop>
  <LinksUpToDate>false</LinksUpToDate>
  <CharactersWithSpaces>142</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2022-03-23T20:40:00Z</dcterms:created>
  <dc:creator>Administrator</dc:creator>
  <cp:lastModifiedBy>15949436662</cp:lastModifiedBy>
  <cp:lastPrinted>2025-07-17T17:21:00Z</cp:lastPrinted>
  <dcterms:modified xsi:type="dcterms:W3CDTF">2025-07-18T15:47:56Z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2052-11.8.2.11929</vt:lpwstr>
  </property>
  <property fmtid="{D5CDD505-2E9C-101B-9397-08002B2CF9AE}" pid="4" name="KSOTemplateDocerSaveRecord">
    <vt:lpwstr>eyJoZGlkIjoiY2QwNmVkMzE5NGJjZmQ3ZGVkMDMwNjZiMDI3N2MwMTMiLCJ1c2VySWQiOiI0MDM4Nzk3MjgifQ==</vt:lpwstr>
  </property>
</Properties>
</file>