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法律咨询服务</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赤峰市政务服务与数据管理局（部门）</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Times New Roman Regular" w:hAnsi="Times New Roman Regular" w:eastAsia="方正小标宋简体" w:cs="Times New Roman Regular"/>
          <w:sz w:val="44"/>
          <w:szCs w:val="44"/>
        </w:rPr>
        <w:t>年</w:t>
      </w:r>
      <w:r>
        <w:rPr>
          <w:rFonts w:hint="default" w:ascii="Times New Roman Regular" w:hAnsi="Times New Roman Regular" w:eastAsia="方正小标宋简体" w:cs="Times New Roman Regular"/>
          <w:sz w:val="44"/>
          <w:szCs w:val="44"/>
          <w:lang w:val="en-US" w:eastAsia="zh-CN"/>
        </w:rPr>
        <w:t>度</w:t>
      </w:r>
      <w:r>
        <w:rPr>
          <w:rFonts w:hint="eastAsia" w:ascii="仿宋" w:hAnsi="仿宋" w:eastAsia="仿宋" w:cs="仿宋"/>
          <w:sz w:val="44"/>
          <w:szCs w:val="44"/>
        </w:rPr>
        <w:t>法律咨询服务</w:t>
      </w:r>
      <w:r>
        <w:rPr>
          <w:rFonts w:hint="default" w:ascii="Times New Roman Regular" w:hAnsi="Times New Roman Regular" w:eastAsia="方正小标宋简体" w:cs="Times New Roman Regular"/>
          <w:sz w:val="44"/>
          <w:szCs w:val="44"/>
        </w:rPr>
        <w:t>项目绩效自评报告</w:t>
      </w:r>
    </w:p>
    <w:p>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p>
    <w:p>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梳理权责清单和政务服务事项流程优化</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预计支出43.2万元，主要用于聘请专业律师咨询服务内容、事项、提供与服务相关的场所及办公类事项，按要求完成咨询服务内容，按期完成交办的工作，确保工作顺利进展。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聘请专业律师咨询服务内容、事项、提供与服务相关的场所及办公类事项，按要求完成咨询服务内容，按期完成交办的工作，确保工作顺利进展。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聘请专业律师咨询服务内容、事项、提供与服务相关的场所及办公类事项，按要求完成咨询服务内容，按期完成交办的工作，确保工作顺利进展。</w:t>
      </w: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对其预算执行过程中的项目管理和目标要求完成情况，目标实现程度，目标偏差和纠偏情况进行跟踪。全面掌握项目资金的使用情况，项目进度以及实施效率，并及时发现项目执行过程中存在的问题和困难，强化绩效自评结果应用。加强项目管理，强化支出责任，减少不合理支出和无效支出，提高财政资金使用效益，运用科学合理的评价方法对年初申报部门预算项目资金时明确的绩效目标完成情况进行客观、公正的评价。</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43.2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43.2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43.2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43.2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41.4</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95.83</w:t>
      </w:r>
      <w:r>
        <w:rPr>
          <w:rFonts w:ascii="仿宋" w:hAnsi="仿宋" w:cs="仿宋" w:eastAsia="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41.4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管理及相关制度，规范各项经费的开支。资金使用规范，符合国家财经法规和财务管理以及有关专项资金管理办法的规定。资金的拨付有完整的审批程序和手续。通关项目资金使用，推出一批便民举措、打通一批堵点、解决一批难点，进一步提升政务服务能力和水平，提高企业和群众办事便利度和满意度，进一步优化营商环境，为推进赤峰市高质量发展作出更大贡献。</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xml:space="preserve">一是加强组织领导，强化政策落实。高度重视资金使用情况以及资金监管工作，年度资金以当年目标要求管理使用。二是加强资金管理，规范会计核算。项目实施单位资金管理制度健全，项目资金使用严格按照相关制度执行，无支出依据不合规、虚列项目支出的情况；无截留、挤占、挪用资金情况。三是加强监督指导，确保实效落地。相关业务科室不定期深入项目现场开展督查指导，工作进度缓慢加强监督。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(一) 产出指标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1.数量指标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（1）派驻律师咨询人数</w:t>
      </w:r>
      <w:r>
        <w:rPr>
          <w:rFonts w:ascii="仿宋" w:hAnsi="仿宋" w:cs="仿宋" w:eastAsia="仿宋"/>
          <w:sz w:val="32"/>
        </w:rPr>
        <w:t>(人)</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（2）梳理事项清单数</w:t>
      </w:r>
      <w:r>
        <w:rPr>
          <w:rFonts w:ascii="仿宋" w:hAnsi="仿宋" w:cs="仿宋" w:eastAsia="仿宋"/>
          <w:sz w:val="32"/>
        </w:rPr>
        <w:t>(张)</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2.质量指标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（1）聘用律师资质</w:t>
      </w:r>
      <w:r>
        <w:rPr>
          <w:rFonts w:ascii="仿宋" w:hAnsi="仿宋" w:cs="仿宋" w:eastAsia="仿宋"/>
          <w:sz w:val="32"/>
        </w:rPr>
        <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律师资格证</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有律师资格证</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（2）提出建议专业程度</w:t>
      </w:r>
      <w:r>
        <w:rPr>
          <w:rFonts w:ascii="仿宋" w:hAnsi="仿宋" w:cs="仿宋" w:eastAsia="仿宋"/>
          <w:sz w:val="32"/>
        </w:rPr>
        <w:t>(%)</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7.35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3.时效指标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（1）服务期限</w:t>
      </w:r>
      <w:r>
        <w:rPr>
          <w:rFonts w:ascii="仿宋" w:hAnsi="仿宋" w:cs="仿宋" w:eastAsia="仿宋"/>
          <w:sz w:val="32"/>
        </w:rPr>
        <w:t>(年)</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（2）清单梳理及时率</w:t>
      </w:r>
      <w:r>
        <w:rPr>
          <w:rFonts w:ascii="仿宋" w:hAnsi="仿宋" w:cs="仿宋" w:eastAsia="仿宋"/>
          <w:sz w:val="32"/>
        </w:rPr>
        <w:t>(%)</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4.成本指标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（1）咨询服务成本</w:t>
      </w:r>
      <w:r>
        <w:rPr>
          <w:rFonts w:ascii="仿宋" w:hAnsi="仿宋" w:cs="仿宋" w:eastAsia="仿宋"/>
          <w:sz w:val="32"/>
        </w:rPr>
        <w:t>(万)</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43.2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41.4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（2）聘用律师标准</w:t>
      </w:r>
      <w:r>
        <w:rPr>
          <w:rFonts w:ascii="仿宋" w:hAnsi="仿宋" w:cs="仿宋" w:eastAsia="仿宋"/>
          <w:sz w:val="32"/>
        </w:rPr>
        <w:t>(万/人)</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(二) 效益指标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5.社会效益指标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（1）优化办事服务流程</w:t>
      </w:r>
      <w:r>
        <w:rPr>
          <w:rFonts w:ascii="仿宋" w:hAnsi="仿宋" w:cs="仿宋" w:eastAsia="仿宋"/>
          <w:sz w:val="32"/>
        </w:rPr>
        <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优化</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优化</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6.可持续影响指标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（1）推进清单动态管理</w:t>
      </w:r>
      <w:r>
        <w:rPr>
          <w:rFonts w:ascii="仿宋" w:hAnsi="仿宋" w:cs="仿宋" w:eastAsia="仿宋"/>
          <w:sz w:val="32"/>
        </w:rPr>
        <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推进</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推进</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(三) 满意度指标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
      </w:r>
      <w:r>
        <w:rPr>
          <w:rFonts w:ascii="仿宋" w:hAnsi="仿宋" w:cs="仿宋" w:eastAsia="仿宋"/>
          <w:sz w:val="32"/>
        </w:rPr>
        <w:t>7.服务对象满意度指标</w:t>
      </w:r>
      <w:r>
        <w:rPr>
          <w:rFonts w:ascii="仿宋" w:hAnsi="仿宋" w:cs="仿宋" w:eastAsia="仿宋"/>
          <w:sz w:val="32"/>
        </w:rPr>
        <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
      </w:r>
      <w:r>
        <w:rPr>
          <w:rFonts w:ascii="仿宋" w:hAnsi="仿宋" w:cs="仿宋" w:eastAsia="仿宋"/>
          <w:sz w:val="32"/>
        </w:rPr>
        <w:t>（1）部门满意度</w:t>
      </w:r>
      <w:r>
        <w:rPr>
          <w:rFonts w:ascii="仿宋" w:hAnsi="仿宋" w:cs="仿宋" w:eastAsia="仿宋"/>
          <w:sz w:val="32"/>
        </w:rPr>
        <w:t>(%)</w:t>
      </w:r>
      <w:r>
        <w:rPr>
          <w:rFonts w:ascii="仿宋" w:hAnsi="仿宋" w:cs="仿宋" w:eastAsia="仿宋"/>
          <w:sz w:val="32"/>
        </w:rPr>
        <w:t>，</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9.47</w:t>
      </w:r>
      <w:r>
        <w:rPr>
          <w:rFonts w:hint="default" w:ascii="Times New Roman Regular" w:hAnsi="Times New Roman Regular" w:eastAsia="仿宋" w:cs="Times New Roman Regular"/>
          <w:kern w:val="2"/>
          <w:sz w:val="32"/>
          <w:szCs w:val="32"/>
        </w:rPr>
        <w:t>。</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90.9</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pPr>
        <w:pStyle w:val="2"/>
        <w:bidi w:val="0"/>
        <w:rPr>
          <w:rFonts w:hint="default"/>
          <w:lang w:val="en-US" w:eastAsia="zh-CN"/>
        </w:rPr>
      </w:pPr>
      <w:r>
        <w:rPr>
          <w:rFonts w:hint="default"/>
          <w:lang w:val="en-US" w:eastAsia="zh-CN"/>
        </w:rPr>
        <w:t>四、存在问题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p>
    <w:p>
      <w:pPr>
        <w:pStyle w:val="2"/>
        <w:bidi w:val="0"/>
        <w:rPr>
          <w:rFonts w:hint="default"/>
          <w:lang w:val="en-US" w:eastAsia="zh-CN"/>
        </w:rPr>
      </w:pPr>
      <w:r>
        <w:rPr>
          <w:rFonts w:hint="default"/>
          <w:lang w:val="en-US" w:eastAsia="zh-CN"/>
        </w:rPr>
        <w:t>五、其他需要说明的问题</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将绩效评价作为项目的重要组成部分进行申报、监控、自评等系列程序，通过自评得分对项目决策提供科学有效的信息，切实提升决策能力。加强项目管理，强化支出责任，减少不合理支出和无效支出，提高财政资金使用效益，运用科学合理的评价方法对年初申报部门预算项目资金时明确的绩效目标完成情况进行客观、公正的评价。结合绩效自评结果，对被评价项目的绩效情况、完成程度和存在问题等综合分析，作为以后年度资金申请和分配的重要依据。</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10601030101010101"/>
    <w:charset w:val="86"/>
    <w:family w:val="roma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Times New Roman Bold">
    <w:panose1 w:val="02020503050405090304"/>
    <w:charset w:val="00"/>
    <w:family w:val="auto"/>
    <w:pitch w:val="default"/>
    <w:sig w:usb0="E0000AFF" w:usb1="00007843" w:usb2="00000001" w:usb3="00000000" w:csb0="400001BF" w:csb1="DFF7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仿宋">
    <w:altName w:val="方正仿宋_GBK"/>
    <w:panose1 w:val="00000000000000000000"/>
    <w:charset w:val="00"/>
    <w:family w:val="auto"/>
    <w:pitch w:val="default"/>
    <w:sig w:usb0="00000000" w:usb1="00000000" w:usb2="00000000" w:usb3="00000000" w:csb0="00000000" w:csb1="00000000"/>
  </w:font>
  <w:font w:name="Snell Roundhand Regular">
    <w:panose1 w:val="02000603080000090004"/>
    <w:charset w:val="00"/>
    <w:family w:val="auto"/>
    <w:pitch w:val="default"/>
    <w:sig w:usb0="80000027" w:usb1="00000000" w:usb2="00000000" w:usb3="00000000" w:csb0="20000111" w:csb1="41000000"/>
  </w:font>
  <w:font w:name="Tamil MN Regular">
    <w:panose1 w:val="00000500000000000000"/>
    <w:charset w:val="00"/>
    <w:family w:val="auto"/>
    <w:pitch w:val="default"/>
    <w:sig w:usb0="00100001" w:usb1="00000000" w:usb2="00000000" w:usb3="00000000" w:csb0="00000001" w:csb1="00000000"/>
  </w:font>
  <w:font w:name="Tamil Sangam MN Regular">
    <w:panose1 w:val="00000500000000000000"/>
    <w:charset w:val="00"/>
    <w:family w:val="auto"/>
    <w:pitch w:val="default"/>
    <w:sig w:usb0="00108001" w:usb1="02000004" w:usb2="00000000" w:usb3="00000000" w:csb0="00000001" w:csb1="00000000"/>
  </w:font>
  <w:font w:name="Kingsoft Extra">
    <w:panose1 w:val="05050102010205020202"/>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Hiragino Mincho Pro W3">
    <w:panose1 w:val="02020300000000000000"/>
    <w:charset w:val="80"/>
    <w:family w:val="auto"/>
    <w:pitch w:val="default"/>
    <w:sig w:usb0="E00002FF" w:usb1="7AE7FFFF" w:usb2="00000012" w:usb3="00000000" w:csb0="0002000D" w:csb1="00000000"/>
  </w:font>
  <w:font w:name="Geeza Pro Regular">
    <w:panose1 w:val="02000400000000000000"/>
    <w:charset w:val="00"/>
    <w:family w:val="auto"/>
    <w:pitch w:val="default"/>
    <w:sig w:usb0="80002000" w:usb1="80000000" w:usb2="00000008" w:usb3="00000000" w:csb0="00000001" w:csb1="00000000"/>
  </w:font>
  <w:font w:name="BM Hanna 11yrs Old">
    <w:panose1 w:val="020B0600000101010101"/>
    <w:charset w:val="81"/>
    <w:family w:val="auto"/>
    <w:pitch w:val="default"/>
    <w:sig w:usb0="00000203" w:usb1="21D12C10" w:usb2="00000010" w:usb3="00000000" w:csb0="00280005" w:csb1="00000000"/>
  </w:font>
  <w:font w:name="娃娃体-繁">
    <w:panose1 w:val="040B0500000000000000"/>
    <w:charset w:val="88"/>
    <w:family w:val="auto"/>
    <w:pitch w:val="default"/>
    <w:sig w:usb0="A00000FF" w:usb1="5889787B" w:usb2="00000016" w:usb3="00000000" w:csb0="00100003" w:csb1="00000000"/>
  </w:font>
  <w:font w:name="Thonburi Regular">
    <w:panose1 w:val="00000400000000000000"/>
    <w:charset w:val="00"/>
    <w:family w:val="auto"/>
    <w:pitch w:val="default"/>
    <w:sig w:usb0="01000000" w:usb1="00000000" w:usb2="00000000" w:usb3="00000000" w:csb0="20000193" w:csb1="4D000000"/>
  </w:font>
  <w:font w:name="Telugu MN Regular">
    <w:panose1 w:val="00000500000000000000"/>
    <w:charset w:val="00"/>
    <w:family w:val="auto"/>
    <w:pitch w:val="default"/>
    <w:sig w:usb0="00200001" w:usb1="00000000" w:usb2="00000000" w:usb3="00000000" w:csb0="00000001" w:csb1="00000000"/>
  </w:font>
  <w:font w:name="Telugu Sangam MN Regular">
    <w:panose1 w:val="00000500000000000000"/>
    <w:charset w:val="00"/>
    <w:family w:val="auto"/>
    <w:pitch w:val="default"/>
    <w:sig w:usb0="00200001" w:usb1="00000000" w:usb2="00000000" w:usb3="00000000" w:csb0="00000001" w:csb1="00000000"/>
  </w:font>
  <w:font w:name="Toppan Bunkyu Gothic Regular">
    <w:panose1 w:val="020B0600000000000000"/>
    <w:charset w:val="80"/>
    <w:family w:val="auto"/>
    <w:pitch w:val="default"/>
    <w:sig w:usb0="000002D7" w:usb1="2AC73C11" w:usb2="00000012" w:usb3="00000000" w:csb0="2002009F" w:csb1="00000000"/>
  </w:font>
  <w:font w:name="Tahoma Bold">
    <w:panose1 w:val="020B0604030504040204"/>
    <w:charset w:val="00"/>
    <w:family w:val="auto"/>
    <w:pitch w:val="default"/>
    <w:sig w:usb0="E1002AFF" w:usb1="C000605B" w:usb2="00000029" w:usb3="00000000" w:csb0="200101FF" w:csb1="20280000"/>
  </w:font>
  <w:font w:name="Tahoma Regular">
    <w:panose1 w:val="020B0604030504040204"/>
    <w:charset w:val="00"/>
    <w:family w:val="auto"/>
    <w:pitch w:val="default"/>
    <w:sig w:usb0="E1002AFF" w:usb1="C000605B" w:usb2="00000029" w:usb3="00000000" w:csb0="200101FF" w:csb1="20280000"/>
  </w:font>
  <w:font w:name="Trebuchet MS Regular">
    <w:panose1 w:val="020B0703020202090204"/>
    <w:charset w:val="00"/>
    <w:family w:val="auto"/>
    <w:pitch w:val="default"/>
    <w:sig w:usb0="00000287" w:usb1="00000000" w:usb2="00000000" w:usb3="00000000" w:csb0="2000009F" w:csb1="00000000"/>
  </w:font>
  <w:font w:name="Trattatello">
    <w:panose1 w:val="020F0403020200020303"/>
    <w:charset w:val="00"/>
    <w:family w:val="auto"/>
    <w:pitch w:val="default"/>
    <w:sig w:usb0="00000001" w:usb1="00002000" w:usb2="00000000" w:usb3="00000000" w:csb0="2000019F" w:csb1="4F010000"/>
  </w:font>
  <w:font w:name="Telugu Sangam MN Bold">
    <w:panose1 w:val="00000500000000000000"/>
    <w:charset w:val="00"/>
    <w:family w:val="auto"/>
    <w:pitch w:val="default"/>
    <w:sig w:usb0="00200001" w:usb1="00000000" w:usb2="00000000" w:usb3="00000000" w:csb0="00000001" w:csb1="00000000"/>
  </w:font>
  <w:font w:name="Toppan Bunkyu Gothic Demibold">
    <w:panose1 w:val="020B0600000000000000"/>
    <w:charset w:val="80"/>
    <w:family w:val="auto"/>
    <w:pitch w:val="default"/>
    <w:sig w:usb0="000002D7" w:usb1="2AC73C11" w:usb2="00000012" w:usb3="00000000" w:csb0="2002009F" w:csb1="00000000"/>
  </w:font>
  <w:font w:name="YuKyokasho Yoko Medium">
    <w:panose1 w:val="02000500000000000000"/>
    <w:charset w:val="80"/>
    <w:family w:val="auto"/>
    <w:pitch w:val="default"/>
    <w:sig w:usb0="000002C7" w:usb1="2AC71C10" w:usb2="00000012" w:usb3="00000000" w:csb0="0002000D" w:csb1="00000000"/>
  </w:font>
  <w:font w:name="Savoye LET">
    <w:panose1 w:val="00000000000000000000"/>
    <w:charset w:val="00"/>
    <w:family w:val="auto"/>
    <w:pitch w:val="default"/>
    <w:sig w:usb0="A00002FF" w:usb1="5000005B" w:usb2="00000000" w:usb3="00000000" w:csb0="2000019F" w:csb1="06000000"/>
  </w:font>
  <w:font w:name="Noteworthy Bold">
    <w:panose1 w:val="02000400000000000000"/>
    <w:charset w:val="00"/>
    <w:family w:val="auto"/>
    <w:pitch w:val="default"/>
    <w:sig w:usb0="8000006F" w:usb1="08000048" w:usb2="14600000" w:usb3="00000000" w:csb0="20000111" w:csb1="00000000"/>
  </w:font>
  <w:font w:name="Oriya MN Regular">
    <w:panose1 w:val="00000500000000000000"/>
    <w:charset w:val="00"/>
    <w:family w:val="auto"/>
    <w:pitch w:val="default"/>
    <w:sig w:usb0="00080001" w:usb1="00000000" w:usb2="00000000" w:usb3="00000000" w:csb0="00000001" w:csb1="00000000"/>
  </w:font>
  <w:font w:name="Toppan Bunkyu Midashi Gothic">
    <w:panose1 w:val="020B0900000000000000"/>
    <w:charset w:val="80"/>
    <w:family w:val="auto"/>
    <w:pitch w:val="default"/>
    <w:sig w:usb0="00000003" w:usb1="2AC71C10" w:usb2="00000012" w:usb3="00000000" w:csb0="20020005" w:csb1="00000000"/>
  </w:font>
  <w:font w:name="YuKyokasho Medium">
    <w:panose1 w:val="02000500000000000000"/>
    <w:charset w:val="80"/>
    <w:family w:val="auto"/>
    <w:pitch w:val="default"/>
    <w:sig w:usb0="000002C7" w:usb1="2AC71C10" w:usb2="00000012" w:usb3="00000000" w:csb0="0002000D" w:csb1="00000000"/>
  </w:font>
  <w:font w:name="STIX Two Math">
    <w:panose1 w:val="02020603050405020304"/>
    <w:charset w:val="00"/>
    <w:family w:val="auto"/>
    <w:pitch w:val="default"/>
    <w:sig w:usb0="A00002FF" w:usb1="4000FDFF" w:usb2="02000020" w:usb3="00000000" w:csb0="200001FF" w:csb1="DFFF0000"/>
  </w:font>
  <w:font w:name="Toppan Bunkyu Mincho">
    <w:panose1 w:val="02020400000000000000"/>
    <w:charset w:val="80"/>
    <w:family w:val="auto"/>
    <w:pitch w:val="default"/>
    <w:sig w:usb0="000002D7" w:usb1="2AC73C11" w:usb2="00000012" w:usb3="00000000" w:csb0="2002009F" w:csb1="00000000"/>
  </w:font>
  <w:font w:name="Sinhala MN Regular">
    <w:panose1 w:val="00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1964270"/>
    <w:rsid w:val="026752A9"/>
    <w:rsid w:val="03C2244D"/>
    <w:rsid w:val="04751E8B"/>
    <w:rsid w:val="049C7DEF"/>
    <w:rsid w:val="04A96372"/>
    <w:rsid w:val="04C2697B"/>
    <w:rsid w:val="05156224"/>
    <w:rsid w:val="0620235A"/>
    <w:rsid w:val="069550DB"/>
    <w:rsid w:val="06AB7BA4"/>
    <w:rsid w:val="074327A4"/>
    <w:rsid w:val="07CB6A82"/>
    <w:rsid w:val="084D2748"/>
    <w:rsid w:val="09DD9E46"/>
    <w:rsid w:val="0A821835"/>
    <w:rsid w:val="0B30242D"/>
    <w:rsid w:val="0BFB6AFD"/>
    <w:rsid w:val="0C062F64"/>
    <w:rsid w:val="0F0A7121"/>
    <w:rsid w:val="0F18115A"/>
    <w:rsid w:val="0F4B3357"/>
    <w:rsid w:val="0F6F185A"/>
    <w:rsid w:val="0FDC5FFD"/>
    <w:rsid w:val="10453C3E"/>
    <w:rsid w:val="110B4A33"/>
    <w:rsid w:val="136923D4"/>
    <w:rsid w:val="14FB646C"/>
    <w:rsid w:val="15BB6F18"/>
    <w:rsid w:val="16450AA0"/>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752E9C"/>
    <w:rsid w:val="20ED716B"/>
    <w:rsid w:val="21420662"/>
    <w:rsid w:val="2190427C"/>
    <w:rsid w:val="23EF6F51"/>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E3D77"/>
    <w:rsid w:val="30533016"/>
    <w:rsid w:val="30B80E03"/>
    <w:rsid w:val="321FC31B"/>
    <w:rsid w:val="33255290"/>
    <w:rsid w:val="33C70BDE"/>
    <w:rsid w:val="33D877D8"/>
    <w:rsid w:val="34683D01"/>
    <w:rsid w:val="34F42B08"/>
    <w:rsid w:val="35AE68A5"/>
    <w:rsid w:val="35D13538"/>
    <w:rsid w:val="364160A3"/>
    <w:rsid w:val="36CD16A7"/>
    <w:rsid w:val="37ED7A3F"/>
    <w:rsid w:val="37FD65C0"/>
    <w:rsid w:val="38E64707"/>
    <w:rsid w:val="397228F1"/>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D54E93"/>
    <w:rsid w:val="49E56F9C"/>
    <w:rsid w:val="4A926FD7"/>
    <w:rsid w:val="4CDF7E46"/>
    <w:rsid w:val="4D1675E0"/>
    <w:rsid w:val="4D4375BB"/>
    <w:rsid w:val="4D7B72EF"/>
    <w:rsid w:val="4DA46A85"/>
    <w:rsid w:val="4DD15688"/>
    <w:rsid w:val="4F070E89"/>
    <w:rsid w:val="4F374648"/>
    <w:rsid w:val="4F4451D2"/>
    <w:rsid w:val="50F639B0"/>
    <w:rsid w:val="51237888"/>
    <w:rsid w:val="51BA42A7"/>
    <w:rsid w:val="520F6E89"/>
    <w:rsid w:val="53203621"/>
    <w:rsid w:val="54DA00D3"/>
    <w:rsid w:val="54FB28C2"/>
    <w:rsid w:val="554E0C20"/>
    <w:rsid w:val="568F07C7"/>
    <w:rsid w:val="57252998"/>
    <w:rsid w:val="59364BCE"/>
    <w:rsid w:val="594237DC"/>
    <w:rsid w:val="59545D2F"/>
    <w:rsid w:val="59B56326"/>
    <w:rsid w:val="5A0C4685"/>
    <w:rsid w:val="5A172DBD"/>
    <w:rsid w:val="5A553285"/>
    <w:rsid w:val="5AB43B01"/>
    <w:rsid w:val="5AFF9D65"/>
    <w:rsid w:val="5B3BC4C0"/>
    <w:rsid w:val="5B701D17"/>
    <w:rsid w:val="5BBBA5AA"/>
    <w:rsid w:val="5CAC4743"/>
    <w:rsid w:val="5D55237F"/>
    <w:rsid w:val="5E051DBB"/>
    <w:rsid w:val="5F0233E9"/>
    <w:rsid w:val="5F12091C"/>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8"/>
    <w:link w:val="5"/>
    <w:qFormat/>
    <w:uiPriority w:val="0"/>
    <w:rPr>
      <w:rFonts w:ascii="宋体" w:hAnsi="宋体"/>
      <w:kern w:val="2"/>
      <w:sz w:val="18"/>
      <w:szCs w:val="18"/>
    </w:rPr>
  </w:style>
  <w:style w:type="character" w:customStyle="1" w:styleId="10">
    <w:name w:val="页脚 字符"/>
    <w:basedOn w:val="8"/>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3.xml" Type="http://schemas.openxmlformats.org/officeDocument/2006/relationships/footer"/><Relationship Id="rId11" Target="theme/theme1.xml" Type="http://schemas.openxmlformats.org/officeDocument/2006/relationships/theme"/><Relationship Id="rId12" Target="fontTable.xml" Type="http://schemas.openxmlformats.org/officeDocument/2006/relationships/fontTable"/><Relationship Id="rId2" Target="settings.xml" Type="http://schemas.openxmlformats.org/officeDocument/2006/relationships/settings"/><Relationship Id="rId3" Target="footnotes.xml" Type="http://schemas.openxmlformats.org/officeDocument/2006/relationships/footnotes"/><Relationship Id="rId4" Target="endnotes.xml" Type="http://schemas.openxmlformats.org/officeDocument/2006/relationships/endnotes"/><Relationship Id="rId5" Target="header1.xml" Type="http://schemas.openxmlformats.org/officeDocument/2006/relationships/header"/><Relationship Id="rId6" Target="header2.xml" Type="http://schemas.openxmlformats.org/officeDocument/2006/relationships/header"/><Relationship Id="rId7" Target="header3.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459</Words>
  <Characters>1415</Characters>
  <Lines>16</Lines>
  <Paragraphs>4</Paragraphs>
  <TotalTime>140</TotalTime>
  <ScaleCrop>false</ScaleCrop>
  <LinksUpToDate>false</LinksUpToDate>
  <CharactersWithSpaces>1428</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2021-01-21T07:13:00Z</dcterms:created>
  <dc:creator>Administrator</dc:creator>
  <cp:lastModifiedBy>.</cp:lastModifiedBy>
  <dcterms:modified xsi:type="dcterms:W3CDTF">2025-02-12T11:36:45Z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1E783D06E0A64A039549809408296BD7_13</vt:lpwstr>
  </property>
</Properties>
</file>