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DC3E">
      <w:pPr>
        <w:spacing w:line="360" w:lineRule="auto"/>
        <w:jc w:val="center"/>
        <w:rPr>
          <w:rFonts w:ascii="宋体" w:hAnsi="宋体"/>
          <w:sz w:val="24"/>
        </w:rPr>
      </w:pPr>
    </w:p>
    <w:p w14:paraId="781F0199">
      <w:pPr>
        <w:spacing w:line="360" w:lineRule="auto"/>
        <w:jc w:val="center"/>
        <w:rPr>
          <w:rFonts w:ascii="宋体" w:hAnsi="宋体"/>
          <w:sz w:val="24"/>
        </w:rPr>
      </w:pPr>
    </w:p>
    <w:p w14:paraId="588D4AEF">
      <w:pPr>
        <w:spacing w:line="360" w:lineRule="auto"/>
        <w:jc w:val="center"/>
        <w:rPr>
          <w:rFonts w:ascii="宋体" w:hAnsi="宋体"/>
          <w:sz w:val="24"/>
        </w:rPr>
      </w:pPr>
    </w:p>
    <w:p w14:paraId="3F809282">
      <w:pPr>
        <w:spacing w:line="360" w:lineRule="auto"/>
        <w:jc w:val="center"/>
        <w:rPr>
          <w:rFonts w:ascii="宋体" w:hAnsi="宋体"/>
          <w:sz w:val="24"/>
        </w:rPr>
      </w:pPr>
    </w:p>
    <w:p w14:paraId="42815D58">
      <w:pPr>
        <w:keepNext/>
        <w:keepLines/>
        <w:pageBreakBefore w:val="0"/>
        <w:tabs>
          <w:tab w:val="left" w:pos="6669"/>
        </w:tabs>
        <w:kinsoku/>
        <w:wordWrap/>
        <w:overflowPunct/>
        <w:topLinePunct w:val="0"/>
        <w:autoSpaceDE w:val="0"/>
        <w:autoSpaceDN w:val="0"/>
        <w:bidi w:val="0"/>
        <w:adjustRightInd w:val="0"/>
        <w:spacing w:beforeLines="0" w:afterLines="0" w:line="580" w:lineRule="exact"/>
        <w:ind w:left="198"/>
        <w:jc w:val="center"/>
        <w:textAlignment w:val="auto"/>
        <w:rPr>
          <w:rFonts w:hint="eastAsia" w:ascii="方正小标宋简体" w:hAnsi="方正小标宋简体" w:eastAsia="方正小标宋简体" w:cs="Times New Roman"/>
          <w:color w:val="auto"/>
          <w:kern w:val="2"/>
          <w:sz w:val="44"/>
          <w:szCs w:val="24"/>
          <w:lang w:eastAsia="zh-CN"/>
        </w:rPr>
      </w:pPr>
      <w:r>
        <w:rPr>
          <w:rFonts w:hint="eastAsia" w:ascii="方正小标宋简体" w:hAnsi="方正小标宋简体" w:eastAsia="方正小标宋简体" w:cs="Times New Roman"/>
          <w:color w:val="auto"/>
          <w:kern w:val="2"/>
          <w:sz w:val="44"/>
          <w:szCs w:val="24"/>
          <w:lang w:eastAsia="zh-CN"/>
        </w:rPr>
        <w:t>2024年度赤峰市机关事务管理局部门</w:t>
      </w:r>
    </w:p>
    <w:p w14:paraId="77E6C3D2">
      <w:pPr>
        <w:keepNext/>
        <w:keepLines/>
        <w:pageBreakBefore w:val="0"/>
        <w:tabs>
          <w:tab w:val="left" w:pos="6669"/>
        </w:tabs>
        <w:kinsoku/>
        <w:wordWrap/>
        <w:overflowPunct/>
        <w:topLinePunct w:val="0"/>
        <w:autoSpaceDE w:val="0"/>
        <w:autoSpaceDN w:val="0"/>
        <w:bidi w:val="0"/>
        <w:adjustRightInd w:val="0"/>
        <w:spacing w:beforeLines="0" w:afterLines="0" w:line="580" w:lineRule="exact"/>
        <w:ind w:left="198"/>
        <w:jc w:val="center"/>
        <w:textAlignment w:val="auto"/>
        <w:rPr>
          <w:rFonts w:hint="eastAsia" w:ascii="方正小标宋简体" w:hAnsi="方正小标宋简体" w:eastAsia="方正小标宋简体" w:cs="Times New Roman"/>
          <w:color w:val="auto"/>
          <w:kern w:val="2"/>
          <w:sz w:val="44"/>
          <w:szCs w:val="24"/>
          <w:lang w:eastAsia="zh-CN"/>
        </w:rPr>
      </w:pPr>
      <w:r>
        <w:rPr>
          <w:rFonts w:hint="eastAsia" w:ascii="方正小标宋简体" w:hAnsi="方正小标宋简体" w:eastAsia="方正小标宋简体" w:cs="Times New Roman"/>
          <w:color w:val="auto"/>
          <w:kern w:val="2"/>
          <w:sz w:val="44"/>
          <w:szCs w:val="24"/>
          <w:lang w:eastAsia="zh-CN"/>
        </w:rPr>
        <w:t>公开文档</w:t>
      </w:r>
    </w:p>
    <w:p w14:paraId="6AF33ABC">
      <w:pPr>
        <w:spacing w:line="360" w:lineRule="auto"/>
        <w:jc w:val="center"/>
        <w:rPr>
          <w:rFonts w:ascii="宋体" w:hAnsi="宋体"/>
          <w:b/>
          <w:bCs/>
          <w:sz w:val="52"/>
          <w:szCs w:val="52"/>
        </w:rPr>
      </w:pPr>
    </w:p>
    <w:p w14:paraId="10212A6C">
      <w:pPr>
        <w:spacing w:line="360" w:lineRule="auto"/>
        <w:jc w:val="center"/>
        <w:rPr>
          <w:rFonts w:ascii="宋体" w:hAnsi="宋体"/>
          <w:b/>
          <w:bCs/>
          <w:sz w:val="52"/>
          <w:szCs w:val="52"/>
        </w:rPr>
      </w:pPr>
    </w:p>
    <w:p w14:paraId="636528E7">
      <w:pPr>
        <w:spacing w:line="360" w:lineRule="auto"/>
        <w:jc w:val="center"/>
        <w:rPr>
          <w:rFonts w:ascii="宋体" w:hAnsi="宋体"/>
          <w:b/>
          <w:bCs/>
          <w:sz w:val="52"/>
          <w:szCs w:val="52"/>
        </w:rPr>
      </w:pPr>
    </w:p>
    <w:p w14:paraId="3ADF248C">
      <w:pPr>
        <w:spacing w:line="360" w:lineRule="auto"/>
        <w:jc w:val="center"/>
        <w:rPr>
          <w:rFonts w:ascii="宋体" w:hAnsi="宋体"/>
          <w:b/>
          <w:bCs/>
          <w:sz w:val="52"/>
          <w:szCs w:val="52"/>
        </w:rPr>
      </w:pPr>
    </w:p>
    <w:p w14:paraId="1D89E7A7">
      <w:pPr>
        <w:spacing w:line="360" w:lineRule="auto"/>
        <w:jc w:val="center"/>
        <w:rPr>
          <w:rFonts w:ascii="宋体" w:hAnsi="宋体"/>
          <w:b/>
          <w:bCs/>
          <w:sz w:val="52"/>
          <w:szCs w:val="52"/>
        </w:rPr>
      </w:pPr>
    </w:p>
    <w:p w14:paraId="6C9B9DF2">
      <w:pPr>
        <w:spacing w:line="360" w:lineRule="auto"/>
        <w:ind w:firstLine="2240" w:firstLineChars="700"/>
        <w:jc w:val="left"/>
        <w:rPr>
          <w:rFonts w:ascii="宋体" w:hAnsi="宋体"/>
          <w:sz w:val="32"/>
          <w:szCs w:val="32"/>
        </w:rPr>
      </w:pPr>
      <w:r>
        <w:rPr>
          <w:rFonts w:hint="eastAsia" w:ascii="宋体" w:hAnsi="宋体"/>
          <w:sz w:val="32"/>
          <w:szCs w:val="32"/>
        </w:rPr>
        <w:t>部门名称：赤峰市机关事务管理局</w:t>
      </w:r>
      <w:r>
        <w:rPr>
          <w:rFonts w:hint="eastAsia" w:ascii="宋体" w:hAnsi="宋体"/>
          <w:sz w:val="32"/>
          <w:szCs w:val="32"/>
          <w:lang w:eastAsia="zh-CN"/>
        </w:rPr>
        <w:t>（</w:t>
      </w:r>
      <w:r>
        <w:rPr>
          <w:rFonts w:hint="eastAsia" w:ascii="宋体" w:hAnsi="宋体"/>
          <w:sz w:val="32"/>
          <w:szCs w:val="32"/>
        </w:rPr>
        <w:t>部门</w:t>
      </w:r>
      <w:r>
        <w:rPr>
          <w:rFonts w:hint="eastAsia" w:ascii="宋体" w:hAnsi="宋体"/>
          <w:sz w:val="32"/>
          <w:szCs w:val="32"/>
          <w:lang w:eastAsia="zh-CN"/>
        </w:rPr>
        <w:t>）</w:t>
      </w:r>
    </w:p>
    <w:p w14:paraId="29073C42">
      <w:pPr>
        <w:spacing w:line="360" w:lineRule="auto"/>
        <w:ind w:firstLine="2240" w:firstLineChars="700"/>
        <w:jc w:val="left"/>
        <w:rPr>
          <w:rFonts w:ascii="宋体" w:hAnsi="宋体"/>
          <w:sz w:val="32"/>
          <w:szCs w:val="32"/>
        </w:rPr>
      </w:pPr>
      <w:r>
        <w:rPr>
          <w:rFonts w:hint="eastAsia" w:ascii="宋体" w:hAnsi="宋体"/>
          <w:sz w:val="32"/>
          <w:szCs w:val="32"/>
        </w:rPr>
        <w:t>单位负责人：李凌宇</w:t>
      </w:r>
    </w:p>
    <w:p w14:paraId="159F86D2">
      <w:pPr>
        <w:spacing w:line="360" w:lineRule="auto"/>
        <w:ind w:firstLine="2240" w:firstLineChars="700"/>
        <w:jc w:val="left"/>
        <w:rPr>
          <w:rFonts w:ascii="宋体" w:hAnsi="宋体"/>
          <w:sz w:val="32"/>
          <w:szCs w:val="32"/>
        </w:rPr>
      </w:pPr>
      <w:r>
        <w:rPr>
          <w:rFonts w:hint="eastAsia" w:ascii="宋体" w:hAnsi="宋体"/>
          <w:sz w:val="32"/>
          <w:szCs w:val="32"/>
        </w:rPr>
        <w:t>财务负责人：李娜</w:t>
      </w:r>
    </w:p>
    <w:p w14:paraId="2403EDC6">
      <w:pPr>
        <w:spacing w:line="360" w:lineRule="auto"/>
        <w:ind w:firstLine="2240" w:firstLineChars="700"/>
        <w:jc w:val="left"/>
        <w:rPr>
          <w:rFonts w:ascii="宋体" w:hAnsi="宋体"/>
          <w:sz w:val="32"/>
          <w:szCs w:val="32"/>
        </w:rPr>
      </w:pPr>
      <w:r>
        <w:rPr>
          <w:rFonts w:hint="eastAsia" w:ascii="宋体" w:hAnsi="宋体"/>
          <w:sz w:val="32"/>
          <w:szCs w:val="32"/>
        </w:rPr>
        <w:t>编制人：杨楠</w:t>
      </w:r>
    </w:p>
    <w:p w14:paraId="45C58358">
      <w:pPr>
        <w:spacing w:line="360" w:lineRule="auto"/>
        <w:ind w:firstLine="2240" w:firstLineChars="700"/>
        <w:jc w:val="left"/>
        <w:rPr>
          <w:rFonts w:ascii="宋体" w:hAnsi="宋体"/>
          <w:sz w:val="32"/>
          <w:szCs w:val="32"/>
        </w:rPr>
      </w:pPr>
      <w:r>
        <w:rPr>
          <w:rFonts w:hint="eastAsia" w:ascii="宋体" w:hAnsi="宋体"/>
          <w:sz w:val="32"/>
          <w:szCs w:val="32"/>
        </w:rPr>
        <w:t>报送日期：</w:t>
      </w:r>
      <w:r>
        <w:rPr>
          <w:rFonts w:ascii="宋体" w:hAnsi="宋体"/>
          <w:sz w:val="32"/>
          <w:szCs w:val="32"/>
        </w:rPr>
        <w:t>2025</w:t>
      </w:r>
      <w:r>
        <w:rPr>
          <w:rFonts w:hint="eastAsia" w:ascii="宋体" w:hAnsi="宋体"/>
          <w:sz w:val="32"/>
          <w:szCs w:val="32"/>
        </w:rPr>
        <w:t>年7月</w:t>
      </w:r>
    </w:p>
    <w:p w14:paraId="454CAC92">
      <w:pPr>
        <w:ind w:firstLine="2249" w:firstLineChars="700"/>
        <w:rPr>
          <w:rFonts w:ascii="仿宋" w:hAnsi="仿宋" w:eastAsia="仿宋"/>
          <w:b/>
          <w:sz w:val="32"/>
          <w:szCs w:val="32"/>
        </w:rPr>
        <w:sectPr>
          <w:footerReference r:id="rId3" w:type="default"/>
          <w:pgSz w:w="11906" w:h="16838"/>
          <w:pgMar w:top="1531" w:right="1474" w:bottom="1701" w:left="1474" w:header="0" w:footer="720" w:gutter="0"/>
          <w:cols w:space="0" w:num="1"/>
          <w:rtlGutter w:val="0"/>
          <w:docGrid w:type="lines" w:linePitch="312" w:charSpace="0"/>
        </w:sectPr>
      </w:pPr>
    </w:p>
    <w:p w14:paraId="1C9A9517">
      <w:pPr>
        <w:widowControl/>
        <w:spacing w:after="240"/>
        <w:jc w:val="center"/>
        <w:rPr>
          <w:rFonts w:ascii="fang_song_gb2312" w:hAnsi="fang_song_gb2312" w:eastAsia="fang_song_gb2312" w:cs="fang_song_gb2312"/>
          <w:b/>
          <w:bCs/>
          <w:kern w:val="0"/>
          <w:sz w:val="54"/>
          <w:szCs w:val="54"/>
        </w:rPr>
      </w:pPr>
      <w:bookmarkStart w:id="0" w:name="a000"/>
      <w:r>
        <w:rPr>
          <w:rFonts w:ascii="fang_song_gb2312" w:hAnsi="fang_song_gb2312" w:eastAsia="fang_song_gb2312" w:cs="fang_song_gb2312"/>
          <w:b/>
          <w:bCs/>
          <w:kern w:val="0"/>
          <w:sz w:val="54"/>
          <w:szCs w:val="54"/>
        </w:rPr>
        <w:t>目 录</w:t>
      </w:r>
    </w:p>
    <w:p w14:paraId="6BBE5DA8">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ascii="Times New Roman" w:hAnsi="Times New Roman" w:eastAsia="Times New Roman" w:cs="Times New Roman"/>
          <w:b/>
          <w:bCs/>
          <w:kern w:val="0"/>
          <w:sz w:val="24"/>
        </w:rPr>
        <w:t> </w:t>
      </w:r>
    </w:p>
    <w:p w14:paraId="415E9567">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hint="eastAsia" w:ascii="黑体" w:hAnsi="黑体" w:eastAsia="黑体" w:cs="Times New Roman"/>
          <w:color w:val="auto"/>
          <w:kern w:val="2"/>
          <w:sz w:val="32"/>
          <w:szCs w:val="24"/>
        </w:rPr>
        <w:t>第一部分 部门概况</w:t>
      </w:r>
    </w:p>
    <w:p w14:paraId="0E3CC76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一、主要职能、职责</w:t>
      </w:r>
    </w:p>
    <w:p w14:paraId="6F976A91">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二、部门机构设置及决算单位构成情况</w:t>
      </w:r>
    </w:p>
    <w:p w14:paraId="298DCC5C">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三、2024年度部门主要工作完成情况</w:t>
      </w:r>
    </w:p>
    <w:p w14:paraId="330B5566">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hint="eastAsia" w:ascii="黑体" w:hAnsi="黑体" w:eastAsia="黑体" w:cs="Times New Roman"/>
          <w:color w:val="auto"/>
          <w:kern w:val="2"/>
          <w:sz w:val="32"/>
          <w:szCs w:val="24"/>
        </w:rPr>
        <w:t>第二部分 部门决算情况说明</w:t>
      </w:r>
    </w:p>
    <w:p w14:paraId="50613BAE">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一、收入支出决算总体情况说明</w:t>
      </w:r>
    </w:p>
    <w:p w14:paraId="0B13D0A2">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二、收入决算情况说明</w:t>
      </w:r>
    </w:p>
    <w:p w14:paraId="430794F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三、支出决算情况说明</w:t>
      </w:r>
    </w:p>
    <w:p w14:paraId="1385A929">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四、财政拨款收入支出决算总体情况说明</w:t>
      </w:r>
    </w:p>
    <w:p w14:paraId="36C0B809">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五、一般公共预算财政拨款支出决算情况说明</w:t>
      </w:r>
    </w:p>
    <w:p w14:paraId="34324FFF">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六、一般公共预算财政拨款基本支出决算情况说明</w:t>
      </w:r>
    </w:p>
    <w:p w14:paraId="32CFE087">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七、一般公共预算财政拨款项目支出决算情况说明</w:t>
      </w:r>
    </w:p>
    <w:p w14:paraId="1E273394">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八、财政拨款“三公”经费支出决算情况说明</w:t>
      </w:r>
    </w:p>
    <w:p w14:paraId="3D8CCDB9">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九、政府性基金预算财政拨款支出决算情况说明</w:t>
      </w:r>
    </w:p>
    <w:p w14:paraId="38DF09F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十、国有资本经营预算财政拨款支出决算情况说明</w:t>
      </w:r>
    </w:p>
    <w:p w14:paraId="53DBC971">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十一、机构运行经费支出决算情况说明</w:t>
      </w:r>
    </w:p>
    <w:p w14:paraId="44776829">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十二、政府采购支出决算情况说明</w:t>
      </w:r>
    </w:p>
    <w:p w14:paraId="02675EFB">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十三、国有资产占用情况说明</w:t>
      </w:r>
    </w:p>
    <w:p w14:paraId="7A632B3D">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十四、预算绩效情况说明</w:t>
      </w:r>
    </w:p>
    <w:p w14:paraId="679E6E8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hint="eastAsia" w:ascii="黑体" w:hAnsi="黑体" w:eastAsia="黑体" w:cs="Times New Roman"/>
          <w:color w:val="auto"/>
          <w:kern w:val="2"/>
          <w:sz w:val="32"/>
          <w:szCs w:val="24"/>
        </w:rPr>
        <w:t>第三部分 名词解释</w:t>
      </w:r>
    </w:p>
    <w:p w14:paraId="45660FC6">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hint="eastAsia" w:ascii="黑体" w:hAnsi="黑体" w:eastAsia="黑体" w:cs="Times New Roman"/>
          <w:color w:val="auto"/>
          <w:kern w:val="2"/>
          <w:sz w:val="32"/>
          <w:szCs w:val="24"/>
        </w:rPr>
        <w:t>第四部分 决算公开联系方式及信息反馈渠道</w:t>
      </w:r>
    </w:p>
    <w:p w14:paraId="7BCE76B5">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黑体" w:hAnsi="黑体" w:eastAsia="黑体" w:cs="Times New Roman"/>
          <w:color w:val="auto"/>
          <w:kern w:val="2"/>
          <w:sz w:val="32"/>
          <w:szCs w:val="24"/>
        </w:rPr>
      </w:pPr>
      <w:r>
        <w:rPr>
          <w:rFonts w:hint="eastAsia" w:ascii="黑体" w:hAnsi="黑体" w:eastAsia="黑体" w:cs="Times New Roman"/>
          <w:color w:val="auto"/>
          <w:kern w:val="2"/>
          <w:sz w:val="32"/>
          <w:szCs w:val="24"/>
        </w:rPr>
        <w:t>第五部分 部门决算表</w:t>
      </w:r>
    </w:p>
    <w:p w14:paraId="6BFC2BA1">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一、收入支出决算总表</w:t>
      </w:r>
    </w:p>
    <w:p w14:paraId="3E49BBD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二、收入决算表</w:t>
      </w:r>
    </w:p>
    <w:p w14:paraId="57B305C6">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三、支出决算表</w:t>
      </w:r>
    </w:p>
    <w:p w14:paraId="311EE4A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四、财政拨款收入支出决算总表</w:t>
      </w:r>
    </w:p>
    <w:p w14:paraId="5537E494">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五、一般公共预算财政拨款支出决算表</w:t>
      </w:r>
    </w:p>
    <w:p w14:paraId="1F0D6BA6">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六、一般公共预算财政拨款基本支出决算明细表</w:t>
      </w:r>
    </w:p>
    <w:p w14:paraId="6F2F6DED">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七、一般公共预算财政拨款项目支出决算明细表</w:t>
      </w:r>
    </w:p>
    <w:p w14:paraId="0B828009">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八、政府性基金预算财政拨款收入支出决算表</w:t>
      </w:r>
    </w:p>
    <w:p w14:paraId="4A8DB2DF">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九、国有资本经营预算财政拨款支出决算表</w:t>
      </w:r>
    </w:p>
    <w:p w14:paraId="3CA9D1C5">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十、财政拨款“三公”经费支出决算表</w:t>
      </w:r>
    </w:p>
    <w:p w14:paraId="67CC63F6">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十一、机构运行经费支出、国有资产占用情况及政府采购支出信息表</w:t>
      </w:r>
    </w:p>
    <w:p w14:paraId="50F1FE3E">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53366381">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29F96493">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7D981250">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7177DBAA">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4FB08FD2">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52F4E1C3">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38B2EF77">
      <w:pPr>
        <w:pageBreakBefore w:val="0"/>
        <w:kinsoku/>
        <w:wordWrap/>
        <w:overflowPunct/>
        <w:topLinePunct w:val="0"/>
        <w:autoSpaceDE w:val="0"/>
        <w:autoSpaceDN w:val="0"/>
        <w:bidi w:val="0"/>
        <w:adjustRightInd w:val="0"/>
        <w:spacing w:beforeLines="0" w:afterLines="0" w:line="580" w:lineRule="exact"/>
        <w:jc w:val="both"/>
        <w:textAlignment w:val="auto"/>
        <w:rPr>
          <w:rFonts w:hint="eastAsia" w:ascii="仿宋_GB2312" w:hAnsi="仿宋_GB2312" w:eastAsia="仿宋_GB2312" w:cs="Times New Roman"/>
          <w:color w:val="auto"/>
          <w:kern w:val="2"/>
          <w:sz w:val="32"/>
          <w:szCs w:val="24"/>
        </w:rPr>
      </w:pPr>
    </w:p>
    <w:p w14:paraId="72873A82">
      <w:pPr>
        <w:pStyle w:val="3"/>
        <w:keepNext w:val="0"/>
        <w:keepLines w:val="0"/>
        <w:widowControl/>
        <w:spacing w:before="299" w:after="299" w:line="240" w:lineRule="auto"/>
        <w:jc w:val="center"/>
        <w:rPr>
          <w:rFonts w:hint="eastAsia" w:ascii="fang_zheng_xiao_biao_song_ti" w:hAnsi="fang_zheng_xiao_biao_song_ti" w:eastAsia="fang_zheng_xiao_biao_song_ti" w:cs="fang_zheng_xiao_biao_song_ti"/>
          <w:kern w:val="0"/>
          <w:sz w:val="36"/>
          <w:szCs w:val="36"/>
        </w:rPr>
      </w:pPr>
      <w:r>
        <w:rPr>
          <w:rFonts w:hint="eastAsia" w:ascii="fang_zheng_xiao_biao_song_ti" w:hAnsi="fang_zheng_xiao_biao_song_ti" w:eastAsia="fang_zheng_xiao_biao_song_ti" w:cs="fang_zheng_xiao_biao_song_ti"/>
          <w:kern w:val="0"/>
          <w:sz w:val="36"/>
          <w:szCs w:val="36"/>
        </w:rPr>
        <w:t>第一部分 部门概况</w:t>
      </w:r>
    </w:p>
    <w:p w14:paraId="36F4EEDB">
      <w:pPr>
        <w:widowControl/>
        <w:spacing w:before="240" w:after="240"/>
        <w:ind w:firstLine="643" w:firstLineChars="200"/>
        <w:jc w:val="left"/>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一、主要职能、职责</w:t>
      </w:r>
    </w:p>
    <w:p w14:paraId="381B20D2">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1</w:t>
      </w:r>
      <w:r>
        <w:rPr>
          <w:rFonts w:hint="eastAsia" w:ascii="仿宋_GB2312" w:hAnsi="仿宋" w:eastAsia="仿宋_GB2312"/>
          <w:sz w:val="32"/>
          <w:szCs w:val="24"/>
        </w:rPr>
        <w:t>）拟订全市机关事务工作的政策、规划和规章制度并组织实施。统筹组织、指导、监督全市机关事务的管理、保障和服务工作。指导旗县区机关事务工作。</w:t>
      </w:r>
    </w:p>
    <w:p w14:paraId="2C096655">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2</w:t>
      </w:r>
      <w:r>
        <w:rPr>
          <w:rFonts w:hint="eastAsia" w:ascii="仿宋_GB2312" w:hAnsi="仿宋" w:eastAsia="仿宋_GB2312"/>
          <w:sz w:val="32"/>
          <w:szCs w:val="24"/>
        </w:rPr>
        <w:t>）负责全市机关、事业单位公务用车管理工作。拟订全市公务用车配备使用管理办法并指导实施。组织推进公务用车制度改革。负责全市公务用车编制管理工作。指导监督市直机关公务用车的日常管理工作，会同有关</w:t>
      </w:r>
      <w:r>
        <w:rPr>
          <w:rFonts w:hint="eastAsia" w:ascii="仿宋_GB2312" w:hAnsi="仿宋" w:eastAsia="仿宋_GB2312"/>
          <w:sz w:val="32"/>
          <w:szCs w:val="24"/>
          <w:lang w:eastAsia="zh-CN"/>
        </w:rPr>
        <w:t>单位</w:t>
      </w:r>
      <w:r>
        <w:rPr>
          <w:rFonts w:hint="eastAsia" w:ascii="仿宋_GB2312" w:hAnsi="仿宋" w:eastAsia="仿宋_GB2312"/>
          <w:sz w:val="32"/>
          <w:szCs w:val="24"/>
        </w:rPr>
        <w:t>办理市直机关、事业单位公务用车的配备、更新、处置及标准审核工作。规范和指导市本级过渡性公务用车服务平台的运行管理。</w:t>
      </w:r>
    </w:p>
    <w:p w14:paraId="5BA4D4D2">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3</w:t>
      </w:r>
      <w:r>
        <w:rPr>
          <w:rFonts w:hint="eastAsia" w:ascii="仿宋_GB2312" w:hAnsi="仿宋" w:eastAsia="仿宋_GB2312"/>
          <w:sz w:val="32"/>
          <w:szCs w:val="24"/>
        </w:rPr>
        <w:t>）指导监督全市机关、事业单位办公用房使用管理工作。承担市直机关、事业单位办公用房的规划编制、权属登记、使用调配工作，会同有关</w:t>
      </w:r>
      <w:r>
        <w:rPr>
          <w:rFonts w:hint="eastAsia" w:ascii="仿宋_GB2312" w:hAnsi="仿宋" w:eastAsia="仿宋_GB2312"/>
          <w:sz w:val="32"/>
          <w:szCs w:val="24"/>
          <w:lang w:eastAsia="zh-CN"/>
        </w:rPr>
        <w:t>单位</w:t>
      </w:r>
      <w:r>
        <w:rPr>
          <w:rFonts w:hint="eastAsia" w:ascii="仿宋_GB2312" w:hAnsi="仿宋" w:eastAsia="仿宋_GB2312"/>
          <w:sz w:val="32"/>
          <w:szCs w:val="24"/>
        </w:rPr>
        <w:t>指导监督办公用房的处置、改造、维修等工作。组织完成全市党政机关办公用房清理整改任务，推动建立长效管理机制。</w:t>
      </w:r>
    </w:p>
    <w:p w14:paraId="680D95C5">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4</w:t>
      </w:r>
      <w:r>
        <w:rPr>
          <w:rFonts w:hint="eastAsia" w:ascii="仿宋_GB2312" w:hAnsi="仿宋" w:eastAsia="仿宋_GB2312"/>
          <w:sz w:val="32"/>
          <w:szCs w:val="24"/>
        </w:rPr>
        <w:t>）负责全市公共机构节约能源资源工作。拟订全市公共机构节能工作规划，制订有关制度、规范、标准并指导实施。承担推进、指导、协调、监督全市公共机构节能的具体工作。监督指导市本级公共机构节能工作，开展公共机构节能宣传、教育和培训等工作。</w:t>
      </w:r>
    </w:p>
    <w:p w14:paraId="134BEA78">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5</w:t>
      </w:r>
      <w:r>
        <w:rPr>
          <w:rFonts w:hint="eastAsia" w:ascii="仿宋_GB2312" w:hAnsi="仿宋" w:eastAsia="仿宋_GB2312"/>
          <w:sz w:val="32"/>
          <w:szCs w:val="24"/>
        </w:rPr>
        <w:t>）负责全市公务接待管理工作。完善公务接待管理相关制度，制定公务接待标准并监督实施。指导监督市本级各</w:t>
      </w:r>
      <w:r>
        <w:rPr>
          <w:rFonts w:hint="eastAsia" w:ascii="仿宋_GB2312" w:hAnsi="仿宋" w:eastAsia="仿宋_GB2312"/>
          <w:sz w:val="32"/>
          <w:szCs w:val="24"/>
          <w:lang w:eastAsia="zh-CN"/>
        </w:rPr>
        <w:t>单位</w:t>
      </w:r>
      <w:r>
        <w:rPr>
          <w:rFonts w:hint="eastAsia" w:ascii="仿宋_GB2312" w:hAnsi="仿宋" w:eastAsia="仿宋_GB2312"/>
          <w:sz w:val="32"/>
          <w:szCs w:val="24"/>
        </w:rPr>
        <w:t>和各旗县区党政机关的公务接待工作。推进全市公务接待服务社会化改革，有效利用社会资源为公务接待提供住宿、用餐、用车等服务。</w:t>
      </w:r>
    </w:p>
    <w:p w14:paraId="1B147A9C">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6</w:t>
      </w:r>
      <w:r>
        <w:rPr>
          <w:rFonts w:hint="eastAsia" w:ascii="仿宋_GB2312" w:hAnsi="仿宋" w:eastAsia="仿宋_GB2312"/>
          <w:sz w:val="32"/>
          <w:szCs w:val="24"/>
        </w:rPr>
        <w:t>）拟订市本级机关后勤体制改革政策、制度，确定机关后勤服务项目和定额标准并监督实施。组织推进机关后勤服务的社会化改革工作。</w:t>
      </w:r>
    </w:p>
    <w:p w14:paraId="17704DBB">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7</w:t>
      </w:r>
      <w:r>
        <w:rPr>
          <w:rFonts w:hint="eastAsia" w:ascii="仿宋_GB2312" w:hAnsi="仿宋" w:eastAsia="仿宋_GB2312"/>
          <w:sz w:val="32"/>
          <w:szCs w:val="24"/>
        </w:rPr>
        <w:t>）会同有关</w:t>
      </w:r>
      <w:r>
        <w:rPr>
          <w:rFonts w:hint="eastAsia" w:ascii="仿宋_GB2312" w:hAnsi="仿宋" w:eastAsia="仿宋_GB2312"/>
          <w:sz w:val="32"/>
          <w:szCs w:val="24"/>
          <w:lang w:eastAsia="zh-CN"/>
        </w:rPr>
        <w:t>单位</w:t>
      </w:r>
      <w:r>
        <w:rPr>
          <w:rFonts w:hint="eastAsia" w:ascii="仿宋_GB2312" w:hAnsi="仿宋" w:eastAsia="仿宋_GB2312"/>
          <w:sz w:val="32"/>
          <w:szCs w:val="24"/>
        </w:rPr>
        <w:t>对违反机关事务管理制度、执行标准的行为依法调查核实，并提出处理意见。</w:t>
      </w:r>
    </w:p>
    <w:p w14:paraId="17027910">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sz w:val="32"/>
          <w:szCs w:val="24"/>
        </w:rPr>
      </w:pPr>
      <w:r>
        <w:rPr>
          <w:rFonts w:hint="eastAsia" w:ascii="仿宋_GB2312" w:hAnsi="仿宋" w:eastAsia="仿宋_GB2312"/>
          <w:sz w:val="32"/>
          <w:szCs w:val="24"/>
        </w:rPr>
        <w:t>（</w:t>
      </w:r>
      <w:r>
        <w:rPr>
          <w:rFonts w:hint="eastAsia" w:ascii="仿宋_GB2312" w:hAnsi="仿宋" w:eastAsia="仿宋_GB2312"/>
          <w:sz w:val="32"/>
          <w:szCs w:val="24"/>
          <w:lang w:val="en-US" w:eastAsia="zh-CN"/>
        </w:rPr>
        <w:t>8</w:t>
      </w:r>
      <w:r>
        <w:rPr>
          <w:rFonts w:hint="eastAsia" w:ascii="仿宋_GB2312" w:hAnsi="仿宋" w:eastAsia="仿宋_GB2312"/>
          <w:sz w:val="32"/>
          <w:szCs w:val="24"/>
        </w:rPr>
        <w:t>）完成市委、市政府交办的其他工作。</w:t>
      </w:r>
    </w:p>
    <w:p w14:paraId="61CB56BA">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pPr>
      <w:r>
        <w:rPr>
          <w:rFonts w:hint="eastAsia" w:ascii="仿宋_GB2312" w:hAnsi="仿宋" w:eastAsia="仿宋_GB2312" w:cs="Times New Roman"/>
          <w:sz w:val="32"/>
          <w:szCs w:val="24"/>
          <w:lang w:val="en-US" w:eastAsia="zh-CN"/>
        </w:rPr>
        <w:t>赤峰市直属机关后勤保障中心为市机关事务管理局所属公益一类事业单位，其主要职能为：承担市直党政机关及综合行政执法公务用车保障工作；承担副厅级以上公务接待对象、代表国家或自治区层面的工作团组、区内外相关来访团组以及其他重要宾客的具体接待服务保障工作；承担市党政综合楼办公区职责范围内的物业服务、设施设备运行维护及维修改造等工作；承担厅级领导干部周转住房的后勤服务保障相关工作；承担市党政综合楼会议室统筹调度、维修维护及会议服务保障工作。</w:t>
      </w:r>
    </w:p>
    <w:p w14:paraId="61AA6608">
      <w:pPr>
        <w:widowControl/>
        <w:spacing w:before="240" w:after="240"/>
        <w:ind w:firstLine="643" w:firstLineChars="200"/>
        <w:jc w:val="left"/>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二、部门机构设置及决算单位构成情况</w:t>
      </w:r>
    </w:p>
    <w:p w14:paraId="19030306">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cs="Times New Roman"/>
          <w:sz w:val="32"/>
          <w:szCs w:val="24"/>
          <w:lang w:val="en-US" w:eastAsia="zh-CN"/>
        </w:rPr>
      </w:pPr>
      <w:r>
        <w:rPr>
          <w:rFonts w:hint="eastAsia" w:ascii="仿宋_GB2312" w:hAnsi="仿宋" w:eastAsia="仿宋_GB2312" w:cs="Times New Roman"/>
          <w:sz w:val="32"/>
          <w:szCs w:val="24"/>
          <w:lang w:val="en-US" w:eastAsia="zh-CN"/>
        </w:rPr>
        <w:t>1.根据部门职责分工，本部门内设机构包括下设4个内设科室及机关党组织。本部门下属单位包括：赤峰市直属机关后勤保障中心。</w:t>
      </w:r>
    </w:p>
    <w:p w14:paraId="43D1C4AA">
      <w:pPr>
        <w:keepNext w:val="0"/>
        <w:keepLines w:val="0"/>
        <w:pageBreakBefore w:val="0"/>
        <w:widowControl w:val="0"/>
        <w:kinsoku/>
        <w:wordWrap/>
        <w:overflowPunct/>
        <w:topLinePunct w:val="0"/>
        <w:autoSpaceDE/>
        <w:autoSpaceDN/>
        <w:bidi w:val="0"/>
        <w:adjustRightInd/>
        <w:snapToGrid w:val="0"/>
        <w:spacing w:beforeLines="0" w:afterLines="0" w:line="580" w:lineRule="exact"/>
        <w:ind w:firstLine="640" w:firstLineChars="200"/>
        <w:textAlignment w:val="auto"/>
        <w:rPr>
          <w:rFonts w:hint="eastAsia" w:ascii="仿宋_GB2312" w:hAnsi="仿宋" w:eastAsia="仿宋_GB2312" w:cs="Times New Roman"/>
          <w:sz w:val="32"/>
          <w:szCs w:val="24"/>
          <w:lang w:val="en-US" w:eastAsia="zh-CN"/>
        </w:rPr>
      </w:pPr>
      <w:r>
        <w:rPr>
          <w:rFonts w:hint="eastAsia" w:ascii="仿宋_GB2312" w:hAnsi="仿宋" w:eastAsia="仿宋_GB2312" w:cs="Times New Roman"/>
          <w:sz w:val="32"/>
          <w:szCs w:val="24"/>
          <w:lang w:val="en-US" w:eastAsia="zh-CN"/>
        </w:rPr>
        <w:t>2.从决算单位构成看，纳入本部门2024年部门汇总决算编制范围的预算单位共计2家，具体包括：赤峰市机关事务管理局部门本级、赤峰市直属机关后勤保障中心。详细情况见表：</w:t>
      </w:r>
    </w:p>
    <w:tbl>
      <w:tblPr>
        <w:tblStyle w:val="2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6"/>
        <w:gridCol w:w="4975"/>
        <w:gridCol w:w="3814"/>
      </w:tblGrid>
      <w:tr w14:paraId="2719EF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 w:type="dxa"/>
            <w:tcBorders>
              <w:top w:val="single" w:color="auto" w:sz="6" w:space="0"/>
              <w:left w:val="single" w:color="auto" w:sz="6" w:space="0"/>
              <w:bottom w:val="single" w:color="auto" w:sz="6" w:space="0"/>
              <w:right w:val="single" w:color="auto" w:sz="6" w:space="0"/>
              <w:tl2br w:val="nil"/>
              <w:tr2bl w:val="nil"/>
            </w:tcBorders>
            <w:noWrap w:val="0"/>
            <w:vAlign w:val="top"/>
          </w:tcPr>
          <w:p w14:paraId="22084017">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000000"/>
                <w:sz w:val="31"/>
                <w:szCs w:val="24"/>
              </w:rPr>
              <w:t>序号</w:t>
            </w:r>
          </w:p>
        </w:tc>
        <w:tc>
          <w:tcPr>
            <w:tcW w:w="4975" w:type="dxa"/>
            <w:tcBorders>
              <w:top w:val="single" w:color="auto" w:sz="6" w:space="0"/>
              <w:left w:val="single" w:color="auto" w:sz="6" w:space="0"/>
              <w:bottom w:val="single" w:color="auto" w:sz="6" w:space="0"/>
              <w:right w:val="single" w:color="auto" w:sz="6" w:space="0"/>
              <w:tl2br w:val="nil"/>
              <w:tr2bl w:val="nil"/>
            </w:tcBorders>
            <w:noWrap w:val="0"/>
            <w:vAlign w:val="top"/>
          </w:tcPr>
          <w:p w14:paraId="4E78B73F">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000000"/>
                <w:sz w:val="31"/>
                <w:szCs w:val="24"/>
              </w:rPr>
              <w:t>单位名称</w:t>
            </w:r>
          </w:p>
        </w:tc>
        <w:tc>
          <w:tcPr>
            <w:tcW w:w="3814" w:type="dxa"/>
            <w:tcBorders>
              <w:top w:val="single" w:color="auto" w:sz="6" w:space="0"/>
              <w:left w:val="single" w:color="auto" w:sz="6" w:space="0"/>
              <w:bottom w:val="single" w:color="auto" w:sz="6" w:space="0"/>
              <w:right w:val="single" w:color="auto" w:sz="6" w:space="0"/>
              <w:tl2br w:val="nil"/>
              <w:tr2bl w:val="nil"/>
            </w:tcBorders>
            <w:noWrap w:val="0"/>
            <w:vAlign w:val="top"/>
          </w:tcPr>
          <w:p w14:paraId="0D74DD6B">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000000"/>
                <w:sz w:val="31"/>
                <w:szCs w:val="24"/>
              </w:rPr>
              <w:t>单位性质</w:t>
            </w:r>
          </w:p>
        </w:tc>
      </w:tr>
      <w:tr w14:paraId="0B07E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 w:type="dxa"/>
            <w:tcBorders>
              <w:top w:val="single" w:color="auto" w:sz="6" w:space="0"/>
              <w:left w:val="single" w:color="auto" w:sz="6" w:space="0"/>
              <w:bottom w:val="single" w:color="auto" w:sz="6" w:space="0"/>
              <w:right w:val="single" w:color="auto" w:sz="6" w:space="0"/>
              <w:tl2br w:val="nil"/>
              <w:tr2bl w:val="nil"/>
            </w:tcBorders>
            <w:noWrap w:val="0"/>
            <w:vAlign w:val="top"/>
          </w:tcPr>
          <w:p w14:paraId="7D0AD011">
            <w:pPr>
              <w:spacing w:beforeLines="0" w:afterLines="0"/>
              <w:jc w:val="center"/>
              <w:rPr>
                <w:rFonts w:hint="eastAsia" w:ascii="Times New Roman" w:hAnsi="Times New Roman" w:eastAsia="Times New Roman"/>
                <w:color w:val="000000"/>
                <w:sz w:val="31"/>
                <w:szCs w:val="24"/>
              </w:rPr>
            </w:pPr>
            <w:r>
              <w:rPr>
                <w:rFonts w:hint="eastAsia" w:ascii="Times New Roman" w:hAnsi="Times New Roman" w:eastAsia="Times New Roman"/>
                <w:color w:val="000000"/>
                <w:sz w:val="31"/>
                <w:szCs w:val="24"/>
              </w:rPr>
              <w:t>1</w:t>
            </w:r>
          </w:p>
        </w:tc>
        <w:tc>
          <w:tcPr>
            <w:tcW w:w="4975" w:type="dxa"/>
            <w:tcBorders>
              <w:top w:val="single" w:color="auto" w:sz="6" w:space="0"/>
              <w:left w:val="single" w:color="auto" w:sz="6" w:space="0"/>
              <w:bottom w:val="single" w:color="auto" w:sz="6" w:space="0"/>
              <w:right w:val="single" w:color="auto" w:sz="6" w:space="0"/>
              <w:tl2br w:val="nil"/>
              <w:tr2bl w:val="nil"/>
            </w:tcBorders>
            <w:noWrap w:val="0"/>
            <w:vAlign w:val="top"/>
          </w:tcPr>
          <w:p w14:paraId="261EE02A">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auto"/>
                <w:sz w:val="32"/>
                <w:szCs w:val="24"/>
                <w:lang w:eastAsia="zh-CN"/>
              </w:rPr>
              <w:t>赤峰市机关事务管理局（本级）</w:t>
            </w:r>
          </w:p>
        </w:tc>
        <w:tc>
          <w:tcPr>
            <w:tcW w:w="3814" w:type="dxa"/>
            <w:tcBorders>
              <w:top w:val="single" w:color="auto" w:sz="6" w:space="0"/>
              <w:left w:val="single" w:color="auto" w:sz="6" w:space="0"/>
              <w:bottom w:val="single" w:color="auto" w:sz="6" w:space="0"/>
              <w:right w:val="single" w:color="auto" w:sz="6" w:space="0"/>
              <w:tl2br w:val="nil"/>
              <w:tr2bl w:val="nil"/>
            </w:tcBorders>
            <w:noWrap w:val="0"/>
            <w:vAlign w:val="top"/>
          </w:tcPr>
          <w:p w14:paraId="2019786C">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000000"/>
                <w:sz w:val="31"/>
                <w:szCs w:val="24"/>
              </w:rPr>
              <w:t>财政拨款的行政单位</w:t>
            </w:r>
          </w:p>
        </w:tc>
      </w:tr>
      <w:tr w14:paraId="5EF6DF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 w:type="dxa"/>
            <w:tcBorders>
              <w:top w:val="single" w:color="auto" w:sz="6" w:space="0"/>
              <w:left w:val="single" w:color="auto" w:sz="6" w:space="0"/>
              <w:bottom w:val="single" w:color="auto" w:sz="6" w:space="0"/>
              <w:right w:val="single" w:color="auto" w:sz="6" w:space="0"/>
              <w:tl2br w:val="nil"/>
              <w:tr2bl w:val="nil"/>
            </w:tcBorders>
            <w:noWrap w:val="0"/>
            <w:vAlign w:val="top"/>
          </w:tcPr>
          <w:p w14:paraId="64C3A8D7">
            <w:pPr>
              <w:spacing w:beforeLines="0" w:afterLines="0"/>
              <w:jc w:val="center"/>
              <w:rPr>
                <w:rFonts w:hint="eastAsia" w:ascii="Times New Roman" w:hAnsi="Times New Roman" w:eastAsia="Times New Roman"/>
                <w:color w:val="000000"/>
                <w:sz w:val="31"/>
                <w:szCs w:val="24"/>
              </w:rPr>
            </w:pPr>
            <w:r>
              <w:rPr>
                <w:rFonts w:hint="eastAsia" w:ascii="Times New Roman" w:hAnsi="Times New Roman" w:eastAsia="Times New Roman"/>
                <w:color w:val="000000"/>
                <w:sz w:val="31"/>
                <w:szCs w:val="24"/>
              </w:rPr>
              <w:t>2</w:t>
            </w:r>
          </w:p>
        </w:tc>
        <w:tc>
          <w:tcPr>
            <w:tcW w:w="4975" w:type="dxa"/>
            <w:tcBorders>
              <w:top w:val="single" w:color="auto" w:sz="6" w:space="0"/>
              <w:left w:val="single" w:color="auto" w:sz="6" w:space="0"/>
              <w:bottom w:val="single" w:color="auto" w:sz="6" w:space="0"/>
              <w:right w:val="single" w:color="auto" w:sz="6" w:space="0"/>
              <w:tl2br w:val="nil"/>
              <w:tr2bl w:val="nil"/>
            </w:tcBorders>
            <w:noWrap w:val="0"/>
            <w:vAlign w:val="top"/>
          </w:tcPr>
          <w:p w14:paraId="471EAEA8">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auto"/>
                <w:sz w:val="32"/>
                <w:szCs w:val="24"/>
                <w:lang w:eastAsia="zh-CN"/>
              </w:rPr>
              <w:t>赤峰市</w:t>
            </w:r>
            <w:r>
              <w:rPr>
                <w:rFonts w:hint="eastAsia" w:ascii="仿宋_GB2312" w:hAnsi="仿宋_GB2312" w:eastAsia="仿宋_GB2312"/>
                <w:color w:val="auto"/>
                <w:sz w:val="32"/>
                <w:szCs w:val="24"/>
              </w:rPr>
              <w:t>直属机关后勤保障中心</w:t>
            </w:r>
          </w:p>
        </w:tc>
        <w:tc>
          <w:tcPr>
            <w:tcW w:w="3814" w:type="dxa"/>
            <w:tcBorders>
              <w:top w:val="single" w:color="auto" w:sz="6" w:space="0"/>
              <w:left w:val="single" w:color="auto" w:sz="6" w:space="0"/>
              <w:bottom w:val="single" w:color="auto" w:sz="6" w:space="0"/>
              <w:right w:val="single" w:color="auto" w:sz="6" w:space="0"/>
              <w:tl2br w:val="nil"/>
              <w:tr2bl w:val="nil"/>
            </w:tcBorders>
            <w:noWrap w:val="0"/>
            <w:vAlign w:val="top"/>
          </w:tcPr>
          <w:p w14:paraId="1AEB3BFD">
            <w:pPr>
              <w:spacing w:beforeLines="0" w:afterLines="0"/>
              <w:jc w:val="center"/>
              <w:rPr>
                <w:rFonts w:hint="eastAsia" w:ascii="Times New Roman" w:hAnsi="Times New Roman" w:eastAsia="Times New Roman"/>
                <w:color w:val="000000"/>
                <w:sz w:val="31"/>
                <w:szCs w:val="24"/>
              </w:rPr>
            </w:pPr>
            <w:r>
              <w:rPr>
                <w:rFonts w:hint="eastAsia" w:ascii="仿宋_GB2312" w:hAnsi="仿宋_GB2312" w:eastAsia="仿宋_GB2312"/>
                <w:color w:val="000000"/>
                <w:sz w:val="31"/>
                <w:szCs w:val="24"/>
              </w:rPr>
              <w:t>公益一类事业单位</w:t>
            </w:r>
          </w:p>
        </w:tc>
      </w:tr>
    </w:tbl>
    <w:p w14:paraId="621066D4">
      <w:pPr>
        <w:widowControl/>
        <w:spacing w:before="240" w:after="240"/>
        <w:ind w:firstLine="643" w:firstLineChars="200"/>
        <w:jc w:val="left"/>
        <w:rPr>
          <w:rFonts w:ascii="Times New Roman" w:hAnsi="Times New Roman" w:eastAsia="Times New Roman" w:cs="Times New Roman"/>
          <w:kern w:val="0"/>
          <w:sz w:val="24"/>
        </w:rPr>
      </w:pPr>
      <w:r>
        <w:rPr>
          <w:rFonts w:hint="eastAsia" w:ascii="黑体" w:hAnsi="黑体" w:eastAsia="黑体" w:cs="Times New Roman"/>
          <w:b/>
          <w:color w:val="auto"/>
          <w:kern w:val="2"/>
          <w:sz w:val="32"/>
          <w:szCs w:val="24"/>
        </w:rPr>
        <w:t>三、2024年度部门主要工作完成情况</w:t>
      </w:r>
    </w:p>
    <w:p w14:paraId="2399DA2E">
      <w:pPr>
        <w:keepNext w:val="0"/>
        <w:keepLines w:val="0"/>
        <w:pageBreakBefore w:val="0"/>
        <w:kinsoku/>
        <w:wordWrap/>
        <w:overflowPunct/>
        <w:topLinePunct w:val="0"/>
        <w:autoSpaceDE/>
        <w:autoSpaceDN/>
        <w:bidi w:val="0"/>
        <w:adjustRightInd/>
        <w:snapToGrid w:val="0"/>
        <w:spacing w:line="580" w:lineRule="exact"/>
        <w:ind w:firstLine="480" w:firstLineChars="200"/>
        <w:textAlignment w:val="auto"/>
        <w:rPr>
          <w:rFonts w:hint="eastAsia" w:ascii="仿宋_GB2312" w:hAnsi="仿宋" w:eastAsia="仿宋_GB2312" w:cs="Times New Roman"/>
          <w:sz w:val="32"/>
          <w:szCs w:val="24"/>
        </w:rPr>
      </w:pPr>
      <w:r>
        <w:rPr>
          <w:rFonts w:ascii="Times New Roman" w:hAnsi="Times New Roman" w:eastAsia="Times New Roman" w:cs="Times New Roman"/>
          <w:b w:val="0"/>
          <w:bCs w:val="0"/>
          <w:kern w:val="0"/>
          <w:sz w:val="24"/>
        </w:rPr>
        <w:t xml:space="preserve">  </w:t>
      </w:r>
      <w:r>
        <w:rPr>
          <w:rFonts w:hint="eastAsia" w:ascii="仿宋_GB2312" w:hAnsi="仿宋" w:eastAsia="仿宋_GB2312" w:cs="Times New Roman"/>
          <w:sz w:val="32"/>
          <w:szCs w:val="24"/>
          <w:lang w:eastAsia="zh-CN"/>
        </w:rPr>
        <w:t>一是</w:t>
      </w:r>
      <w:r>
        <w:rPr>
          <w:rFonts w:hint="eastAsia" w:ascii="仿宋_GB2312" w:hAnsi="仿宋" w:eastAsia="仿宋_GB2312" w:cs="Times New Roman"/>
          <w:sz w:val="32"/>
          <w:szCs w:val="24"/>
        </w:rPr>
        <w:t>认真落实“习惯过紧日子”要求，厉行勤俭节约成为新常态。一年来，我们全面贯彻落实习近平总书记提出的“党政机关要习惯过紧日子”指示精神，坚持深入探索推进国有资产高效管理和集约使用的新措施、新途径，资产管理保障效能进一步提升。一是增强制度机制保障。4月份，根据《党政机关厉行节约反对浪费条例》《内蒙古自治区党政机关厉行节约反对浪费实施细则》等法规内容，我局研究制定了《过紧日子20条措施》，不断筑牢机关人员习惯过紧日子的思想之堤，督导机关事务从日常点滴减起，倡导人人绿色餐饮，厉行节约用水用电，机关一般性财政支出有较大改观，广大干部职工节约意识不断增强。二是深挖办公用房潜力。坚持先易后难、分步推进权属统一登记，现已完成7家单位27处房产6.7万平方米的转移登记；调整安置、出租腾退等多措并举，盘活闲置房产，累计调整14家单位7776.13平方米办公用房的安置工作，出租闲置房产5处2710平方米，腾退1家单位租用办公用房254平方米，节约财政资金约10万</w:t>
      </w:r>
      <w:r>
        <w:rPr>
          <w:rFonts w:hint="eastAsia" w:ascii="仿宋_GB2312" w:hAnsi="仿宋" w:eastAsia="仿宋_GB2312" w:cs="Times New Roman"/>
          <w:sz w:val="32"/>
          <w:szCs w:val="24"/>
          <w:lang w:eastAsia="zh-CN"/>
        </w:rPr>
        <w:t>万元</w:t>
      </w:r>
      <w:r>
        <w:rPr>
          <w:rFonts w:hint="eastAsia" w:ascii="仿宋_GB2312" w:hAnsi="仿宋" w:eastAsia="仿宋_GB2312" w:cs="Times New Roman"/>
          <w:sz w:val="32"/>
          <w:szCs w:val="24"/>
        </w:rPr>
        <w:t>。三是深化公务用车管理改革。以“五个统一”（编制统一、权属统一、运行经费统一、监管统一、车辆和驾驶员调派统一）为基础，突出规范党政机关公务用车配备标准、审批流程和资产管理要求，实现公务用车“集中管理、统筹使用、严格监督”，左旗三山乡保障基层公务出行创新做法被国管局确定为第二批全国机关事务专项领域示范单位；6月份，制定印发《赤峰市公务用车通用物品配备执行标准》，系统明确公务用车7类38项保障事项，切实有效确保公务用车标准化配备和规范化运行；高标准完成赤峰市“两会”、第十四届全国冬季运动会、抗洪应急等各类公务用车保障任务，累计出行9244批次，行驶里程261.27万公里，安全无故障。</w:t>
      </w:r>
    </w:p>
    <w:p w14:paraId="44AABED7">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hint="eastAsia" w:ascii="仿宋_GB2312" w:hAnsi="仿宋" w:eastAsia="仿宋_GB2312" w:cs="Times New Roman"/>
          <w:sz w:val="32"/>
          <w:szCs w:val="24"/>
        </w:rPr>
      </w:pPr>
      <w:r>
        <w:rPr>
          <w:rFonts w:hint="eastAsia" w:ascii="仿宋_GB2312" w:hAnsi="仿宋" w:eastAsia="仿宋_GB2312" w:cs="Times New Roman"/>
          <w:sz w:val="32"/>
          <w:szCs w:val="24"/>
          <w:lang w:eastAsia="zh-CN"/>
        </w:rPr>
        <w:t>二是</w:t>
      </w:r>
      <w:r>
        <w:rPr>
          <w:rFonts w:hint="eastAsia" w:ascii="仿宋_GB2312" w:hAnsi="仿宋" w:eastAsia="仿宋_GB2312" w:cs="Times New Roman"/>
          <w:sz w:val="32"/>
          <w:szCs w:val="24"/>
        </w:rPr>
        <w:t>紧盯“双碳”目标要求，公共机构节能示范作用取得新成效。一年来，我们认真贯彻落实国家“双碳”战略，坚持节约资源，机关先行，深入开展公共机构节能工作，不断取得新发展。一是开展节能宣传。5月份，大力开展以“绿色转型 节能攻坚”为主题的2024年节能宣传周活动，赤峰日报、各类公众号等自媒体阅读量1万余人次，全市线上有奖答题活动总浏览人数7.5万人次，参与答题人数12906人次，参加有害垃圾有奖收集活动人数50余人次，回收有害垃圾3271件。二是强化专业力量。4、7和9月份，采取线上线下多种方式，先后组织包含旗县区在内124人次的公共机构节能人员培训，持续夯实业务基础，不断开阔工作思路，为推进全市绿色低碳管理提供了坚实的人才基础。三是创新节能机制。以合同能源管理的方式对公共机构能源使用进行优化和改造，大力推广合同能源托管和太阳能光伏项目，年度投资额3.51302亿</w:t>
      </w:r>
      <w:r>
        <w:rPr>
          <w:rFonts w:hint="eastAsia" w:ascii="仿宋_GB2312" w:hAnsi="仿宋" w:eastAsia="仿宋_GB2312" w:cs="Times New Roman"/>
          <w:sz w:val="32"/>
          <w:szCs w:val="24"/>
          <w:lang w:eastAsia="zh-CN"/>
        </w:rPr>
        <w:t>万元</w:t>
      </w:r>
      <w:r>
        <w:rPr>
          <w:rFonts w:hint="eastAsia" w:ascii="仿宋_GB2312" w:hAnsi="仿宋" w:eastAsia="仿宋_GB2312" w:cs="Times New Roman"/>
          <w:sz w:val="32"/>
          <w:szCs w:val="24"/>
        </w:rPr>
        <w:t>，在全区公共机构合同能源管理项目中位列榜首；基于合同能源管理节能新模式，持续规范开展全市公共机构合同能源管理工作，促进公共机构碳达峰、碳中和，4月份我局获评国家级“绿色低碳公共机构”称号，10月份我市两家企业获得自治区公共机构合同能源管理项目财政奖补金各10万</w:t>
      </w:r>
      <w:r>
        <w:rPr>
          <w:rFonts w:hint="eastAsia" w:ascii="仿宋_GB2312" w:hAnsi="仿宋" w:eastAsia="仿宋_GB2312" w:cs="Times New Roman"/>
          <w:sz w:val="32"/>
          <w:szCs w:val="24"/>
          <w:lang w:eastAsia="zh-CN"/>
        </w:rPr>
        <w:t>万元</w:t>
      </w:r>
      <w:r>
        <w:rPr>
          <w:rFonts w:hint="eastAsia" w:ascii="仿宋_GB2312" w:hAnsi="仿宋" w:eastAsia="仿宋_GB2312" w:cs="Times New Roman"/>
          <w:sz w:val="32"/>
          <w:szCs w:val="24"/>
        </w:rPr>
        <w:t>。</w:t>
      </w:r>
    </w:p>
    <w:p w14:paraId="268C6E4C">
      <w:pPr>
        <w:keepNext w:val="0"/>
        <w:keepLines w:val="0"/>
        <w:pageBreakBefore w:val="0"/>
        <w:kinsoku/>
        <w:wordWrap/>
        <w:overflowPunct/>
        <w:topLinePunct w:val="0"/>
        <w:autoSpaceDE/>
        <w:autoSpaceDN/>
        <w:bidi w:val="0"/>
        <w:adjustRightInd/>
        <w:snapToGrid w:val="0"/>
        <w:spacing w:line="580" w:lineRule="exact"/>
        <w:ind w:firstLine="640" w:firstLineChars="200"/>
        <w:textAlignment w:val="auto"/>
        <w:rPr>
          <w:rFonts w:ascii="Times New Roman" w:hAnsi="Times New Roman" w:eastAsia="Times New Roman" w:cs="Times New Roman"/>
          <w:kern w:val="0"/>
          <w:sz w:val="24"/>
        </w:rPr>
      </w:pPr>
      <w:r>
        <w:rPr>
          <w:rFonts w:hint="eastAsia" w:ascii="仿宋_GB2312" w:hAnsi="仿宋" w:eastAsia="仿宋_GB2312" w:cs="Times New Roman"/>
          <w:sz w:val="32"/>
          <w:szCs w:val="24"/>
          <w:lang w:eastAsia="zh-CN"/>
        </w:rPr>
        <w:t>三是</w:t>
      </w:r>
      <w:r>
        <w:rPr>
          <w:rFonts w:hint="eastAsia" w:ascii="仿宋_GB2312" w:hAnsi="仿宋" w:eastAsia="仿宋_GB2312" w:cs="Times New Roman"/>
          <w:sz w:val="32"/>
          <w:szCs w:val="24"/>
        </w:rPr>
        <w:t>注重加强法治建设，服务保障工作质量取得新提升。一年来，我们始终坚持以自治区赋予我市法治创新试点工作为牵引，完善法治体系、健全制度规范、推进法治建设，不断增强依法服务保障能力。一是区分职能建体系。以资产管理为基础，逐步探索形成实用可用能用的“1+1+N”的依法履职体系，为机关事务管理工作法治化运行提供了有力的制度保障；两个“1”分别为《机关事务管理条例》和《内蒙古自治区机关事务管理办法》，以上述两部上位法为基准，现已形成“三通四公一保障”（政务、党务、财务，公车、公房、公共节能、公务接待和后勤保障）8个模块165部市机关事务管理法规制度，责任主体明确，工作运行顺畅；其中，绘制各类法规标准流程图24个，完成上墙文化制度宣传45项，有力提高了机关事务工作的法治化和标准化水平。二是统筹兼顾明标准。6月份，深入贯彻落实自治区“党政大院无工程年”有关精神，会同财政、住建等4个部门联合印发《赤峰市本级党政机关办公用房大中修项目管理办法》，进一步明确项目申报、审批、实施、经费预结算等各环节工作流程，有效解决了对“大中修”概念界定不清、审批权限不明等问题，先后对市纪委监委、市教育局、市体育局等15家单位26处办公用房维修改造项目进行必要性审查，其中，未予批准实施项目预算533.14万</w:t>
      </w:r>
      <w:r>
        <w:rPr>
          <w:rFonts w:hint="eastAsia" w:ascii="仿宋_GB2312" w:hAnsi="仿宋" w:eastAsia="仿宋_GB2312" w:cs="Times New Roman"/>
          <w:sz w:val="32"/>
          <w:szCs w:val="24"/>
          <w:lang w:eastAsia="zh-CN"/>
        </w:rPr>
        <w:t>万元</w:t>
      </w:r>
      <w:r>
        <w:rPr>
          <w:rFonts w:hint="eastAsia" w:ascii="仿宋_GB2312" w:hAnsi="仿宋" w:eastAsia="仿宋_GB2312" w:cs="Times New Roman"/>
          <w:sz w:val="32"/>
          <w:szCs w:val="24"/>
        </w:rPr>
        <w:t>，累计审减已施工项目110余万</w:t>
      </w:r>
      <w:r>
        <w:rPr>
          <w:rFonts w:hint="eastAsia" w:ascii="仿宋_GB2312" w:hAnsi="仿宋" w:eastAsia="仿宋_GB2312" w:cs="Times New Roman"/>
          <w:sz w:val="32"/>
          <w:szCs w:val="24"/>
          <w:lang w:eastAsia="zh-CN"/>
        </w:rPr>
        <w:t>万元</w:t>
      </w:r>
      <w:r>
        <w:rPr>
          <w:rFonts w:hint="eastAsia" w:ascii="仿宋_GB2312" w:hAnsi="仿宋" w:eastAsia="仿宋_GB2312" w:cs="Times New Roman"/>
          <w:sz w:val="32"/>
          <w:szCs w:val="24"/>
        </w:rPr>
        <w:t>，极大节约了办公用房维修改造方面的财政资金。三是助推法治见实效。一方面，我们依法提高服务保障能力：6月份，通过实地走访、查阅资料、开展座谈等多种方式，对新修订的《党政机关国内公务接待管理规定》贯彻执行情况进行实地调研，结合实际起草制定了《赤峰市本级党政机关国内公务接待管理办法》，确保上位法与部门业务制度的深度融合；8月中旬，对12个旗县区10个苏木乡镇的公务接待领域进行专项督查，立查立改，问题归零；进一步调整优化客情报送程序，及时报送客情179期</w:t>
      </w:r>
      <w:r>
        <w:rPr>
          <w:rFonts w:hint="eastAsia" w:ascii="仿宋_GB2312" w:hAnsi="仿宋" w:eastAsia="仿宋_GB2312" w:cs="Times New Roman"/>
          <w:sz w:val="32"/>
          <w:szCs w:val="24"/>
          <w:lang w:eastAsia="zh-CN"/>
        </w:rPr>
        <w:t>。</w:t>
      </w:r>
    </w:p>
    <w:p w14:paraId="51BC3530">
      <w:pPr>
        <w:pStyle w:val="3"/>
        <w:keepNext w:val="0"/>
        <w:keepLines w:val="0"/>
        <w:widowControl/>
        <w:spacing w:before="299" w:after="299" w:line="240" w:lineRule="auto"/>
        <w:jc w:val="center"/>
        <w:rPr>
          <w:rFonts w:hint="eastAsia" w:ascii="fang_zheng_xiao_biao_song_ti" w:hAnsi="fang_zheng_xiao_biao_song_ti" w:eastAsia="fang_zheng_xiao_biao_song_ti" w:cs="fang_zheng_xiao_biao_song_ti"/>
          <w:kern w:val="0"/>
          <w:sz w:val="36"/>
          <w:szCs w:val="36"/>
        </w:rPr>
      </w:pPr>
      <w:r>
        <w:rPr>
          <w:rFonts w:hint="eastAsia" w:ascii="fang_zheng_xiao_biao_song_ti" w:hAnsi="fang_zheng_xiao_biao_song_ti" w:eastAsia="fang_zheng_xiao_biao_song_ti" w:cs="fang_zheng_xiao_biao_song_ti"/>
          <w:kern w:val="0"/>
          <w:sz w:val="36"/>
          <w:szCs w:val="36"/>
        </w:rPr>
        <w:t>第二部分  部门决算情况说明</w:t>
      </w:r>
    </w:p>
    <w:p w14:paraId="67788BC6">
      <w:pPr>
        <w:widowControl/>
        <w:spacing w:before="240" w:after="240"/>
        <w:ind w:firstLine="643" w:firstLineChars="200"/>
        <w:jc w:val="left"/>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一、收入支出决算总体情况说明</w:t>
      </w:r>
    </w:p>
    <w:p w14:paraId="1009915E">
      <w:pPr>
        <w:widowControl/>
        <w:spacing w:before="240" w:after="240"/>
        <w:rPr>
          <w:rFonts w:hint="eastAsia" w:ascii="仿宋" w:hAnsi="仿宋" w:eastAsia="仿宋" w:cs="仿宋"/>
          <w:color w:val="000000"/>
          <w:kern w:val="0"/>
          <w:sz w:val="31"/>
          <w:szCs w:val="31"/>
          <w:lang w:val="en-US" w:eastAsia="zh-CN" w:bidi="ar"/>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 w:hAnsi="仿宋" w:eastAsia="仿宋" w:cs="仿宋"/>
          <w:color w:val="000000"/>
          <w:kern w:val="0"/>
          <w:sz w:val="31"/>
          <w:szCs w:val="31"/>
          <w:lang w:val="en-US" w:eastAsia="zh-CN" w:bidi="ar"/>
        </w:rPr>
        <w:t>赤峰市机关事务管理局（部门）2024年度收入、支出决算总计 9039.45万元。与年初预算相比，收、支总计各增加2355.76万元，增长35.25%，变动原因：本年新增赤峰党政综合楼会议室升级改造工程项目849.79万元，中心年度追加公车司勤人员工资福利费用及差旅费、疫情期间保障工作专项经费，并全部拨付到位；与上年决算相比，收、支总计各增加 1147.24万元，增长14.54%。其中：</w:t>
      </w:r>
    </w:p>
    <w:p w14:paraId="406A0887">
      <w:pPr>
        <w:pageBreakBefore w:val="0"/>
        <w:widowControl/>
        <w:kinsoku/>
        <w:wordWrap/>
        <w:overflowPunct/>
        <w:topLinePunct w:val="0"/>
        <w:bidi w:val="0"/>
        <w:spacing w:before="240" w:after="240" w:line="580" w:lineRule="exact"/>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    （一）收入决算总计 9039.45万元。包括：</w:t>
      </w:r>
    </w:p>
    <w:p w14:paraId="5E5878D8">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1.本年收入决算合计 9039.45万元。与上年决算相比，增加1154.88万元，增长 14.65%，变动原因：本年新增赤峰党政综合楼会议室升级改造工程项目849.79万元，中心年度追加公车司勤人员工资福利费用及差旅费、疫情期间保障工作专项经费，并全部拨付到位，收入决算数较上年增加。</w:t>
      </w:r>
    </w:p>
    <w:p w14:paraId="3EDBBF9E">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2.使用非财政拨款结余和专用结余 0万元。与上年决算相比，增加 0万元，增长 0%，变动原因：本年未使用非财政拨款结余（含专用结余）。</w:t>
      </w:r>
    </w:p>
    <w:p w14:paraId="36CC648E">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3.年初结转和结余 0万元。与上年决算相比，减少7.64万元，减少100.00%，变动原因：本年无年初结转和结余。</w:t>
      </w:r>
    </w:p>
    <w:p w14:paraId="494D6ED0">
      <w:pPr>
        <w:pageBreakBefore w:val="0"/>
        <w:widowControl/>
        <w:kinsoku/>
        <w:wordWrap/>
        <w:overflowPunct/>
        <w:topLinePunct w:val="0"/>
        <w:bidi w:val="0"/>
        <w:spacing w:before="240" w:after="240" w:line="580" w:lineRule="exact"/>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    （二）支出决算总计 9039.45万元。包括：</w:t>
      </w:r>
    </w:p>
    <w:p w14:paraId="737AA61D">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1.本年支出决算合计 9039.45万元。与上年决算相比，增加1147.24万元，增长 14.54%，变动原因：本年新增赤峰党政综合楼会议室升级改造工程项目849.79万元，中心年度追加公车司勤人员工资福利费用及差旅费、疫情期间保障工作专项经费，并全部拨付到位，支出决算数较上年增加。</w:t>
      </w:r>
    </w:p>
    <w:p w14:paraId="76FAA8B0">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2.结余分配 0万元。与上年决算相比，增加0万元，增长 0%，变动原因：不存在此项内容。</w:t>
      </w:r>
    </w:p>
    <w:p w14:paraId="2BE989EA">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3.年末结转和结余 0万元。与上年决算相比，增加 0万元，增长 0%，变动原因：不存在此项内容。</w:t>
      </w:r>
    </w:p>
    <w:p w14:paraId="3E22C42B">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二、收入决算情况说明</w:t>
      </w:r>
    </w:p>
    <w:p w14:paraId="43D378A6">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 w:hAnsi="仿宋" w:eastAsia="仿宋" w:cs="仿宋"/>
          <w:color w:val="000000"/>
          <w:kern w:val="0"/>
          <w:sz w:val="31"/>
          <w:szCs w:val="31"/>
          <w:lang w:val="en-US" w:eastAsia="zh-CN" w:bidi="ar"/>
        </w:rPr>
        <w:t>赤峰市机关事务管理局（部门）2024年度本年收入决算合计 9039.45万元，其中：</w:t>
      </w:r>
    </w:p>
    <w:p w14:paraId="1069F000">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本年一般公共预算财政拨款收入 9039.45万元，占 100.00%；</w:t>
      </w:r>
    </w:p>
    <w:p w14:paraId="31ADC90A">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本年政府性基金预算财政拨款收入 0万元，占 0%；</w:t>
      </w:r>
    </w:p>
    <w:p w14:paraId="7A12B4E2">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本年国有资本经营预算财政拨款收入 0万元，占 0%；</w:t>
      </w:r>
    </w:p>
    <w:p w14:paraId="3DF3D57E">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本年上级补助收入 0万元，占 0%；</w:t>
      </w:r>
    </w:p>
    <w:p w14:paraId="672D4CB2">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本年事业收入 0万元，占 0%；</w:t>
      </w:r>
    </w:p>
    <w:p w14:paraId="0F319591">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本年经营收入 0万元，占 0%；</w:t>
      </w:r>
    </w:p>
    <w:p w14:paraId="6C02C6BD">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本年附属单位上缴收入 0万元，占 0%；</w:t>
      </w:r>
    </w:p>
    <w:p w14:paraId="6DB251DD">
      <w:pPr>
        <w:pageBreakBefore w:val="0"/>
        <w:widowControl/>
        <w:kinsoku/>
        <w:wordWrap/>
        <w:overflowPunct/>
        <w:topLinePunct w:val="0"/>
        <w:bidi w:val="0"/>
        <w:spacing w:before="240" w:after="240" w:line="580" w:lineRule="exact"/>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本年其他收入 0万元，占 0%。</w:t>
      </w:r>
    </w:p>
    <w:p w14:paraId="4190C6C7">
      <w:pPr>
        <w:widowControl/>
        <w:spacing w:before="240" w:after="240"/>
        <w:rPr>
          <w:rFonts w:ascii="Times New Roman" w:hAnsi="Times New Roman" w:eastAsia="Times New Roman" w:cs="Times New Roman"/>
          <w:kern w:val="0"/>
          <w:sz w:val="24"/>
        </w:rPr>
      </w:pPr>
    </w:p>
    <w:p w14:paraId="2C7CDF78">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724525" cy="3577590"/>
            <wp:effectExtent l="0" t="0" r="9525"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24525" cy="357759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578C93B1">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w:t>
      </w:r>
      <w:r>
        <w:rPr>
          <w:rFonts w:ascii="times_new_roman" w:hAnsi="times_new_roman" w:eastAsia="times_new_roman" w:cs="times_new_roman"/>
          <w:kern w:val="0"/>
          <w:sz w:val="27"/>
          <w:szCs w:val="27"/>
        </w:rPr>
        <w:t>1</w:t>
      </w:r>
      <w:r>
        <w:rPr>
          <w:rFonts w:ascii="仿宋_GB2312" w:hAnsi="仿宋_GB2312" w:eastAsia="仿宋_GB2312" w:cs="仿宋_GB2312"/>
          <w:kern w:val="0"/>
          <w:sz w:val="27"/>
          <w:szCs w:val="27"/>
        </w:rPr>
        <w:t>.收入决算图</w:t>
      </w:r>
    </w:p>
    <w:p w14:paraId="5F55B520">
      <w:pPr>
        <w:widowControl/>
        <w:spacing w:before="240" w:after="240"/>
        <w:ind w:firstLine="643" w:firstLineChars="200"/>
        <w:jc w:val="left"/>
        <w:rPr>
          <w:rFonts w:ascii="Times New Roman" w:hAnsi="Times New Roman" w:eastAsia="Times New Roman" w:cs="Times New Roman"/>
          <w:kern w:val="0"/>
          <w:sz w:val="24"/>
        </w:rPr>
      </w:pPr>
      <w:r>
        <w:rPr>
          <w:rFonts w:hint="eastAsia" w:ascii="黑体" w:hAnsi="黑体" w:eastAsia="黑体" w:cs="Times New Roman"/>
          <w:b/>
          <w:color w:val="auto"/>
          <w:kern w:val="2"/>
          <w:sz w:val="32"/>
          <w:szCs w:val="24"/>
        </w:rPr>
        <w:t>三、支出决算情况说明</w:t>
      </w:r>
    </w:p>
    <w:p w14:paraId="753F6E55">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赤峰市机关事务管理局（部门）2024年度本年支出决算合计 9039.45万元，其中：</w:t>
      </w:r>
    </w:p>
    <w:p w14:paraId="747C7884">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本年基本支出 4277.23万元，占 47.32%；</w:t>
      </w:r>
    </w:p>
    <w:p w14:paraId="181466D4">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本年项目支出 4762.22万元，占 52.68%；</w:t>
      </w:r>
    </w:p>
    <w:p w14:paraId="7EA7FB7F">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本年上缴上级支出 0万元，占 0%；</w:t>
      </w:r>
    </w:p>
    <w:p w14:paraId="409A544D">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本年经营支出 0万元，占 0%；</w:t>
      </w:r>
    </w:p>
    <w:p w14:paraId="1877FB0E">
      <w:pPr>
        <w:widowControl/>
        <w:spacing w:before="240" w:after="240"/>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本年对附属单位补助支出 0万元，占 0%。</w:t>
      </w:r>
    </w:p>
    <w:p w14:paraId="0BEE74B3">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drawing>
          <wp:inline distT="0" distB="0" distL="114300" distR="114300">
            <wp:extent cx="5481955" cy="3426460"/>
            <wp:effectExtent l="0" t="0" r="444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481955" cy="3426460"/>
                    </a:xfrm>
                    <a:prstGeom prst="rect">
                      <a:avLst/>
                    </a:prstGeom>
                    <a:noFill/>
                    <a:ln>
                      <a:noFill/>
                    </a:ln>
                  </pic:spPr>
                </pic:pic>
              </a:graphicData>
            </a:graphic>
          </wp:inline>
        </w:drawing>
      </w:r>
      <w:r>
        <w:rPr>
          <w:rFonts w:ascii="Times New Roman" w:hAnsi="Times New Roman" w:eastAsia="Times New Roman" w:cs="Times New Roman"/>
          <w:kern w:val="0"/>
          <w:sz w:val="24"/>
        </w:rPr>
        <w:t xml:space="preserve">  </w:t>
      </w:r>
    </w:p>
    <w:p w14:paraId="714EDF86">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14:paraId="3158B7D3">
      <w:pPr>
        <w:widowControl/>
        <w:spacing w:before="240" w:after="240"/>
        <w:ind w:firstLine="643" w:firstLineChars="200"/>
        <w:jc w:val="left"/>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四、财政拨款收入支出决算总体情况说明</w:t>
      </w:r>
    </w:p>
    <w:p w14:paraId="7F18D42C">
      <w:pPr>
        <w:widowControl/>
        <w:spacing w:before="240" w:after="240"/>
        <w:ind w:firstLine="640" w:firstLineChars="200"/>
        <w:rPr>
          <w:rFonts w:ascii="Times New Roman" w:hAnsi="Times New Roman" w:eastAsia="Times New Roman" w:cs="Times New Roman"/>
          <w:kern w:val="0"/>
          <w:sz w:val="24"/>
        </w:rPr>
      </w:pPr>
      <w:r>
        <w:rPr>
          <w:rFonts w:hint="eastAsia" w:ascii="仿宋_GB2312" w:hAnsi="仿宋_GB2312" w:eastAsia="仿宋_GB2312" w:cs="Times New Roman"/>
          <w:color w:val="auto"/>
          <w:kern w:val="2"/>
          <w:sz w:val="32"/>
          <w:szCs w:val="24"/>
        </w:rPr>
        <w:t>赤峰市机关事务管理局</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部门</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2024年度财政拨款收入、支出决算总计 9039.45万元，与年初预算相比，收、支总计各增加2355.76万元，增长 35.25%，变动原因：</w:t>
      </w:r>
      <w:r>
        <w:rPr>
          <w:rFonts w:hint="eastAsia" w:ascii="仿宋_GB2312" w:hAnsi="仿宋_GB2312" w:eastAsia="仿宋_GB2312" w:cs="Times New Roman"/>
          <w:color w:val="auto"/>
          <w:kern w:val="2"/>
          <w:sz w:val="32"/>
          <w:szCs w:val="24"/>
          <w:lang w:eastAsia="zh-CN"/>
        </w:rPr>
        <w:t>本年新增赤峰党政综合楼会议室升级改造工程项目849</w:t>
      </w:r>
      <w:r>
        <w:rPr>
          <w:rFonts w:hint="eastAsia" w:ascii="仿宋_GB2312" w:hAnsi="仿宋_GB2312" w:eastAsia="仿宋_GB2312" w:cs="Times New Roman"/>
          <w:color w:val="auto"/>
          <w:kern w:val="2"/>
          <w:sz w:val="32"/>
          <w:szCs w:val="24"/>
          <w:lang w:val="en-US" w:eastAsia="zh-CN"/>
        </w:rPr>
        <w:t>.79万</w:t>
      </w:r>
      <w:r>
        <w:rPr>
          <w:rFonts w:hint="eastAsia" w:ascii="仿宋_GB2312" w:hAnsi="仿宋_GB2312" w:eastAsia="仿宋_GB2312" w:cs="Times New Roman"/>
          <w:color w:val="auto"/>
          <w:kern w:val="2"/>
          <w:sz w:val="32"/>
          <w:szCs w:val="24"/>
          <w:lang w:eastAsia="zh-CN"/>
        </w:rPr>
        <w:t>元，中心</w:t>
      </w:r>
      <w:r>
        <w:rPr>
          <w:rFonts w:hint="eastAsia" w:ascii="仿宋_GB2312" w:hAnsi="仿宋_GB2312" w:eastAsia="仿宋_GB2312" w:cs="Times New Roman"/>
          <w:color w:val="auto"/>
          <w:kern w:val="2"/>
          <w:sz w:val="32"/>
          <w:szCs w:val="24"/>
          <w:lang w:val="en-US" w:eastAsia="zh-CN"/>
        </w:rPr>
        <w:t>年度追加公车司勤人员工资福利费用及差旅费、疫情期间保障工作专项经费，并全部拨付到位</w:t>
      </w:r>
      <w:r>
        <w:rPr>
          <w:rFonts w:hint="eastAsia" w:ascii="仿宋_GB2312" w:hAnsi="仿宋_GB2312" w:eastAsia="仿宋_GB2312" w:cs="Times New Roman"/>
          <w:color w:val="auto"/>
          <w:kern w:val="2"/>
          <w:sz w:val="32"/>
          <w:szCs w:val="24"/>
        </w:rPr>
        <w:t>；与上年决算相比，收、支总计各增加 1147.24万元，增长 14.54%，变动原因：</w:t>
      </w:r>
      <w:r>
        <w:rPr>
          <w:rFonts w:hint="eastAsia" w:ascii="仿宋_GB2312" w:hAnsi="仿宋_GB2312" w:eastAsia="仿宋_GB2312" w:cs="Times New Roman"/>
          <w:color w:val="auto"/>
          <w:kern w:val="2"/>
          <w:sz w:val="32"/>
          <w:szCs w:val="24"/>
          <w:lang w:eastAsia="zh-CN"/>
        </w:rPr>
        <w:t>本年新增赤峰党政综合楼会议室升级改造工程项目849</w:t>
      </w:r>
      <w:r>
        <w:rPr>
          <w:rFonts w:hint="eastAsia" w:ascii="仿宋_GB2312" w:hAnsi="仿宋_GB2312" w:eastAsia="仿宋_GB2312" w:cs="Times New Roman"/>
          <w:color w:val="auto"/>
          <w:kern w:val="2"/>
          <w:sz w:val="32"/>
          <w:szCs w:val="24"/>
          <w:lang w:val="en-US" w:eastAsia="zh-CN"/>
        </w:rPr>
        <w:t>.79万</w:t>
      </w:r>
      <w:r>
        <w:rPr>
          <w:rFonts w:hint="eastAsia" w:ascii="仿宋_GB2312" w:hAnsi="仿宋_GB2312" w:eastAsia="仿宋_GB2312" w:cs="Times New Roman"/>
          <w:color w:val="auto"/>
          <w:kern w:val="2"/>
          <w:sz w:val="32"/>
          <w:szCs w:val="24"/>
          <w:lang w:eastAsia="zh-CN"/>
        </w:rPr>
        <w:t>元，中心</w:t>
      </w:r>
      <w:r>
        <w:rPr>
          <w:rFonts w:hint="eastAsia" w:ascii="仿宋_GB2312" w:hAnsi="仿宋_GB2312" w:eastAsia="仿宋_GB2312" w:cs="Times New Roman"/>
          <w:color w:val="auto"/>
          <w:kern w:val="2"/>
          <w:sz w:val="32"/>
          <w:szCs w:val="24"/>
          <w:lang w:val="en-US" w:eastAsia="zh-CN"/>
        </w:rPr>
        <w:t>年度追加公车司勤人员工资福利费用及差旅费、疫情期间保障工作专项经费，并全部拨付到位</w:t>
      </w:r>
      <w:r>
        <w:rPr>
          <w:rFonts w:hint="eastAsia" w:ascii="仿宋_GB2312" w:hAnsi="仿宋_GB2312" w:eastAsia="仿宋_GB2312" w:cs="Times New Roman"/>
          <w:color w:val="auto"/>
          <w:kern w:val="2"/>
          <w:sz w:val="32"/>
          <w:szCs w:val="24"/>
        </w:rPr>
        <w:t>。</w:t>
      </w:r>
    </w:p>
    <w:p w14:paraId="64739D7F">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五、一般公共预算财政拨款支出决算情况说明</w:t>
      </w:r>
    </w:p>
    <w:p w14:paraId="7F8BBCAB">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赤峰市机关事务管理局</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部门</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2024年度一般公共预算财政拨款支出决算 9039.45万元。与年初预算</w:t>
      </w:r>
      <w:r>
        <w:rPr>
          <w:rFonts w:hint="eastAsia" w:ascii="仿宋_GB2312" w:hAnsi="仿宋_GB2312" w:eastAsia="仿宋_GB2312" w:cs="Times New Roman"/>
          <w:color w:val="auto"/>
          <w:kern w:val="2"/>
          <w:sz w:val="32"/>
          <w:szCs w:val="24"/>
          <w:lang w:val="en-US" w:eastAsia="zh-CN"/>
        </w:rPr>
        <w:t>6683.69</w:t>
      </w:r>
      <w:r>
        <w:rPr>
          <w:rFonts w:hint="eastAsia" w:ascii="仿宋_GB2312" w:hAnsi="仿宋_GB2312" w:eastAsia="仿宋_GB2312" w:cs="Times New Roman"/>
          <w:color w:val="auto"/>
          <w:kern w:val="2"/>
          <w:sz w:val="32"/>
          <w:szCs w:val="24"/>
        </w:rPr>
        <w:t>万元相比，完成年初预算的 </w:t>
      </w:r>
      <w:r>
        <w:rPr>
          <w:rFonts w:hint="eastAsia" w:ascii="仿宋_GB2312" w:hAnsi="仿宋_GB2312" w:eastAsia="仿宋_GB2312" w:cs="Times New Roman"/>
          <w:color w:val="auto"/>
          <w:kern w:val="2"/>
          <w:sz w:val="32"/>
          <w:szCs w:val="24"/>
          <w:lang w:val="en-US" w:eastAsia="zh-CN"/>
        </w:rPr>
        <w:t>135.25</w:t>
      </w:r>
      <w:r>
        <w:rPr>
          <w:rFonts w:hint="eastAsia" w:ascii="仿宋_GB2312" w:hAnsi="仿宋_GB2312" w:eastAsia="仿宋_GB2312" w:cs="Times New Roman"/>
          <w:color w:val="auto"/>
          <w:kern w:val="2"/>
          <w:sz w:val="32"/>
          <w:szCs w:val="24"/>
        </w:rPr>
        <w:t>%。其中：</w:t>
      </w:r>
    </w:p>
    <w:p w14:paraId="41E6AA93">
      <w:pPr>
        <w:pageBreakBefore w:val="0"/>
        <w:widowControl/>
        <w:kinsoku/>
        <w:wordWrap/>
        <w:overflowPunct/>
        <w:topLinePunct w:val="0"/>
        <w:bidi w:val="0"/>
        <w:spacing w:before="240" w:after="240" w:line="580" w:lineRule="exact"/>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    （一）一般公共服务（类）</w:t>
      </w:r>
    </w:p>
    <w:p w14:paraId="414DDF43">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rPr>
        <w:t>一般公共服务类决算数为 8331.04万元，与年初预算相比增加</w:t>
      </w:r>
      <w:r>
        <w:rPr>
          <w:rFonts w:hint="eastAsia" w:ascii="仿宋_GB2312" w:hAnsi="仿宋_GB2312" w:eastAsia="仿宋_GB2312" w:cs="Times New Roman"/>
          <w:color w:val="auto"/>
          <w:kern w:val="2"/>
          <w:sz w:val="32"/>
          <w:szCs w:val="24"/>
          <w:lang w:val="en-US" w:eastAsia="zh-CN"/>
        </w:rPr>
        <w:t>1895.65</w:t>
      </w:r>
      <w:r>
        <w:rPr>
          <w:rFonts w:hint="eastAsia" w:ascii="仿宋_GB2312" w:hAnsi="仿宋_GB2312" w:eastAsia="仿宋_GB2312" w:cs="Times New Roman"/>
          <w:color w:val="auto"/>
          <w:kern w:val="2"/>
          <w:sz w:val="32"/>
          <w:szCs w:val="24"/>
        </w:rPr>
        <w:t>万元。其中：</w:t>
      </w:r>
    </w:p>
    <w:p w14:paraId="3D62C669">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lang w:val="en-US" w:eastAsia="zh-CN"/>
        </w:rPr>
        <w:t>1.</w:t>
      </w:r>
      <w:r>
        <w:rPr>
          <w:rFonts w:hint="eastAsia" w:ascii="仿宋_GB2312" w:hAnsi="仿宋_GB2312" w:eastAsia="仿宋_GB2312" w:cs="Times New Roman"/>
          <w:color w:val="auto"/>
          <w:kern w:val="2"/>
          <w:sz w:val="32"/>
          <w:szCs w:val="24"/>
        </w:rPr>
        <w:t>政府办公厅（室）及相关机构事务（款）行政运行（项）。年初预算</w:t>
      </w:r>
      <w:r>
        <w:rPr>
          <w:rFonts w:hint="eastAsia" w:ascii="仿宋_GB2312" w:hAnsi="仿宋_GB2312" w:eastAsia="仿宋_GB2312" w:cs="Times New Roman"/>
          <w:color w:val="auto"/>
          <w:kern w:val="2"/>
          <w:sz w:val="32"/>
          <w:szCs w:val="24"/>
          <w:lang w:val="en-US" w:eastAsia="zh-CN"/>
        </w:rPr>
        <w:t>270.53</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lang w:val="en-US" w:eastAsia="zh-CN"/>
        </w:rPr>
        <w:t>244.52</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lang w:val="en-US" w:eastAsia="zh-CN"/>
        </w:rPr>
        <w:t>90.39</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eastAsia="zh-CN"/>
        </w:rPr>
        <w:t>人员工资变动导致</w:t>
      </w:r>
      <w:r>
        <w:rPr>
          <w:rFonts w:hint="eastAsia" w:ascii="仿宋_GB2312" w:hAnsi="仿宋_GB2312" w:eastAsia="仿宋_GB2312" w:cs="Times New Roman"/>
          <w:color w:val="auto"/>
          <w:kern w:val="2"/>
          <w:sz w:val="32"/>
          <w:szCs w:val="24"/>
        </w:rPr>
        <w:t>。</w:t>
      </w:r>
    </w:p>
    <w:p w14:paraId="1EF88025">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w:t>
      </w:r>
      <w:r>
        <w:rPr>
          <w:rFonts w:hint="eastAsia" w:ascii="仿宋_GB2312" w:hAnsi="仿宋_GB2312" w:eastAsia="仿宋_GB2312" w:cs="Times New Roman"/>
          <w:color w:val="auto"/>
          <w:kern w:val="2"/>
          <w:sz w:val="32"/>
          <w:szCs w:val="24"/>
        </w:rPr>
        <w:t>政府办公厅（室）及相关机构事务（款）</w:t>
      </w:r>
      <w:r>
        <w:rPr>
          <w:rFonts w:hint="eastAsia" w:ascii="仿宋_GB2312" w:hAnsi="仿宋_GB2312" w:eastAsia="仿宋_GB2312" w:cs="Times New Roman"/>
          <w:color w:val="auto"/>
          <w:kern w:val="2"/>
          <w:sz w:val="32"/>
          <w:szCs w:val="24"/>
          <w:lang w:eastAsia="zh-CN"/>
        </w:rPr>
        <w:t>事业</w:t>
      </w:r>
      <w:r>
        <w:rPr>
          <w:rFonts w:hint="eastAsia" w:ascii="仿宋_GB2312" w:hAnsi="仿宋_GB2312" w:eastAsia="仿宋_GB2312" w:cs="Times New Roman"/>
          <w:color w:val="auto"/>
          <w:kern w:val="2"/>
          <w:sz w:val="32"/>
          <w:szCs w:val="24"/>
        </w:rPr>
        <w:t>运行（项）。年初预算</w:t>
      </w:r>
      <w:r>
        <w:rPr>
          <w:rFonts w:hint="eastAsia" w:ascii="仿宋_GB2312" w:hAnsi="仿宋_GB2312" w:eastAsia="仿宋_GB2312" w:cs="Times New Roman"/>
          <w:color w:val="auto"/>
          <w:kern w:val="2"/>
          <w:sz w:val="32"/>
          <w:szCs w:val="24"/>
          <w:lang w:val="en-US" w:eastAsia="zh-CN"/>
        </w:rPr>
        <w:t>3200.16</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lang w:val="en-US" w:eastAsia="zh-CN"/>
        </w:rPr>
        <w:t>3478.59</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lang w:val="en-US" w:eastAsia="zh-CN"/>
        </w:rPr>
        <w:t>108.70</w:t>
      </w:r>
      <w:r>
        <w:rPr>
          <w:rFonts w:hint="eastAsia" w:ascii="仿宋_GB2312" w:hAnsi="仿宋_GB2312" w:eastAsia="仿宋_GB2312" w:cs="Times New Roman"/>
          <w:color w:val="auto"/>
          <w:kern w:val="2"/>
          <w:sz w:val="32"/>
          <w:szCs w:val="24"/>
        </w:rPr>
        <w:t>%。决算数与年初预算数的差异原因：</w:t>
      </w:r>
      <w:r>
        <w:rPr>
          <w:rFonts w:hint="eastAsia" w:ascii="仿宋_GB2312" w:hAnsi="仿宋_GB2312" w:eastAsia="仿宋_GB2312" w:cs="Times New Roman"/>
          <w:color w:val="auto"/>
          <w:kern w:val="2"/>
          <w:sz w:val="32"/>
          <w:szCs w:val="24"/>
          <w:lang w:eastAsia="zh-CN"/>
        </w:rPr>
        <w:t>人员工资变动导致</w:t>
      </w:r>
      <w:r>
        <w:rPr>
          <w:rFonts w:hint="eastAsia" w:ascii="仿宋_GB2312" w:hAnsi="仿宋_GB2312" w:eastAsia="仿宋_GB2312" w:cs="Times New Roman"/>
          <w:color w:val="auto"/>
          <w:kern w:val="2"/>
          <w:sz w:val="32"/>
          <w:szCs w:val="24"/>
        </w:rPr>
        <w:t>。</w:t>
      </w:r>
    </w:p>
    <w:p w14:paraId="61AF16E6">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lang w:val="en-US" w:eastAsia="zh-CN"/>
        </w:rPr>
        <w:t>3.</w:t>
      </w:r>
      <w:r>
        <w:rPr>
          <w:rFonts w:hint="eastAsia" w:ascii="仿宋_GB2312" w:hAnsi="仿宋_GB2312" w:eastAsia="仿宋_GB2312" w:cs="Times New Roman"/>
          <w:color w:val="auto"/>
          <w:kern w:val="2"/>
          <w:sz w:val="32"/>
          <w:szCs w:val="24"/>
        </w:rPr>
        <w:t>政府办公厅（室）及相关机构事务（款）其他政府办公厅（室）及相关机构事务支出（项）。年初预算2915.5</w:t>
      </w:r>
      <w:r>
        <w:rPr>
          <w:rFonts w:hint="eastAsia" w:ascii="仿宋_GB2312" w:hAnsi="仿宋_GB2312" w:eastAsia="仿宋_GB2312" w:cs="Times New Roman"/>
          <w:color w:val="auto"/>
          <w:kern w:val="2"/>
          <w:sz w:val="32"/>
          <w:szCs w:val="24"/>
          <w:lang w:val="en-US" w:eastAsia="zh-CN"/>
        </w:rPr>
        <w:t>5</w:t>
      </w:r>
      <w:r>
        <w:rPr>
          <w:rFonts w:hint="eastAsia" w:ascii="仿宋_GB2312" w:hAnsi="仿宋_GB2312" w:eastAsia="仿宋_GB2312" w:cs="Times New Roman"/>
          <w:color w:val="auto"/>
          <w:kern w:val="2"/>
          <w:sz w:val="32"/>
          <w:szCs w:val="24"/>
        </w:rPr>
        <w:t>万元，决算支出4577.05万元，完成年初预算的</w:t>
      </w:r>
      <w:r>
        <w:rPr>
          <w:rFonts w:hint="eastAsia" w:ascii="仿宋_GB2312" w:hAnsi="仿宋_GB2312" w:eastAsia="仿宋_GB2312" w:cs="Times New Roman"/>
          <w:color w:val="auto"/>
          <w:kern w:val="2"/>
          <w:sz w:val="32"/>
          <w:szCs w:val="24"/>
          <w:lang w:val="en-US" w:eastAsia="zh-CN"/>
        </w:rPr>
        <w:t>156.99</w:t>
      </w:r>
      <w:r>
        <w:rPr>
          <w:rFonts w:hint="eastAsia" w:ascii="仿宋_GB2312" w:hAnsi="仿宋_GB2312" w:eastAsia="仿宋_GB2312" w:cs="Times New Roman"/>
          <w:color w:val="auto"/>
          <w:kern w:val="2"/>
          <w:sz w:val="32"/>
          <w:szCs w:val="24"/>
        </w:rPr>
        <w:t>%。决算数与年初预算数的差异原因：年中追加赤峰党政综合楼会议室升级改造工程项目849.79万元导致。</w:t>
      </w:r>
    </w:p>
    <w:p w14:paraId="2E808B00">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default"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4.</w:t>
      </w:r>
      <w:r>
        <w:rPr>
          <w:rFonts w:hint="eastAsia" w:ascii="仿宋_GB2312" w:hAnsi="仿宋_GB2312" w:eastAsia="仿宋_GB2312" w:cs="Times New Roman"/>
          <w:color w:val="auto"/>
          <w:kern w:val="2"/>
          <w:sz w:val="32"/>
          <w:szCs w:val="24"/>
        </w:rPr>
        <w:t>其他一般公共服务支出（款）其他一般公共服务支出（项）。年初预算</w:t>
      </w:r>
      <w:r>
        <w:rPr>
          <w:rFonts w:hint="eastAsia" w:ascii="仿宋_GB2312" w:hAnsi="仿宋_GB2312" w:eastAsia="仿宋_GB2312" w:cs="Times New Roman"/>
          <w:color w:val="auto"/>
          <w:kern w:val="2"/>
          <w:sz w:val="32"/>
          <w:szCs w:val="24"/>
          <w:lang w:val="en-US" w:eastAsia="zh-CN"/>
        </w:rPr>
        <w:t>49.15</w:t>
      </w:r>
      <w:r>
        <w:rPr>
          <w:rFonts w:hint="eastAsia" w:ascii="仿宋_GB2312" w:hAnsi="仿宋_GB2312" w:eastAsia="仿宋_GB2312" w:cs="Times New Roman"/>
          <w:color w:val="auto"/>
          <w:kern w:val="2"/>
          <w:sz w:val="32"/>
          <w:szCs w:val="24"/>
        </w:rPr>
        <w:t>万元，决算支出</w:t>
      </w:r>
      <w:r>
        <w:rPr>
          <w:rFonts w:hint="eastAsia" w:ascii="仿宋_GB2312" w:hAnsi="仿宋_GB2312" w:eastAsia="仿宋_GB2312" w:cs="Times New Roman"/>
          <w:color w:val="auto"/>
          <w:kern w:val="2"/>
          <w:sz w:val="32"/>
          <w:szCs w:val="24"/>
          <w:lang w:val="en-US" w:eastAsia="zh-CN"/>
        </w:rPr>
        <w:t>30.88</w:t>
      </w:r>
      <w:r>
        <w:rPr>
          <w:rFonts w:hint="eastAsia" w:ascii="仿宋_GB2312" w:hAnsi="仿宋_GB2312" w:eastAsia="仿宋_GB2312" w:cs="Times New Roman"/>
          <w:color w:val="auto"/>
          <w:kern w:val="2"/>
          <w:sz w:val="32"/>
          <w:szCs w:val="24"/>
        </w:rPr>
        <w:t>万元，完成年初预算的</w:t>
      </w:r>
      <w:r>
        <w:rPr>
          <w:rFonts w:hint="eastAsia" w:ascii="仿宋_GB2312" w:hAnsi="仿宋_GB2312" w:eastAsia="仿宋_GB2312" w:cs="Times New Roman"/>
          <w:color w:val="auto"/>
          <w:kern w:val="2"/>
          <w:sz w:val="32"/>
          <w:szCs w:val="24"/>
          <w:lang w:val="en-US" w:eastAsia="zh-CN"/>
        </w:rPr>
        <w:t>62.83</w:t>
      </w:r>
      <w:r>
        <w:rPr>
          <w:rFonts w:hint="eastAsia" w:ascii="仿宋_GB2312" w:hAnsi="仿宋_GB2312" w:eastAsia="仿宋_GB2312" w:cs="Times New Roman"/>
          <w:color w:val="auto"/>
          <w:kern w:val="2"/>
          <w:sz w:val="32"/>
          <w:szCs w:val="24"/>
        </w:rPr>
        <w:t>%。决算数与年初预算数的差异原因：2023年市本级深化信创项目18.14万元待支付。</w:t>
      </w:r>
    </w:p>
    <w:p w14:paraId="1A826EA4">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（二）社会保障和就业支出（类）</w:t>
      </w:r>
    </w:p>
    <w:p w14:paraId="78C149CD">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社会保障和就业支出类决算数为127.47万元，与年初预算相比减少7.52万元。其中：</w:t>
      </w:r>
    </w:p>
    <w:p w14:paraId="39161945">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1.行政事业单位养老支出（款）行政单位离退休（项）。年初预算1.49万元，决算支出1.38万元，完成年初预算的92.61%。决算数与年初预算数的差异原因：根据实际行政单位离退休金额支付导致。</w:t>
      </w:r>
    </w:p>
    <w:p w14:paraId="46B555B4">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2.行政事业单位养老支出（款）事业单位离退休（项）。年初预算47.61万元，决算支出44.12万元，完成年初预算的92.67%。决算数与年初预算数的差异原因：根据实际事业单位离退休金额支付导致。</w:t>
      </w:r>
    </w:p>
    <w:p w14:paraId="1767EA08">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3.行政事业单位养老支出（款）机关事业单位基本养老保险缴费支出（项）。年初预算82.92万元，决算支出71.54万元，完成年初预算的86.27%。决算数与年初预算数的差异原因：根据实际机关事业单位基本养老保险缴费金额支付导致。</w:t>
      </w:r>
    </w:p>
    <w:p w14:paraId="0016E618">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default"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4.行政事业单位养老支出（款）机关事业单位职业年金缴费支出（项）。年初预算0万元，决算支出7.93万元，完成年初预算的100%。决算数与年初预算数的差异原因：追加职业年金单位部分缴存经费导致。</w:t>
      </w:r>
    </w:p>
    <w:p w14:paraId="479038BA">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lang w:val="en-US" w:eastAsia="zh-CN"/>
        </w:rPr>
        <w:t>5.其他社会保障和就业支出（款）其他社会保障和就业支出（项）。年初预算2.97万元，决算支出2.49万元，完成年初预算的83.85%。决算数与年初预算数的差异原因：根据实际其他社会保障和就业支出缴费金额支付导致。</w:t>
      </w:r>
    </w:p>
    <w:p w14:paraId="1191248D">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w:t>
      </w:r>
      <w:r>
        <w:rPr>
          <w:rFonts w:hint="eastAsia" w:ascii="楷体" w:hAnsi="楷体" w:eastAsia="楷体" w:cs="Times New Roman"/>
          <w:b/>
          <w:color w:val="auto"/>
          <w:kern w:val="2"/>
          <w:sz w:val="32"/>
          <w:szCs w:val="24"/>
          <w:lang w:eastAsia="zh-CN"/>
        </w:rPr>
        <w:t>三</w:t>
      </w:r>
      <w:r>
        <w:rPr>
          <w:rFonts w:hint="eastAsia" w:ascii="楷体" w:hAnsi="楷体" w:eastAsia="楷体" w:cs="Times New Roman"/>
          <w:b/>
          <w:color w:val="auto"/>
          <w:kern w:val="2"/>
          <w:sz w:val="32"/>
          <w:szCs w:val="24"/>
        </w:rPr>
        <w:t>）卫生健康支出（类）</w:t>
      </w:r>
    </w:p>
    <w:p w14:paraId="3019CC94">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卫生健康支出类决算数为518.91万元，与年初预算相比增加476.65万元。其中：</w:t>
      </w:r>
    </w:p>
    <w:p w14:paraId="2CBF5E72">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default"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1.公共卫生（款）突发公共卫生事件应急处置（项）。年初预算0万元，支出决算479.81万元，完成年初预算的100%。决算数与年初预算数的差异原因：年中追加疫情防控期间后勤保障工作经费102.89万元，中心追加疫情期间后勤保障工作经费376.92万元导致。</w:t>
      </w:r>
    </w:p>
    <w:p w14:paraId="6DEEEAFF">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2.行政事业单位医疗（款）行政单位医疗（项）。年初预算15.75万元，支出决算13.53万元，完成年初预算的85.88%。决算数与年初预算数的差异原因：根据实际行政单位医疗保险缴费金额支付导致。</w:t>
      </w:r>
    </w:p>
    <w:p w14:paraId="283E5C47">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3.行政事业单位医疗（款）事业单位医疗（项）。年初预算26.50万元，支出决算24.31万元，完成年初预算的91.72%。决算数与年初预算数的差异原因：根据实际事业单位医疗保险缴费金额支付导致。</w:t>
      </w:r>
    </w:p>
    <w:p w14:paraId="1E05CD38">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ascii="Times New Roman" w:hAnsi="Times New Roman" w:eastAsia="Times New Roman" w:cs="Times New Roman"/>
          <w:kern w:val="0"/>
          <w:sz w:val="24"/>
        </w:rPr>
      </w:pPr>
      <w:r>
        <w:rPr>
          <w:rFonts w:hint="eastAsia" w:ascii="仿宋_GB2312" w:hAnsi="仿宋_GB2312" w:eastAsia="仿宋_GB2312" w:cs="Times New Roman"/>
          <w:color w:val="auto"/>
          <w:kern w:val="2"/>
          <w:sz w:val="32"/>
          <w:szCs w:val="24"/>
          <w:lang w:val="en-US" w:eastAsia="zh-CN"/>
        </w:rPr>
        <w:t>4.行政事业单位医疗（款）公务员医疗补助（项）。年初预算0万元，支出决算1.27万元，完成年初预算的100%。决算数与年初预算数的差异原因：支出公务员医疗补助导致。</w:t>
      </w:r>
    </w:p>
    <w:p w14:paraId="6ABC31A7">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w:t>
      </w:r>
      <w:r>
        <w:rPr>
          <w:rFonts w:hint="eastAsia" w:ascii="楷体" w:hAnsi="楷体" w:eastAsia="楷体" w:cs="Times New Roman"/>
          <w:b/>
          <w:color w:val="auto"/>
          <w:kern w:val="2"/>
          <w:sz w:val="32"/>
          <w:szCs w:val="24"/>
          <w:lang w:eastAsia="zh-CN"/>
        </w:rPr>
        <w:t>四</w:t>
      </w:r>
      <w:r>
        <w:rPr>
          <w:rFonts w:hint="eastAsia" w:ascii="楷体" w:hAnsi="楷体" w:eastAsia="楷体" w:cs="Times New Roman"/>
          <w:b/>
          <w:color w:val="auto"/>
          <w:kern w:val="2"/>
          <w:sz w:val="32"/>
          <w:szCs w:val="24"/>
        </w:rPr>
        <w:t>）住房保障支出（类）</w:t>
      </w:r>
    </w:p>
    <w:p w14:paraId="0858AE12">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lang w:val="en-US" w:eastAsia="zh-CN"/>
        </w:rPr>
      </w:pPr>
      <w:r>
        <w:rPr>
          <w:rFonts w:hint="eastAsia" w:ascii="仿宋_GB2312" w:hAnsi="仿宋_GB2312" w:eastAsia="仿宋_GB2312" w:cs="Times New Roman"/>
          <w:color w:val="auto"/>
          <w:kern w:val="2"/>
          <w:sz w:val="32"/>
          <w:szCs w:val="24"/>
          <w:lang w:val="en-US" w:eastAsia="zh-CN"/>
        </w:rPr>
        <w:t>住房保障支出类决算数为62.03万元，与年初预算相比减少9.02万元。其中：</w:t>
      </w:r>
    </w:p>
    <w:p w14:paraId="3ADCD118">
      <w:pPr>
        <w:pageBreakBefore w:val="0"/>
        <w:kinsoku/>
        <w:wordWrap/>
        <w:overflowPunct/>
        <w:topLinePunct w:val="0"/>
        <w:autoSpaceDE w:val="0"/>
        <w:autoSpaceDN w:val="0"/>
        <w:bidi w:val="0"/>
        <w:adjustRightInd w:val="0"/>
        <w:spacing w:beforeLines="0" w:afterLines="0" w:line="580" w:lineRule="exact"/>
        <w:ind w:firstLine="640" w:firstLineChars="200"/>
        <w:jc w:val="both"/>
        <w:textAlignment w:val="auto"/>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color w:val="auto"/>
          <w:kern w:val="2"/>
          <w:sz w:val="32"/>
          <w:szCs w:val="24"/>
          <w:lang w:val="en-US" w:eastAsia="zh-CN"/>
        </w:rPr>
        <w:t>1.住房改革支出（款）住房公积金（项）。年初预算71.05万元，支出决算62.03万元，完成年初预算的87.30%。决算数与年初预算数的差异原因：</w:t>
      </w:r>
      <w:r>
        <w:rPr>
          <w:rFonts w:hint="eastAsia" w:ascii="仿宋_GB2312" w:hAnsi="仿宋_GB2312" w:eastAsia="仿宋_GB2312" w:cs="Times New Roman"/>
          <w:color w:val="auto"/>
          <w:kern w:val="2"/>
          <w:sz w:val="32"/>
          <w:szCs w:val="24"/>
          <w:lang w:eastAsia="zh-CN"/>
        </w:rPr>
        <w:t>根据实际</w:t>
      </w:r>
      <w:r>
        <w:rPr>
          <w:rFonts w:hint="eastAsia" w:ascii="仿宋_GB2312" w:hAnsi="仿宋_GB2312" w:eastAsia="仿宋_GB2312" w:cs="Times New Roman"/>
          <w:color w:val="auto"/>
          <w:kern w:val="2"/>
          <w:sz w:val="32"/>
          <w:szCs w:val="24"/>
        </w:rPr>
        <w:t>住房公积金</w:t>
      </w:r>
      <w:r>
        <w:rPr>
          <w:rFonts w:hint="eastAsia" w:ascii="仿宋_GB2312" w:hAnsi="仿宋_GB2312" w:eastAsia="仿宋_GB2312" w:cs="Times New Roman"/>
          <w:color w:val="auto"/>
          <w:kern w:val="2"/>
          <w:sz w:val="32"/>
          <w:szCs w:val="24"/>
          <w:lang w:eastAsia="zh-CN"/>
        </w:rPr>
        <w:t>缴费金额支付导致</w:t>
      </w:r>
      <w:r>
        <w:rPr>
          <w:rFonts w:hint="eastAsia" w:ascii="仿宋_GB2312" w:hAnsi="仿宋_GB2312" w:eastAsia="仿宋_GB2312" w:cs="Times New Roman"/>
          <w:color w:val="auto"/>
          <w:kern w:val="2"/>
          <w:sz w:val="32"/>
          <w:szCs w:val="24"/>
        </w:rPr>
        <w:t>。</w:t>
      </w:r>
    </w:p>
    <w:p w14:paraId="7D5092FC">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六、一般公共预算财政拨款基本支出决算情况说明</w:t>
      </w:r>
    </w:p>
    <w:p w14:paraId="4E822A90">
      <w:pPr>
        <w:widowControl/>
        <w:spacing w:before="240" w:after="240"/>
        <w:ind w:firstLine="640" w:firstLineChars="200"/>
        <w:rPr>
          <w:rFonts w:ascii="Times New Roman" w:hAnsi="Times New Roman" w:eastAsia="Times New Roman" w:cs="Times New Roman"/>
          <w:kern w:val="0"/>
          <w:sz w:val="24"/>
        </w:rPr>
      </w:pPr>
      <w:r>
        <w:rPr>
          <w:rFonts w:hint="eastAsia" w:ascii="仿宋_GB2312" w:hAnsi="仿宋_GB2312" w:eastAsia="仿宋_GB2312" w:cs="Times New Roman"/>
          <w:color w:val="auto"/>
          <w:kern w:val="2"/>
          <w:sz w:val="32"/>
          <w:szCs w:val="24"/>
        </w:rPr>
        <w:t>赤峰市机关事务管理局</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部门</w:t>
      </w:r>
      <w:r>
        <w:rPr>
          <w:rFonts w:hint="eastAsia" w:ascii="仿宋_GB2312" w:hAnsi="仿宋_GB2312" w:eastAsia="仿宋_GB2312" w:cs="Times New Roman"/>
          <w:color w:val="auto"/>
          <w:kern w:val="2"/>
          <w:sz w:val="32"/>
          <w:szCs w:val="24"/>
          <w:lang w:eastAsia="zh-CN"/>
        </w:rPr>
        <w:t>）</w:t>
      </w:r>
      <w:r>
        <w:rPr>
          <w:rFonts w:hint="eastAsia" w:ascii="仿宋_GB2312" w:hAnsi="仿宋_GB2312" w:eastAsia="仿宋_GB2312" w:cs="Times New Roman"/>
          <w:color w:val="auto"/>
          <w:kern w:val="2"/>
          <w:sz w:val="32"/>
          <w:szCs w:val="24"/>
        </w:rPr>
        <w:t>2024年度一般公共预算财政拨款基本支出决算 4277.23万元，其中：</w:t>
      </w:r>
    </w:p>
    <w:p w14:paraId="16BABE9C">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hint="eastAsia" w:ascii="仿宋_GB2312" w:hAnsi="仿宋_GB2312" w:eastAsia="仿宋_GB2312" w:cs="Times New Roman"/>
          <w:b/>
          <w:color w:val="auto"/>
          <w:kern w:val="2"/>
          <w:sz w:val="32"/>
          <w:szCs w:val="24"/>
        </w:rPr>
        <w:t>（一）人员经费 2279.86万元。</w:t>
      </w:r>
      <w:r>
        <w:rPr>
          <w:rFonts w:hint="eastAsia" w:ascii="仿宋_GB2312" w:hAnsi="仿宋_GB2312" w:eastAsia="仿宋_GB2312" w:cs="Times New Roman"/>
          <w:color w:val="auto"/>
          <w:kern w:val="2"/>
          <w:sz w:val="32"/>
          <w:szCs w:val="24"/>
        </w:rPr>
        <w:t>主要包括：基本工资249.27万元、津贴补贴116.81万元、奖金59.55万元、绩效工资96.09万元、机关事业单位基本养老保险费71.54万元、职业年金缴费7.93万元、职工基本医疗保险缴费37.84万元、公务员医疗补助缴费1.27万元、其他社会保障缴费2.49万元、住房公积金62.03万元、其他工资福利支出1531.85万元、退休费43.19万元。</w:t>
      </w:r>
    </w:p>
    <w:p w14:paraId="0CC47BAA">
      <w:pPr>
        <w:widowControl/>
        <w:spacing w:before="240" w:after="240"/>
        <w:ind w:firstLine="393"/>
        <w:rPr>
          <w:rFonts w:hint="eastAsia" w:ascii="仿宋_GB2312" w:hAnsi="仿宋_GB2312" w:eastAsia="仿宋_GB2312" w:cs="Times New Roman"/>
          <w:color w:val="auto"/>
          <w:kern w:val="2"/>
          <w:sz w:val="32"/>
          <w:szCs w:val="24"/>
        </w:rPr>
      </w:pPr>
      <w:r>
        <w:rPr>
          <w:rFonts w:hint="eastAsia" w:ascii="仿宋_GB2312" w:hAnsi="仿宋_GB2312" w:eastAsia="仿宋_GB2312" w:cs="Times New Roman"/>
          <w:b/>
          <w:color w:val="auto"/>
          <w:kern w:val="2"/>
          <w:sz w:val="32"/>
          <w:szCs w:val="24"/>
        </w:rPr>
        <w:t>（二）公用经费 1997.37万元。</w:t>
      </w:r>
      <w:r>
        <w:rPr>
          <w:rFonts w:hint="eastAsia" w:ascii="仿宋_GB2312" w:hAnsi="仿宋_GB2312" w:eastAsia="仿宋_GB2312" w:cs="Times New Roman"/>
          <w:color w:val="auto"/>
          <w:kern w:val="2"/>
          <w:sz w:val="32"/>
          <w:szCs w:val="24"/>
        </w:rPr>
        <w:t>主要包括：办公费50.58万元、印刷费7.63万元、水费4万元、电费6.92万元、邮电费6.93万元、取暖费568.01万元、物业管理费28.87万元、差旅费486.99万元、培训费0.20万元、劳务费7.65万元、福利费11.75万元、公务用车运行维护费794.61万元、其他交通费用17.92万元，其他商品服务支出5.31万元。</w:t>
      </w:r>
    </w:p>
    <w:p w14:paraId="392AB789">
      <w:pPr>
        <w:widowControl/>
        <w:spacing w:before="240" w:after="240"/>
        <w:ind w:firstLine="393"/>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七、一般公共预算财政拨款项目支出决算情况说明</w:t>
      </w:r>
    </w:p>
    <w:p w14:paraId="5C484033">
      <w:pPr>
        <w:widowControl/>
        <w:spacing w:before="240" w:after="240"/>
        <w:rPr>
          <w:rFonts w:ascii="Times New Roman" w:hAnsi="Times New Roman" w:eastAsia="Times New Roman" w:cs="Times New Roman"/>
          <w:kern w:val="0"/>
          <w:sz w:val="24"/>
        </w:rPr>
      </w:pP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ascii="Calibri" w:hAnsi="Calibri" w:eastAsia="Calibri" w:cs="Calibri"/>
          <w:kern w:val="0"/>
          <w:sz w:val="27"/>
          <w:szCs w:val="27"/>
        </w:rPr>
        <w:t> </w:t>
      </w:r>
      <w:r>
        <w:rPr>
          <w:rFonts w:ascii="仿宋_GB2312" w:hAnsi="仿宋_GB2312" w:eastAsia="仿宋_GB2312" w:cs="仿宋_GB2312"/>
          <w:kern w:val="0"/>
          <w:sz w:val="27"/>
          <w:szCs w:val="27"/>
        </w:rPr>
        <w:t xml:space="preserve"> </w:t>
      </w:r>
      <w:r>
        <w:rPr>
          <w:rFonts w:hint="eastAsia" w:ascii="仿宋_GB2312" w:hAnsi="仿宋_GB2312" w:eastAsia="仿宋_GB2312" w:cs="Times New Roman"/>
          <w:color w:val="000000"/>
          <w:kern w:val="2"/>
          <w:sz w:val="32"/>
          <w:szCs w:val="24"/>
        </w:rPr>
        <w:t>赤峰市机关事务管理局</w:t>
      </w:r>
      <w:r>
        <w:rPr>
          <w:rFonts w:hint="eastAsia" w:ascii="仿宋_GB2312" w:hAnsi="仿宋_GB2312" w:eastAsia="仿宋_GB2312" w:cs="Times New Roman"/>
          <w:color w:val="000000"/>
          <w:kern w:val="2"/>
          <w:sz w:val="32"/>
          <w:szCs w:val="24"/>
          <w:lang w:eastAsia="zh-CN"/>
        </w:rPr>
        <w:t>（</w:t>
      </w:r>
      <w:r>
        <w:rPr>
          <w:rFonts w:hint="eastAsia" w:ascii="仿宋_GB2312" w:hAnsi="仿宋_GB2312" w:eastAsia="仿宋_GB2312" w:cs="Times New Roman"/>
          <w:color w:val="000000"/>
          <w:kern w:val="2"/>
          <w:sz w:val="32"/>
          <w:szCs w:val="24"/>
        </w:rPr>
        <w:t>部门</w:t>
      </w:r>
      <w:r>
        <w:rPr>
          <w:rFonts w:hint="eastAsia" w:ascii="仿宋_GB2312" w:hAnsi="仿宋_GB2312" w:eastAsia="仿宋_GB2312" w:cs="Times New Roman"/>
          <w:color w:val="000000"/>
          <w:kern w:val="2"/>
          <w:sz w:val="32"/>
          <w:szCs w:val="24"/>
          <w:lang w:eastAsia="zh-CN"/>
        </w:rPr>
        <w:t>）</w:t>
      </w:r>
      <w:r>
        <w:rPr>
          <w:rFonts w:hint="eastAsia" w:ascii="仿宋_GB2312" w:hAnsi="仿宋_GB2312" w:eastAsia="仿宋_GB2312" w:cs="Times New Roman"/>
          <w:color w:val="000000"/>
          <w:kern w:val="2"/>
          <w:sz w:val="32"/>
          <w:szCs w:val="24"/>
        </w:rPr>
        <w:t>2024年度一般公共预算财政拨款项目支出决算 </w:t>
      </w:r>
      <w:r>
        <w:rPr>
          <w:rFonts w:hint="eastAsia" w:ascii="仿宋_GB2312" w:hAnsi="仿宋_GB2312" w:eastAsia="仿宋_GB2312" w:cs="Times New Roman"/>
          <w:color w:val="000000"/>
          <w:kern w:val="2"/>
          <w:sz w:val="32"/>
          <w:szCs w:val="24"/>
          <w:lang w:val="en-US" w:eastAsia="zh-CN"/>
        </w:rPr>
        <w:t>4762.22</w:t>
      </w:r>
      <w:r>
        <w:rPr>
          <w:rFonts w:hint="eastAsia" w:ascii="仿宋_GB2312" w:hAnsi="仿宋_GB2312" w:eastAsia="仿宋_GB2312" w:cs="Times New Roman"/>
          <w:color w:val="000000"/>
          <w:kern w:val="2"/>
          <w:sz w:val="32"/>
          <w:szCs w:val="24"/>
        </w:rPr>
        <w:t>万元，其中：</w:t>
      </w:r>
    </w:p>
    <w:p w14:paraId="683515F8">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hint="eastAsia" w:ascii="仿宋_GB2312" w:hAnsi="仿宋_GB2312" w:eastAsia="仿宋_GB2312" w:cs="Times New Roman"/>
          <w:b/>
          <w:color w:val="auto"/>
          <w:kern w:val="2"/>
          <w:sz w:val="32"/>
          <w:szCs w:val="24"/>
        </w:rPr>
        <w:t>（一）工资福利支出 0万元。</w:t>
      </w:r>
    </w:p>
    <w:p w14:paraId="6D87D2CA">
      <w:pPr>
        <w:widowControl/>
        <w:spacing w:before="240" w:after="240"/>
        <w:rPr>
          <w:rFonts w:hint="eastAsia" w:ascii="仿宋_GB2312" w:hAnsi="仿宋_GB2312" w:eastAsia="仿宋_GB2312" w:cs="Times New Roman"/>
          <w:color w:val="000000"/>
          <w:kern w:val="2"/>
          <w:sz w:val="32"/>
          <w:szCs w:val="24"/>
          <w:lang w:val="en-US" w:eastAsia="zh-CN"/>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hint="eastAsia" w:ascii="仿宋_GB2312" w:hAnsi="仿宋_GB2312" w:eastAsia="仿宋_GB2312" w:cs="Times New Roman"/>
          <w:b/>
          <w:color w:val="auto"/>
          <w:kern w:val="2"/>
          <w:sz w:val="32"/>
          <w:szCs w:val="24"/>
        </w:rPr>
        <w:t>（二）商品和服务支出 3835.00万元。</w:t>
      </w:r>
      <w:r>
        <w:rPr>
          <w:rFonts w:hint="eastAsia" w:ascii="仿宋_GB2312" w:hAnsi="仿宋_GB2312" w:eastAsia="仿宋_GB2312" w:cs="Times New Roman"/>
          <w:color w:val="000000"/>
          <w:kern w:val="2"/>
          <w:sz w:val="32"/>
          <w:szCs w:val="24"/>
          <w:lang w:val="en-US" w:eastAsia="zh-CN"/>
        </w:rPr>
        <w:t>主要包括：办公费13.57万元、印刷费22.87万元、水费0.89万元、电费12.98万元、邮电费3.57万元、取暖费7.27万元、物业管理费441.36万元、差旅费295.19万元、维修（护）费1427.42万元、租赁费145.57万元、培训费5.96万元、公务接待费357.07万元、劳务费15.68万元、委托业务费661.96万元、公务用车运行维护费69.83万元、其他交通费用2.55万元、其他商品和服务支出351.28万元。</w:t>
      </w:r>
    </w:p>
    <w:p w14:paraId="171F994B">
      <w:pPr>
        <w:spacing w:beforeLines="0" w:afterLines="0" w:line="560" w:lineRule="exact"/>
        <w:ind w:firstLine="640"/>
        <w:jc w:val="both"/>
        <w:rPr>
          <w:rFonts w:ascii="Times New Roman" w:hAnsi="Times New Roman" w:eastAsia="Times New Roman" w:cs="Times New Roman"/>
          <w:kern w:val="0"/>
          <w:sz w:val="24"/>
        </w:rPr>
      </w:pPr>
      <w:r>
        <w:rPr>
          <w:rFonts w:hint="eastAsia" w:ascii="仿宋_GB2312" w:hAnsi="仿宋_GB2312" w:eastAsia="仿宋_GB2312" w:cs="Times New Roman"/>
          <w:b/>
          <w:color w:val="auto"/>
          <w:kern w:val="2"/>
          <w:sz w:val="32"/>
          <w:szCs w:val="24"/>
          <w:lang w:val="en-US" w:eastAsia="zh-CN"/>
        </w:rPr>
        <w:t>（三）</w:t>
      </w:r>
      <w:r>
        <w:rPr>
          <w:rFonts w:hint="eastAsia" w:ascii="仿宋_GB2312" w:hAnsi="仿宋_GB2312" w:eastAsia="仿宋_GB2312" w:cs="Times New Roman"/>
          <w:b/>
          <w:color w:val="auto"/>
          <w:kern w:val="2"/>
          <w:sz w:val="32"/>
          <w:szCs w:val="24"/>
        </w:rPr>
        <w:t>资本性支出</w:t>
      </w:r>
      <w:r>
        <w:rPr>
          <w:rFonts w:hint="eastAsia" w:ascii="仿宋_GB2312" w:hAnsi="仿宋_GB2312" w:eastAsia="仿宋_GB2312" w:cs="Times New Roman"/>
          <w:b/>
          <w:color w:val="auto"/>
          <w:kern w:val="2"/>
          <w:sz w:val="32"/>
          <w:szCs w:val="24"/>
          <w:lang w:val="en-US" w:eastAsia="zh-CN"/>
        </w:rPr>
        <w:t>587.83</w:t>
      </w:r>
      <w:r>
        <w:rPr>
          <w:rFonts w:hint="eastAsia" w:ascii="仿宋_GB2312" w:hAnsi="仿宋_GB2312" w:eastAsia="仿宋_GB2312" w:cs="Times New Roman"/>
          <w:b/>
          <w:color w:val="auto"/>
          <w:kern w:val="2"/>
          <w:sz w:val="32"/>
          <w:szCs w:val="24"/>
        </w:rPr>
        <w:t>万元。</w:t>
      </w:r>
      <w:r>
        <w:rPr>
          <w:rFonts w:hint="eastAsia" w:ascii="仿宋_GB2312" w:hAnsi="仿宋_GB2312" w:eastAsia="仿宋_GB2312" w:cs="Times New Roman"/>
          <w:color w:val="000000"/>
          <w:kern w:val="2"/>
          <w:sz w:val="32"/>
          <w:szCs w:val="24"/>
          <w:lang w:val="en-US" w:eastAsia="zh-CN"/>
        </w:rPr>
        <w:t>主要包括：办公设备购置893.49万元、信息网络及软件购置更新29.86万元、公务用车购置3.87万元。</w:t>
      </w:r>
    </w:p>
    <w:p w14:paraId="4C098531">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八、财政拨款“三公”经费支出决算情况说明</w:t>
      </w:r>
    </w:p>
    <w:p w14:paraId="1C196C90">
      <w:pPr>
        <w:widowControl/>
        <w:spacing w:before="240" w:after="240"/>
        <w:jc w:val="left"/>
        <w:rPr>
          <w:rFonts w:hint="eastAsia" w:ascii="仿宋_GB2312" w:hAnsi="仿宋_GB2312" w:eastAsia="仿宋_GB2312" w:cs="Times New Roman"/>
          <w:b/>
          <w:color w:val="auto"/>
          <w:kern w:val="2"/>
          <w:sz w:val="32"/>
          <w:szCs w:val="24"/>
        </w:rPr>
      </w:pPr>
      <w:r>
        <w:rPr>
          <w:rFonts w:ascii="kai_ti_gb2312" w:hAnsi="kai_ti_gb2312" w:eastAsia="kai_ti_gb2312" w:cs="kai_ti_gb2312"/>
          <w:b/>
          <w:bCs/>
          <w:kern w:val="0"/>
          <w:sz w:val="27"/>
          <w:szCs w:val="27"/>
        </w:rPr>
        <w:t xml:space="preserve">    </w:t>
      </w:r>
      <w:r>
        <w:rPr>
          <w:rFonts w:hint="eastAsia" w:ascii="仿宋_GB2312" w:hAnsi="仿宋_GB2312" w:eastAsia="仿宋_GB2312" w:cs="Times New Roman"/>
          <w:b/>
          <w:color w:val="auto"/>
          <w:kern w:val="2"/>
          <w:sz w:val="32"/>
          <w:szCs w:val="24"/>
        </w:rPr>
        <w:t>（一）财政拨款“三公”经费支出总体情况说明。</w:t>
      </w:r>
    </w:p>
    <w:p w14:paraId="231318FC">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赤峰市机关事务管理局（部门） 2024年度财政拨款“三公”经费全年预算 1225.38万元，支出决算 1225.38万元，完成预算的 100.00%。其中：因公出国（境）费全年预算 0万元，支出决算 0万元，完成预算的 0%；公务用车购置及运行维护费全年预算 868.32万元，支出决算 868.32万元，完成预算的 100.00%；公务接待费全年预算 357.07万元，支出决算 357.07万元，完成预算的 100.00%。2024年度一般公共预算财政拨款“三公”经费全年预算 1225.38万元，支出决算 1225.38万元，与全年预算无差异。</w:t>
      </w:r>
    </w:p>
    <w:p w14:paraId="6DB5E384">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xml:space="preserve">    </w:t>
      </w:r>
      <w:r>
        <w:rPr>
          <w:rFonts w:hint="eastAsia" w:ascii="仿宋_GB2312" w:hAnsi="仿宋_GB2312" w:eastAsia="仿宋_GB2312" w:cs="Times New Roman"/>
          <w:b/>
          <w:color w:val="auto"/>
          <w:kern w:val="2"/>
          <w:sz w:val="32"/>
          <w:szCs w:val="24"/>
        </w:rPr>
        <w:t>（二）财政拨款“三公”经费支出具体情况说明。</w:t>
      </w:r>
    </w:p>
    <w:p w14:paraId="700D155A">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赤峰市机关事务管理局（部门） 2024年度财政拨款“三公”经费支出 1225.38万元。因公出国（境）费支出 0万元，占 0%；公务用车购置及运行维护费支出 868.32万元，占 70.86%；公务接待费支出 357.07万元，占 29.14%。其中：</w:t>
      </w:r>
    </w:p>
    <w:p w14:paraId="1FB5B121">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 1．因公出国（境）费支出 0万元，全年出国（境）团组0 个，累计0 人次。与上年决算相比，增加（减少） 0万元，增长（下降） 0%，变动原因：无此类支出。</w:t>
      </w:r>
    </w:p>
    <w:p w14:paraId="6E6DB9C1">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 2．公务用车购置及运行维护费支出 868.32万元。其中：</w:t>
      </w:r>
    </w:p>
    <w:p w14:paraId="52D4B1CB">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（1）公务用车购置支出 3.87万元。本年度使用财政拨款购置公务用车0 辆，开支内容：公务用车购置税。与上年决算相比，减少40.75万元，下降91.32%，变动原因：我单位2023年末购置公务用车，于2024年缴纳购置税。</w:t>
      </w:r>
    </w:p>
    <w:p w14:paraId="16BA49C2">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（2）公务用车运行维护费支出 864.44万元。公务用车运行维护费主要用于按规定保留的公务用车的燃料费、维修费、过桥过路费、保险费等支出。截至2024年12月31日，使用财政拨款开支的公务用车保有量为162 辆。与上年决算相比，增加 7.06万元，增长 0.82%，变动原因：根据本年度实际发生业务进行支付。</w:t>
      </w:r>
    </w:p>
    <w:p w14:paraId="7AD00C76">
      <w:pPr>
        <w:widowControl/>
        <w:spacing w:before="240" w:after="240"/>
        <w:ind w:firstLine="640" w:firstLineChars="200"/>
        <w:jc w:val="left"/>
        <w:rPr>
          <w:rFonts w:hint="eastAsia" w:ascii="仿宋_GB2312" w:hAnsi="仿宋_GB2312" w:eastAsia="仿宋_GB2312" w:cs="Times New Roman"/>
          <w:color w:val="000000"/>
          <w:kern w:val="2"/>
          <w:sz w:val="32"/>
          <w:szCs w:val="24"/>
          <w:lang w:val="en-US" w:eastAsia="zh-CN"/>
        </w:rPr>
      </w:pPr>
      <w:r>
        <w:rPr>
          <w:rFonts w:hint="eastAsia" w:ascii="仿宋_GB2312" w:hAnsi="仿宋_GB2312" w:eastAsia="仿宋_GB2312" w:cs="Times New Roman"/>
          <w:color w:val="000000"/>
          <w:kern w:val="2"/>
          <w:sz w:val="32"/>
          <w:szCs w:val="24"/>
          <w:lang w:val="en-US" w:eastAsia="zh-CN"/>
        </w:rPr>
        <w:t>3.公务接待费支出 357.07万元。其中：国内公务接待支出 357.07万元，接待768批次，13733人次，开支内容：承担副厅级以上公务接待对象、代表国家或自治区层面的工作团组、区内外相关来访团组以及其他重要宾客的具体接待服务保障工作；国（境）外公务接待支出 0万元，接待0批次，0人次，开支内容：无。与上年决算相比，减少282.85万元，下降44.20%，变动原因：相关人员报账不及时，财政经费未能及时拨付。</w:t>
      </w:r>
    </w:p>
    <w:p w14:paraId="0E020D00">
      <w:pPr>
        <w:widowControl/>
        <w:spacing w:before="240" w:after="240"/>
        <w:ind w:firstLine="643" w:firstLineChars="200"/>
        <w:jc w:val="left"/>
        <w:rPr>
          <w:rFonts w:ascii="Times New Roman" w:hAnsi="Times New Roman" w:eastAsia="Times New Roman" w:cs="Times New Roman"/>
          <w:kern w:val="0"/>
          <w:sz w:val="24"/>
        </w:rPr>
      </w:pPr>
      <w:r>
        <w:rPr>
          <w:rFonts w:hint="eastAsia" w:ascii="黑体" w:hAnsi="黑体" w:eastAsia="黑体" w:cs="Times New Roman"/>
          <w:b/>
          <w:color w:val="auto"/>
          <w:kern w:val="2"/>
          <w:sz w:val="32"/>
          <w:szCs w:val="24"/>
        </w:rPr>
        <w:t>九、政府性基金预算财政拨款支出决算情况说明</w:t>
      </w:r>
    </w:p>
    <w:p w14:paraId="316DDF58">
      <w:pPr>
        <w:widowControl/>
        <w:spacing w:before="240" w:after="240"/>
        <w:ind w:firstLine="620" w:firstLineChars="200"/>
        <w:rPr>
          <w:rFonts w:ascii="Times New Roman" w:hAnsi="Times New Roman" w:eastAsia="Times New Roman" w:cs="Times New Roman"/>
          <w:kern w:val="0"/>
          <w:sz w:val="24"/>
        </w:rPr>
      </w:pPr>
      <w:r>
        <w:rPr>
          <w:rFonts w:hint="eastAsia" w:ascii="仿宋" w:hAnsi="仿宋" w:eastAsia="仿宋" w:cs="仿宋"/>
          <w:color w:val="000000"/>
          <w:kern w:val="0"/>
          <w:sz w:val="31"/>
          <w:szCs w:val="31"/>
          <w:lang w:val="en-US" w:eastAsia="zh-CN" w:bidi="ar"/>
        </w:rPr>
        <w:t>赤峰市机关事务管理局（部门）2024年度政府性基金预算财政拨款支出决算 0.00万元。与上年决算相比，增加 0.00万元，增长0%，变动原因：本部门无政府性基金预算财政拨款收、支、余。其中：</w:t>
      </w:r>
    </w:p>
    <w:p w14:paraId="4FEE0B12">
      <w:pPr>
        <w:widowControl/>
        <w:spacing w:before="240" w:after="240"/>
        <w:jc w:val="left"/>
        <w:rPr>
          <w:rFonts w:hint="eastAsia" w:ascii="黑体" w:hAnsi="黑体" w:eastAsia="黑体" w:cs="Times New Roman"/>
          <w:b/>
          <w:color w:val="auto"/>
          <w:kern w:val="2"/>
          <w:sz w:val="32"/>
          <w:szCs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Times New Roman"/>
          <w:b/>
          <w:color w:val="auto"/>
          <w:kern w:val="2"/>
          <w:sz w:val="32"/>
          <w:szCs w:val="24"/>
        </w:rPr>
        <w:t>十、国有资本经营预算财政拨款支出决算情况说明</w:t>
      </w:r>
    </w:p>
    <w:p w14:paraId="038EC1DA">
      <w:pPr>
        <w:widowControl/>
        <w:spacing w:before="240" w:after="240"/>
        <w:ind w:firstLine="620" w:firstLineChars="200"/>
        <w:rPr>
          <w:rFonts w:ascii="Times New Roman" w:hAnsi="Times New Roman" w:eastAsia="Times New Roman" w:cs="Times New Roman"/>
          <w:kern w:val="0"/>
          <w:sz w:val="24"/>
        </w:rPr>
      </w:pPr>
      <w:r>
        <w:rPr>
          <w:rFonts w:hint="eastAsia" w:ascii="仿宋" w:hAnsi="仿宋" w:eastAsia="仿宋" w:cs="仿宋"/>
          <w:color w:val="000000"/>
          <w:kern w:val="0"/>
          <w:sz w:val="31"/>
          <w:szCs w:val="31"/>
          <w:lang w:val="en-US" w:eastAsia="zh-CN" w:bidi="ar"/>
        </w:rPr>
        <w:t>赤峰市机关事务管理局（</w:t>
      </w:r>
      <w:r>
        <w:rPr>
          <w:rFonts w:hint="eastAsia" w:ascii="仿宋_GB2312" w:hAnsi="仿宋_GB2312" w:eastAsia="仿宋_GB2312" w:cs="Times New Roman"/>
          <w:color w:val="auto"/>
          <w:kern w:val="2"/>
          <w:sz w:val="32"/>
          <w:szCs w:val="24"/>
          <w:lang w:eastAsia="zh-CN"/>
        </w:rPr>
        <w:t>部门</w:t>
      </w:r>
      <w:r>
        <w:rPr>
          <w:rFonts w:hint="eastAsia" w:ascii="仿宋" w:hAnsi="仿宋" w:eastAsia="仿宋" w:cs="仿宋"/>
          <w:color w:val="000000"/>
          <w:kern w:val="0"/>
          <w:sz w:val="31"/>
          <w:szCs w:val="31"/>
          <w:lang w:val="en-US" w:eastAsia="zh-CN" w:bidi="ar"/>
        </w:rPr>
        <w:t>） 2024年度国有资本经营预算财政拨款支出决算 0万元。与上年决算相比，增加 0万元，增长0%，变动原因：本年无国有资本经营预算财政拨款收、支、余。</w:t>
      </w:r>
    </w:p>
    <w:p w14:paraId="1CAA4B8D">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Times New Roman"/>
          <w:b/>
          <w:color w:val="auto"/>
          <w:kern w:val="2"/>
          <w:sz w:val="32"/>
          <w:szCs w:val="24"/>
        </w:rPr>
        <w:t>十一、机构运行经费支出决算情况说明</w:t>
      </w:r>
    </w:p>
    <w:p w14:paraId="38CC10E8">
      <w:pPr>
        <w:widowControl/>
        <w:spacing w:before="240" w:after="240"/>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赤峰市机关事务管理局（部门）2024年度机构运行经费支出决算 1997.37万元。比上年决算相比，增加304.15万元，增长18.18%，变动原因：中心本年度年初预算安排追加差旅费，与上年决算支出相比较高。</w:t>
      </w:r>
    </w:p>
    <w:p w14:paraId="78BE72CD">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hint="eastAsia" w:ascii="黑体" w:hAnsi="黑体" w:eastAsia="黑体" w:cs="Times New Roman"/>
          <w:b/>
          <w:color w:val="auto"/>
          <w:kern w:val="2"/>
          <w:sz w:val="32"/>
          <w:szCs w:val="24"/>
        </w:rPr>
        <w:t>十二、政府采购支出决算情况说明</w:t>
      </w:r>
    </w:p>
    <w:p w14:paraId="5C4D6929">
      <w:pPr>
        <w:widowControl/>
        <w:spacing w:before="240" w:after="240"/>
        <w:ind w:firstLine="620" w:firstLineChars="200"/>
        <w:rPr>
          <w:rFonts w:ascii="Times New Roman" w:hAnsi="Times New Roman" w:eastAsia="Times New Roman" w:cs="Times New Roman"/>
          <w:kern w:val="0"/>
          <w:sz w:val="24"/>
        </w:rPr>
      </w:pPr>
      <w:r>
        <w:rPr>
          <w:rFonts w:hint="eastAsia" w:ascii="仿宋" w:hAnsi="仿宋" w:eastAsia="仿宋" w:cs="仿宋"/>
          <w:color w:val="000000"/>
          <w:kern w:val="0"/>
          <w:sz w:val="31"/>
          <w:szCs w:val="31"/>
          <w:lang w:val="en-US" w:eastAsia="zh-CN" w:bidi="ar"/>
        </w:rPr>
        <w:t>赤峰市机关事务管理局（部门）2024年度政府采购支出总额1408.17万元，其中：政府采购货物支出 50.50万元、政府采购工程支出 210.92万元、政府采购服务支出 1146.76万元。政府采购授予中小企业合同金额 738.81万元，占政府采购支出总额的52.47%，其中：授予小微企业合同金额726.53万元，占政府采购支出总额的51.59%；货物采购授予中小企业合同金额占货物支出金额的98.58%，工程采购授予中小企业合同金额占工程支出金额的100%，服务采购授予中小企业合同金额占服务支出金额的55.53%。</w:t>
      </w:r>
    </w:p>
    <w:p w14:paraId="6B6CCBED">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十三、国有资产占用情况说明</w:t>
      </w:r>
    </w:p>
    <w:p w14:paraId="3F1D2A3A">
      <w:pPr>
        <w:widowControl/>
        <w:spacing w:before="240" w:after="24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赤峰市机关事务管理局（部门）截至2024年12月31日，本部门共有车辆 176辆，其中：副部（省）级及以上领导用车0 辆、主要负责人用车 0辆、机要通信用车120辆、应急保障用车 19辆、执法执勤用车 19辆、特种专业技术用车 0辆、离退休干部服务用车 5辆，其他用车 13辆；单价100万元（含）以上的设备（不含车辆） 3台（套）。</w:t>
      </w:r>
    </w:p>
    <w:p w14:paraId="69C4F270">
      <w:pPr>
        <w:pageBreakBefore w:val="0"/>
        <w:widowControl/>
        <w:kinsoku/>
        <w:wordWrap/>
        <w:overflowPunct/>
        <w:topLinePunct w:val="0"/>
        <w:bidi w:val="0"/>
        <w:spacing w:before="240" w:after="240" w:line="580" w:lineRule="exact"/>
        <w:ind w:firstLine="643" w:firstLineChars="200"/>
        <w:jc w:val="left"/>
        <w:textAlignment w:val="auto"/>
        <w:rPr>
          <w:rFonts w:hint="eastAsia" w:ascii="黑体" w:hAnsi="黑体" w:eastAsia="黑体" w:cs="Times New Roman"/>
          <w:b/>
          <w:color w:val="auto"/>
          <w:kern w:val="2"/>
          <w:sz w:val="32"/>
          <w:szCs w:val="24"/>
        </w:rPr>
      </w:pPr>
      <w:r>
        <w:rPr>
          <w:rFonts w:hint="eastAsia" w:ascii="黑体" w:hAnsi="黑体" w:eastAsia="黑体" w:cs="Times New Roman"/>
          <w:b/>
          <w:color w:val="auto"/>
          <w:kern w:val="2"/>
          <w:sz w:val="32"/>
          <w:szCs w:val="24"/>
        </w:rPr>
        <w:t>十四、预算绩效情况说明</w:t>
      </w:r>
    </w:p>
    <w:p w14:paraId="06365CE1">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（一）预算绩效管理工作开展情况。</w:t>
      </w:r>
    </w:p>
    <w:p w14:paraId="6D56421C">
      <w:pPr>
        <w:widowControl/>
        <w:spacing w:before="240" w:after="240"/>
        <w:rPr>
          <w:rFonts w:hint="eastAsia" w:ascii="仿宋" w:hAnsi="仿宋" w:eastAsia="仿宋" w:cs="仿宋"/>
          <w:color w:val="000000"/>
          <w:kern w:val="0"/>
          <w:sz w:val="31"/>
          <w:szCs w:val="31"/>
          <w:lang w:val="en-US" w:eastAsia="zh-CN" w:bidi="ar"/>
        </w:rPr>
      </w:pPr>
      <w:r>
        <w:rPr>
          <w:rFonts w:ascii="Calibri" w:hAnsi="Calibri" w:eastAsia="Calibri" w:cs="Calibri"/>
          <w:kern w:val="0"/>
          <w:sz w:val="27"/>
          <w:szCs w:val="27"/>
        </w:rPr>
        <w:t> </w:t>
      </w:r>
      <w:r>
        <w:rPr>
          <w:rFonts w:hint="eastAsia" w:ascii="Calibri" w:hAnsi="Calibri" w:eastAsia="宋体" w:cs="Calibri"/>
          <w:kern w:val="0"/>
          <w:sz w:val="27"/>
          <w:szCs w:val="27"/>
          <w:lang w:val="en-US" w:eastAsia="zh-CN"/>
        </w:rPr>
        <w:t xml:space="preserve">    </w:t>
      </w:r>
      <w:r>
        <w:rPr>
          <w:rFonts w:hint="eastAsia" w:ascii="仿宋" w:hAnsi="仿宋" w:eastAsia="仿宋" w:cs="仿宋"/>
          <w:color w:val="000000"/>
          <w:kern w:val="0"/>
          <w:sz w:val="31"/>
          <w:szCs w:val="31"/>
          <w:lang w:val="en-US" w:eastAsia="zh-CN" w:bidi="ar"/>
        </w:rPr>
        <w:t>赤峰市机关事务管理局（部门）根据预算绩效管理要求组织对2024年一般公共预算项目支出全面开展绩效自评，其中一级项目0  个，二级项目41个，共涉及资金4762.22万元，占一般公共预算项目支出总额的100%；无政府性基金预算项目。</w:t>
      </w:r>
    </w:p>
    <w:p w14:paraId="2AD76F26">
      <w:pPr>
        <w:widowControl/>
        <w:spacing w:before="240" w:after="240"/>
        <w:ind w:firstLine="620" w:firstLineChars="200"/>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无重点本部门无重点评价项目，无其他类资金的项目。</w:t>
      </w:r>
    </w:p>
    <w:p w14:paraId="381AEC22">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w:t>
      </w:r>
      <w:r>
        <w:rPr>
          <w:rFonts w:hint="eastAsia" w:ascii="楷体" w:hAnsi="楷体" w:eastAsia="楷体" w:cs="Times New Roman"/>
          <w:b/>
          <w:color w:val="auto"/>
          <w:kern w:val="2"/>
          <w:sz w:val="32"/>
          <w:szCs w:val="24"/>
          <w:lang w:val="en-US" w:eastAsia="zh-CN"/>
        </w:rPr>
        <w:t>二</w:t>
      </w:r>
      <w:r>
        <w:rPr>
          <w:rFonts w:hint="eastAsia" w:ascii="楷体" w:hAnsi="楷体" w:eastAsia="楷体" w:cs="Times New Roman"/>
          <w:b/>
          <w:color w:val="auto"/>
          <w:kern w:val="2"/>
          <w:sz w:val="32"/>
          <w:szCs w:val="24"/>
        </w:rPr>
        <w:t>）部门决算中项目绩效自评结果。</w:t>
      </w:r>
    </w:p>
    <w:p w14:paraId="49BD46DF">
      <w:pPr>
        <w:widowControl/>
        <w:spacing w:before="240" w:after="240"/>
        <w:rPr>
          <w:rFonts w:hint="eastAsia" w:ascii="仿宋" w:hAnsi="仿宋" w:eastAsia="仿宋" w:cs="仿宋"/>
          <w:color w:val="000000"/>
          <w:kern w:val="0"/>
          <w:sz w:val="31"/>
          <w:szCs w:val="31"/>
          <w:lang w:val="en-US" w:eastAsia="zh-CN" w:bidi="ar"/>
        </w:rPr>
      </w:pPr>
      <w:r>
        <w:rPr>
          <w:rFonts w:ascii="Calibri" w:hAnsi="Calibri" w:eastAsia="Calibri" w:cs="Calibri"/>
          <w:kern w:val="0"/>
          <w:sz w:val="27"/>
          <w:szCs w:val="27"/>
        </w:rPr>
        <w:t> </w:t>
      </w:r>
      <w:r>
        <w:rPr>
          <w:rFonts w:hint="eastAsia" w:ascii="仿宋" w:hAnsi="仿宋" w:eastAsia="仿宋" w:cs="仿宋"/>
          <w:color w:val="000000"/>
          <w:kern w:val="0"/>
          <w:sz w:val="31"/>
          <w:szCs w:val="31"/>
          <w:lang w:val="en-US" w:eastAsia="zh-CN" w:bidi="ar"/>
        </w:rPr>
        <w:t xml:space="preserve"> 赤峰市机关事务管理局（部门） 2024年度在决算中反映41个一般公共预算项目，以及0个政府性基金项目，共41个项目的绩效自评结果。</w:t>
      </w:r>
    </w:p>
    <w:p w14:paraId="2ED1B344">
      <w:pPr>
        <w:pageBreakBefore w:val="0"/>
        <w:widowControl/>
        <w:kinsoku/>
        <w:wordWrap/>
        <w:overflowPunct/>
        <w:topLinePunct w:val="0"/>
        <w:bidi w:val="0"/>
        <w:spacing w:before="240" w:after="240" w:line="580" w:lineRule="exact"/>
        <w:ind w:firstLine="620" w:firstLineChars="200"/>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1.公共机构节能专项经费项目自评综述：公共机构节能专项经费项目自评综述：根据年初设定的绩效目标，项目自评得分</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99.56分。全年预算数为9万元，执行数为8.82万元，完成预算的</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98</w:t>
      </w:r>
      <w:r>
        <w:rPr>
          <w:rFonts w:hint="eastAsia" w:ascii="仿宋" w:hAnsi="仿宋" w:eastAsia="仿宋" w:cs="仿宋"/>
          <w:color w:val="000000"/>
          <w:kern w:val="0"/>
          <w:sz w:val="31"/>
          <w:szCs w:val="31"/>
          <w:lang w:val="en-US" w:eastAsia="en-US" w:bidi="ar"/>
        </w:rPr>
        <w:t>%</w:t>
      </w:r>
      <w:r>
        <w:rPr>
          <w:rFonts w:hint="eastAsia" w:ascii="仿宋" w:hAnsi="仿宋" w:eastAsia="仿宋" w:cs="仿宋"/>
          <w:color w:val="000000"/>
          <w:kern w:val="0"/>
          <w:sz w:val="31"/>
          <w:szCs w:val="31"/>
          <w:lang w:val="en-US" w:eastAsia="zh-CN" w:bidi="ar"/>
        </w:rPr>
        <w:t>。项目绩效目标完成情况：</w:t>
      </w:r>
      <w:r>
        <w:rPr>
          <w:rFonts w:hint="default" w:ascii="仿宋" w:hAnsi="仿宋" w:eastAsia="仿宋" w:cs="仿宋"/>
          <w:color w:val="000000"/>
          <w:kern w:val="0"/>
          <w:sz w:val="31"/>
          <w:szCs w:val="31"/>
          <w:lang w:val="en-US" w:eastAsia="zh-CN" w:bidi="ar"/>
        </w:rPr>
        <w:t>资金主要用于完成本级各单位公共机构节能业务学习培训，做好全市公共机构节能宣传;做好全市公共机构节能规划、指导</w:t>
      </w:r>
      <w:r>
        <w:rPr>
          <w:rFonts w:hint="eastAsia" w:ascii="仿宋" w:hAnsi="仿宋" w:eastAsia="仿宋" w:cs="仿宋"/>
          <w:color w:val="000000"/>
          <w:kern w:val="0"/>
          <w:sz w:val="31"/>
          <w:szCs w:val="31"/>
          <w:lang w:val="en-US" w:eastAsia="zh-CN" w:bidi="ar"/>
        </w:rPr>
        <w:t>、</w:t>
      </w:r>
      <w:r>
        <w:rPr>
          <w:rFonts w:hint="default" w:ascii="仿宋" w:hAnsi="仿宋" w:eastAsia="仿宋" w:cs="仿宋"/>
          <w:color w:val="000000"/>
          <w:kern w:val="0"/>
          <w:sz w:val="31"/>
          <w:szCs w:val="31"/>
          <w:lang w:val="en-US" w:eastAsia="zh-CN" w:bidi="ar"/>
        </w:rPr>
        <w:t>督促、检查、考核。资金支出准确无误，支出审批程序规范，支出附件齐全，大项指出均经单位主要领导研究审核审议，资金支出未发生超规范、超支出标准，不存在截留、挤占、挪用、序列支出以及其他不符合制度规定的支出。</w:t>
      </w:r>
      <w:r>
        <w:rPr>
          <w:rFonts w:hint="eastAsia" w:ascii="仿宋" w:hAnsi="仿宋" w:eastAsia="仿宋" w:cs="仿宋"/>
          <w:color w:val="000000"/>
          <w:kern w:val="0"/>
          <w:sz w:val="31"/>
          <w:szCs w:val="31"/>
          <w:lang w:val="en-US" w:eastAsia="zh-CN" w:bidi="ar"/>
        </w:rPr>
        <w:t>项目立项、实施、资金管理使用均不存在问题。下一步改进措施：</w:t>
      </w:r>
      <w:r>
        <w:rPr>
          <w:rFonts w:hint="default" w:ascii="仿宋" w:hAnsi="仿宋" w:eastAsia="仿宋" w:cs="仿宋"/>
          <w:color w:val="000000"/>
          <w:kern w:val="0"/>
          <w:sz w:val="31"/>
          <w:szCs w:val="31"/>
          <w:lang w:val="en-US" w:eastAsia="zh-CN" w:bidi="ar"/>
        </w:rPr>
        <w:t>我单位将持续关注公共机构节能情况，不断完善自身绩效工作，提高业务水平与能力，合理合规使用资金，规范进行会计核算，在以后工作中不断强化对项目绩效的落实工作， 持续高质量完成年初设定目标。</w:t>
      </w:r>
    </w:p>
    <w:p w14:paraId="22BF551D">
      <w:pPr>
        <w:pageBreakBefore w:val="0"/>
        <w:widowControl/>
        <w:kinsoku/>
        <w:wordWrap/>
        <w:overflowPunct/>
        <w:topLinePunct w:val="0"/>
        <w:bidi w:val="0"/>
        <w:spacing w:before="240" w:after="240" w:line="580" w:lineRule="exact"/>
        <w:ind w:firstLine="620" w:firstLineChars="200"/>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2.市本级办公用房维修处置评审评估费项目自评综述：根据年初设定的绩效目标，项目自评得分</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100分。全年预算数为9万元，执行数为8.79万元，完成预算的</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97.67</w:t>
      </w:r>
      <w:r>
        <w:rPr>
          <w:rFonts w:hint="eastAsia" w:ascii="仿宋" w:hAnsi="仿宋" w:eastAsia="仿宋" w:cs="仿宋"/>
          <w:color w:val="000000"/>
          <w:kern w:val="0"/>
          <w:sz w:val="31"/>
          <w:szCs w:val="31"/>
          <w:lang w:val="en-US" w:eastAsia="en-US" w:bidi="ar"/>
        </w:rPr>
        <w:t>%</w:t>
      </w:r>
      <w:r>
        <w:rPr>
          <w:rFonts w:hint="eastAsia" w:ascii="仿宋" w:hAnsi="仿宋" w:eastAsia="仿宋" w:cs="仿宋"/>
          <w:color w:val="000000"/>
          <w:kern w:val="0"/>
          <w:sz w:val="31"/>
          <w:szCs w:val="31"/>
          <w:lang w:val="en-US" w:eastAsia="zh-CN" w:bidi="ar"/>
        </w:rPr>
        <w:t>。项目绩效目标完成情况：已经完成待处置的市本级党政机关单位办公用房进行价值评估及安全评估工作，避免了办公用房维修改造期间产生浪费，切实节约财政经费支出。维护维修了闲置用房，维护国有资产保值增值。项目立项、实施、资金管理使用均不存在问题。下一步改进措施：</w:t>
      </w:r>
      <w:r>
        <w:rPr>
          <w:rFonts w:hint="default" w:ascii="仿宋" w:hAnsi="仿宋" w:eastAsia="仿宋" w:cs="仿宋"/>
          <w:color w:val="000000"/>
          <w:kern w:val="0"/>
          <w:sz w:val="31"/>
          <w:szCs w:val="31"/>
          <w:lang w:val="en-US" w:eastAsia="zh-CN" w:bidi="ar"/>
        </w:rPr>
        <w:t>在以后年度工作中，我单位将持续关注市本级办公用房处置评估及安全评估情况，进一步细化量化绩效管理工作与预算项目。进一步强化预算管理意识，预算编制前多与有关部门做好沟通协调，提高预算编制的科学性、合理性、准确性和可控性。</w:t>
      </w:r>
    </w:p>
    <w:p w14:paraId="0E5EC321">
      <w:pPr>
        <w:pageBreakBefore w:val="0"/>
        <w:widowControl/>
        <w:kinsoku/>
        <w:wordWrap/>
        <w:overflowPunct/>
        <w:topLinePunct w:val="0"/>
        <w:bidi w:val="0"/>
        <w:spacing w:before="240" w:after="240" w:line="580" w:lineRule="exact"/>
        <w:ind w:firstLine="620" w:firstLineChars="200"/>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3.</w:t>
      </w:r>
      <w:r>
        <w:rPr>
          <w:rFonts w:hint="default" w:ascii="仿宋" w:hAnsi="仿宋" w:eastAsia="仿宋" w:cs="仿宋"/>
          <w:color w:val="000000"/>
          <w:kern w:val="0"/>
          <w:sz w:val="31"/>
          <w:szCs w:val="31"/>
          <w:lang w:val="en-US" w:eastAsia="zh-CN" w:bidi="ar"/>
        </w:rPr>
        <w:t>市党政综合楼维修改造</w:t>
      </w:r>
      <w:r>
        <w:rPr>
          <w:rFonts w:hint="eastAsia" w:ascii="仿宋" w:hAnsi="仿宋" w:eastAsia="仿宋" w:cs="仿宋"/>
          <w:color w:val="000000"/>
          <w:kern w:val="0"/>
          <w:sz w:val="31"/>
          <w:szCs w:val="31"/>
          <w:lang w:val="en-US" w:eastAsia="zh-CN" w:bidi="ar"/>
        </w:rPr>
        <w:t>项目自评综述：根据年初设定的绩效目标，项目自评得分</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100分。全年预算数为61.70万元，执行数为61.70万元，完成预算的</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100</w:t>
      </w:r>
      <w:r>
        <w:rPr>
          <w:rFonts w:hint="eastAsia" w:ascii="仿宋" w:hAnsi="仿宋" w:eastAsia="仿宋" w:cs="仿宋"/>
          <w:color w:val="000000"/>
          <w:kern w:val="0"/>
          <w:sz w:val="31"/>
          <w:szCs w:val="31"/>
          <w:lang w:val="en-US" w:eastAsia="en-US" w:bidi="ar"/>
        </w:rPr>
        <w:t xml:space="preserve"> %</w:t>
      </w:r>
      <w:r>
        <w:rPr>
          <w:rFonts w:hint="eastAsia" w:ascii="仿宋" w:hAnsi="仿宋" w:eastAsia="仿宋" w:cs="仿宋"/>
          <w:color w:val="000000"/>
          <w:kern w:val="0"/>
          <w:sz w:val="31"/>
          <w:szCs w:val="31"/>
          <w:lang w:val="en-US" w:eastAsia="zh-CN" w:bidi="ar"/>
        </w:rPr>
        <w:t>。项目绩效目标完成情况：</w:t>
      </w:r>
      <w:r>
        <w:rPr>
          <w:rFonts w:hint="default" w:ascii="仿宋" w:hAnsi="仿宋" w:eastAsia="仿宋" w:cs="仿宋"/>
          <w:color w:val="000000"/>
          <w:kern w:val="0"/>
          <w:sz w:val="31"/>
          <w:szCs w:val="31"/>
          <w:lang w:val="en-US" w:eastAsia="zh-CN" w:bidi="ar"/>
        </w:rPr>
        <w:t>资金主要用于对市党政综合楼维修改造，包括原纪委谈话室改造、综合楼办公用房改造等工程。均已如期完工。该项目满足了综合楼工作人员日常工作需要，完善了党政综合楼整体功能。资金支出准确无误，支出审批程序规范，支出附件齐全</w:t>
      </w:r>
      <w:r>
        <w:rPr>
          <w:rFonts w:hint="eastAsia" w:ascii="仿宋" w:hAnsi="仿宋" w:eastAsia="仿宋" w:cs="仿宋"/>
          <w:color w:val="000000"/>
          <w:kern w:val="0"/>
          <w:sz w:val="31"/>
          <w:szCs w:val="31"/>
          <w:lang w:val="en-US" w:eastAsia="zh-CN" w:bidi="ar"/>
        </w:rPr>
        <w:t>。项目立项、实施、资金管理使用均不存在问题。下一步改进措施：</w:t>
      </w:r>
      <w:r>
        <w:rPr>
          <w:rFonts w:hint="default" w:ascii="仿宋" w:hAnsi="仿宋" w:eastAsia="仿宋" w:cs="仿宋"/>
          <w:color w:val="000000"/>
          <w:kern w:val="0"/>
          <w:sz w:val="31"/>
          <w:szCs w:val="31"/>
          <w:lang w:val="en-US" w:eastAsia="zh-CN" w:bidi="ar"/>
        </w:rPr>
        <w:t>强化预算的刚性约束，凡事做到“先预算后开支”，并重视对财政资金的追踪问效，提高财政资金的使用效率，反思工作中所犯错误，总结经验，不断完善自身绩效工作，提高业务水平与能力，合理合规使用资金，规范进行会计核算，在以后工作中不断强化对项目绩效的落实工作，持续高质量完成年初设定目标。</w:t>
      </w:r>
    </w:p>
    <w:p w14:paraId="5AFDECC6">
      <w:pPr>
        <w:pageBreakBefore w:val="0"/>
        <w:widowControl/>
        <w:kinsoku/>
        <w:wordWrap/>
        <w:overflowPunct/>
        <w:topLinePunct w:val="0"/>
        <w:bidi w:val="0"/>
        <w:spacing w:before="240" w:after="240" w:line="580" w:lineRule="exact"/>
        <w:ind w:firstLine="620" w:firstLineChars="200"/>
        <w:textAlignment w:val="auto"/>
        <w:rPr>
          <w:rFonts w:hint="default"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4.闲置办公用房零散维修及日常管理项目自评综述：根据年初设定的绩效目标，项目自评得分</w:t>
      </w:r>
      <w:r>
        <w:rPr>
          <w:rFonts w:hint="eastAsia" w:ascii="仿宋" w:hAnsi="仿宋" w:eastAsia="仿宋" w:cs="仿宋"/>
          <w:color w:val="000000"/>
          <w:kern w:val="0"/>
          <w:sz w:val="31"/>
          <w:szCs w:val="31"/>
          <w:lang w:val="en-US" w:eastAsia="en-US" w:bidi="ar"/>
        </w:rPr>
        <w:t> </w:t>
      </w:r>
      <w:r>
        <w:rPr>
          <w:rFonts w:hint="eastAsia" w:ascii="仿宋" w:hAnsi="仿宋" w:eastAsia="仿宋" w:cs="仿宋"/>
          <w:color w:val="000000"/>
          <w:kern w:val="0"/>
          <w:sz w:val="31"/>
          <w:szCs w:val="31"/>
          <w:lang w:val="en-US" w:eastAsia="zh-CN" w:bidi="ar"/>
        </w:rPr>
        <w:t>100分。全年预算数为27万元，执行数为25.94万元，完成预算的96.07</w:t>
      </w:r>
      <w:r>
        <w:rPr>
          <w:rFonts w:hint="eastAsia" w:ascii="仿宋" w:hAnsi="仿宋" w:eastAsia="仿宋" w:cs="仿宋"/>
          <w:color w:val="000000"/>
          <w:kern w:val="0"/>
          <w:sz w:val="31"/>
          <w:szCs w:val="31"/>
          <w:lang w:val="en-US" w:eastAsia="en-US" w:bidi="ar"/>
        </w:rPr>
        <w:t>%</w:t>
      </w:r>
      <w:r>
        <w:rPr>
          <w:rFonts w:hint="eastAsia" w:ascii="仿宋" w:hAnsi="仿宋" w:eastAsia="仿宋" w:cs="仿宋"/>
          <w:color w:val="000000"/>
          <w:kern w:val="0"/>
          <w:sz w:val="31"/>
          <w:szCs w:val="31"/>
          <w:lang w:val="en-US" w:eastAsia="zh-CN" w:bidi="ar"/>
        </w:rPr>
        <w:t>。项目绩效目标完成情况：</w:t>
      </w:r>
      <w:r>
        <w:rPr>
          <w:rFonts w:hint="default" w:ascii="仿宋" w:hAnsi="仿宋" w:eastAsia="仿宋" w:cs="仿宋"/>
          <w:color w:val="000000"/>
          <w:kern w:val="0"/>
          <w:sz w:val="31"/>
          <w:szCs w:val="31"/>
          <w:lang w:val="en-US" w:eastAsia="zh-CN" w:bidi="ar"/>
        </w:rPr>
        <w:t>资金主要用于对成本级各单位对闲置办公用房进行必要的应急维修维护及日常管理，通过该项目的建设，避免了办公用房维修改造期间产生浪费，切实节约财政经费支出。资金支出准确无误，支出审批程序规范，支出附件齐全，大项指出均经单位主要领导研究审核审议，资金支出未发生超规范、超支出标准，不存在截留、挤占、挪用、序列支出以及其他不符合制度规定的支出，严格执行会计准则标准，保障了资金使用的合法合规。</w:t>
      </w:r>
      <w:r>
        <w:rPr>
          <w:rFonts w:hint="eastAsia" w:ascii="仿宋" w:hAnsi="仿宋" w:eastAsia="仿宋" w:cs="仿宋"/>
          <w:color w:val="000000"/>
          <w:kern w:val="0"/>
          <w:sz w:val="31"/>
          <w:szCs w:val="31"/>
          <w:lang w:val="en-US" w:eastAsia="zh-CN" w:bidi="ar"/>
        </w:rPr>
        <w:t>项目立项、实施、资金管理使用均不存在问题。下一步改进措施：</w:t>
      </w:r>
      <w:r>
        <w:rPr>
          <w:rFonts w:hint="default" w:ascii="仿宋" w:hAnsi="仿宋" w:eastAsia="仿宋" w:cs="仿宋"/>
          <w:color w:val="000000"/>
          <w:kern w:val="0"/>
          <w:sz w:val="31"/>
          <w:szCs w:val="31"/>
          <w:lang w:val="en-US" w:eastAsia="zh-CN" w:bidi="ar"/>
        </w:rPr>
        <w:t>在以后年度工作中，我单位将持续关注对闲置办公用房进行必要的应急维修维护及日常管理情况，不断完善自身绩效工作，提高业务水平与能力，合理合规使用资金，规范进行会计核算，在以后工作中不断强化对项目绩效的落实工作，持续高质量完成年初设定目标。</w:t>
      </w:r>
    </w:p>
    <w:p w14:paraId="3AB116AE">
      <w:pPr>
        <w:pageBreakBefore w:val="0"/>
        <w:widowControl/>
        <w:kinsoku/>
        <w:wordWrap/>
        <w:overflowPunct/>
        <w:topLinePunct w:val="0"/>
        <w:bidi w:val="0"/>
        <w:spacing w:before="240" w:after="240" w:line="580" w:lineRule="exact"/>
        <w:ind w:firstLine="620" w:firstLineChars="200"/>
        <w:textAlignment w:val="auto"/>
        <w:rPr>
          <w:rFonts w:hint="default" w:ascii="仿宋_GB2312" w:hAnsi="仿宋_GB2312" w:eastAsia="仿宋_GB2312" w:cs="仿宋_GB2312"/>
          <w:kern w:val="0"/>
          <w:sz w:val="27"/>
          <w:szCs w:val="27"/>
          <w:lang w:val="en-US" w:eastAsia="zh-CN"/>
        </w:rPr>
      </w:pPr>
      <w:r>
        <w:rPr>
          <w:rFonts w:hint="eastAsia" w:ascii="仿宋" w:hAnsi="仿宋" w:eastAsia="仿宋" w:cs="仿宋"/>
          <w:color w:val="000000"/>
          <w:kern w:val="0"/>
          <w:sz w:val="31"/>
          <w:szCs w:val="31"/>
          <w:lang w:val="en-US" w:eastAsia="zh-CN" w:bidi="ar"/>
        </w:rPr>
        <w:t xml:space="preserve"> 5.</w:t>
      </w:r>
      <w:r>
        <w:rPr>
          <w:rFonts w:hint="default" w:ascii="仿宋_GB2312" w:hAnsi="仿宋_GB2312" w:eastAsia="仿宋_GB2312" w:cs="仿宋_GB2312"/>
          <w:kern w:val="0"/>
          <w:sz w:val="32"/>
          <w:szCs w:val="32"/>
          <w:lang w:val="en-US" w:eastAsia="zh-CN" w:bidi="ar-SA"/>
        </w:rPr>
        <w:t>网络安全设备采购</w:t>
      </w:r>
      <w:r>
        <w:rPr>
          <w:rFonts w:hint="eastAsia" w:ascii="仿宋_GB2312" w:hAnsi="仿宋_GB2312" w:eastAsia="仿宋_GB2312" w:cs="仿宋_GB2312"/>
          <w:kern w:val="0"/>
          <w:sz w:val="32"/>
          <w:szCs w:val="32"/>
          <w:lang w:val="en-US" w:eastAsia="zh-CN" w:bidi="ar-SA"/>
        </w:rPr>
        <w:t>项目自评综述：根据年初设定的绩效目标，项目自评得分</w:t>
      </w:r>
      <w:r>
        <w:rPr>
          <w:rFonts w:hint="eastAsia" w:ascii="仿宋_GB2312" w:hAnsi="仿宋_GB2312" w:eastAsia="仿宋_GB2312" w:cs="仿宋_GB2312"/>
          <w:kern w:val="0"/>
          <w:sz w:val="32"/>
          <w:szCs w:val="32"/>
          <w:lang w:val="en-US" w:eastAsia="en-US" w:bidi="ar-SA"/>
        </w:rPr>
        <w:t> </w:t>
      </w:r>
      <w:r>
        <w:rPr>
          <w:rFonts w:hint="eastAsia" w:ascii="仿宋_GB2312" w:hAnsi="仿宋_GB2312" w:eastAsia="仿宋_GB2312" w:cs="仿宋_GB2312"/>
          <w:kern w:val="0"/>
          <w:sz w:val="32"/>
          <w:szCs w:val="32"/>
          <w:lang w:val="en-US" w:eastAsia="zh-CN" w:bidi="ar-SA"/>
        </w:rPr>
        <w:t>100分。全年预算数为18万元，执行数为17.70万元，完成预算的</w:t>
      </w:r>
      <w:r>
        <w:rPr>
          <w:rFonts w:hint="eastAsia" w:ascii="仿宋_GB2312" w:hAnsi="仿宋_GB2312" w:eastAsia="仿宋_GB2312" w:cs="仿宋_GB2312"/>
          <w:kern w:val="0"/>
          <w:sz w:val="32"/>
          <w:szCs w:val="32"/>
          <w:lang w:val="en-US" w:eastAsia="en-US" w:bidi="ar-SA"/>
        </w:rPr>
        <w:t> </w:t>
      </w:r>
      <w:r>
        <w:rPr>
          <w:rFonts w:hint="eastAsia" w:ascii="仿宋_GB2312" w:hAnsi="仿宋_GB2312" w:eastAsia="仿宋_GB2312" w:cs="仿宋_GB2312"/>
          <w:kern w:val="0"/>
          <w:sz w:val="32"/>
          <w:szCs w:val="32"/>
          <w:lang w:val="en-US" w:eastAsia="zh-CN" w:bidi="ar-SA"/>
        </w:rPr>
        <w:t>98.33</w:t>
      </w:r>
      <w:r>
        <w:rPr>
          <w:rFonts w:hint="eastAsia" w:ascii="仿宋_GB2312" w:hAnsi="仿宋_GB2312" w:eastAsia="仿宋_GB2312" w:cs="仿宋_GB2312"/>
          <w:kern w:val="0"/>
          <w:sz w:val="32"/>
          <w:szCs w:val="32"/>
          <w:lang w:val="en-US" w:eastAsia="en-US" w:bidi="ar-SA"/>
        </w:rPr>
        <w:t>%</w:t>
      </w:r>
      <w:r>
        <w:rPr>
          <w:rFonts w:hint="eastAsia" w:ascii="仿宋_GB2312" w:hAnsi="仿宋_GB2312" w:eastAsia="仿宋_GB2312" w:cs="仿宋_GB2312"/>
          <w:kern w:val="0"/>
          <w:sz w:val="32"/>
          <w:szCs w:val="32"/>
          <w:lang w:val="en-US" w:eastAsia="zh-CN" w:bidi="ar-SA"/>
        </w:rPr>
        <w:t>。项目绩效目标完成情况：</w:t>
      </w:r>
      <w:r>
        <w:rPr>
          <w:rFonts w:hint="default" w:ascii="仿宋_GB2312" w:hAnsi="仿宋_GB2312" w:eastAsia="仿宋_GB2312" w:cs="仿宋_GB2312"/>
          <w:kern w:val="0"/>
          <w:sz w:val="32"/>
          <w:szCs w:val="32"/>
          <w:lang w:val="en-US" w:eastAsia="zh-CN" w:bidi="ar-SA"/>
        </w:rPr>
        <w:t>资金主要用于办公系统网络安全设备采购工作，通过该项目的建设，保障了涉密办公安全有序运行。该项目满足了涉密工作工作人员日常工作需要，保障了办公系统网络安全，提高了办公效率。</w:t>
      </w:r>
      <w:r>
        <w:rPr>
          <w:rFonts w:hint="eastAsia" w:ascii="仿宋_GB2312" w:hAnsi="仿宋_GB2312" w:eastAsia="仿宋_GB2312" w:cs="仿宋_GB2312"/>
          <w:kern w:val="0"/>
          <w:sz w:val="32"/>
          <w:szCs w:val="32"/>
          <w:lang w:val="en-US" w:eastAsia="zh-CN" w:bidi="ar-SA"/>
        </w:rPr>
        <w:t>项目立项、实施、资金管理使用均不存在问题。下一步改进措施：</w:t>
      </w:r>
      <w:r>
        <w:rPr>
          <w:rFonts w:hint="default" w:ascii="仿宋_GB2312" w:hAnsi="仿宋_GB2312" w:eastAsia="仿宋_GB2312" w:cs="仿宋_GB2312"/>
          <w:kern w:val="0"/>
          <w:sz w:val="32"/>
          <w:szCs w:val="32"/>
          <w:lang w:val="en-US" w:eastAsia="zh-CN" w:bidi="ar-SA"/>
        </w:rPr>
        <w:t>我单位将持续关注网络安全设备的使用情况，进一步细化量化绩效管理工作与预算项目。反思工作中所犯错误，总结经验，不断完善自身绩效工作，提高业务水平与能力，合理合规使用资金，规范进行会计核算，在以后工作中不断强化对项目绩效的落实工作，持续高质量完成年初设定目标。</w:t>
      </w:r>
    </w:p>
    <w:p w14:paraId="68C7E863">
      <w:pPr>
        <w:pageBreakBefore w:val="0"/>
        <w:widowControl/>
        <w:kinsoku/>
        <w:wordWrap/>
        <w:overflowPunct/>
        <w:topLinePunct w:val="0"/>
        <w:bidi w:val="0"/>
        <w:spacing w:before="240" w:after="240" w:line="580" w:lineRule="exact"/>
        <w:ind w:firstLine="643" w:firstLineChars="200"/>
        <w:jc w:val="left"/>
        <w:textAlignment w:val="auto"/>
        <w:rPr>
          <w:rFonts w:hint="eastAsia" w:ascii="楷体" w:hAnsi="楷体" w:eastAsia="楷体" w:cs="Times New Roman"/>
          <w:b/>
          <w:color w:val="auto"/>
          <w:kern w:val="2"/>
          <w:sz w:val="32"/>
          <w:szCs w:val="24"/>
        </w:rPr>
      </w:pPr>
      <w:r>
        <w:rPr>
          <w:rFonts w:hint="eastAsia" w:ascii="楷体" w:hAnsi="楷体" w:eastAsia="楷体" w:cs="Times New Roman"/>
          <w:b/>
          <w:color w:val="auto"/>
          <w:kern w:val="2"/>
          <w:sz w:val="32"/>
          <w:szCs w:val="24"/>
        </w:rPr>
        <w:t>（三）部门项目绩效评价结果。</w:t>
      </w:r>
    </w:p>
    <w:p w14:paraId="6BD2B217">
      <w:pPr>
        <w:widowControl/>
        <w:numPr>
          <w:ilvl w:val="0"/>
          <w:numId w:val="0"/>
        </w:numPr>
        <w:spacing w:before="240" w:after="240"/>
        <w:ind w:left="155" w:leftChars="0" w:firstLine="620" w:firstLineChars="200"/>
        <w:rPr>
          <w:rFonts w:hint="default" w:ascii="仿宋" w:hAnsi="仿宋" w:eastAsia="仿宋" w:cs="仿宋"/>
          <w:color w:val="000000"/>
          <w:kern w:val="0"/>
          <w:sz w:val="31"/>
          <w:szCs w:val="31"/>
          <w:lang w:val="en-US" w:eastAsia="zh-CN" w:bidi="ar"/>
        </w:rPr>
      </w:pPr>
      <w:r>
        <w:rPr>
          <w:rFonts w:hint="default" w:ascii="仿宋" w:hAnsi="仿宋" w:eastAsia="仿宋" w:cs="仿宋"/>
          <w:color w:val="000000"/>
          <w:kern w:val="0"/>
          <w:sz w:val="31"/>
          <w:szCs w:val="31"/>
          <w:lang w:val="en-US" w:eastAsia="zh-CN" w:bidi="ar"/>
        </w:rPr>
        <w:t>以</w:t>
      </w:r>
      <w:r>
        <w:rPr>
          <w:rFonts w:hint="eastAsia" w:ascii="仿宋" w:hAnsi="仿宋" w:eastAsia="仿宋" w:cs="仿宋"/>
          <w:color w:val="000000"/>
          <w:kern w:val="0"/>
          <w:sz w:val="31"/>
          <w:szCs w:val="31"/>
          <w:lang w:val="en-US" w:eastAsia="zh-CN" w:bidi="ar"/>
        </w:rPr>
        <w:t>法律顾问工作经费</w:t>
      </w:r>
      <w:r>
        <w:rPr>
          <w:rFonts w:hint="default" w:ascii="仿宋" w:hAnsi="仿宋" w:eastAsia="仿宋" w:cs="仿宋"/>
          <w:color w:val="000000"/>
          <w:kern w:val="0"/>
          <w:sz w:val="31"/>
          <w:szCs w:val="31"/>
          <w:lang w:val="en-US" w:eastAsia="zh-CN" w:bidi="ar"/>
        </w:rPr>
        <w:t>项目为例，该项目绩效评价综合得分为</w:t>
      </w:r>
      <w:r>
        <w:rPr>
          <w:rFonts w:hint="eastAsia" w:ascii="仿宋" w:hAnsi="仿宋" w:eastAsia="仿宋" w:cs="仿宋"/>
          <w:color w:val="000000"/>
          <w:kern w:val="0"/>
          <w:sz w:val="31"/>
          <w:szCs w:val="31"/>
          <w:lang w:val="en-US" w:eastAsia="zh-CN" w:bidi="ar"/>
        </w:rPr>
        <w:t>100</w:t>
      </w:r>
      <w:r>
        <w:rPr>
          <w:rFonts w:hint="default" w:ascii="仿宋" w:hAnsi="仿宋" w:eastAsia="仿宋" w:cs="仿宋"/>
          <w:color w:val="000000"/>
          <w:kern w:val="0"/>
          <w:sz w:val="31"/>
          <w:szCs w:val="31"/>
          <w:lang w:val="en-US" w:eastAsia="zh-CN" w:bidi="ar"/>
        </w:rPr>
        <w:t>分，绩效评价结果</w:t>
      </w:r>
      <w:bookmarkStart w:id="1" w:name="_GoBack"/>
      <w:bookmarkEnd w:id="1"/>
      <w:r>
        <w:rPr>
          <w:rFonts w:hint="default" w:ascii="仿宋" w:hAnsi="仿宋" w:eastAsia="仿宋" w:cs="仿宋"/>
          <w:color w:val="000000"/>
          <w:kern w:val="0"/>
          <w:sz w:val="31"/>
          <w:szCs w:val="31"/>
          <w:lang w:val="en-US" w:eastAsia="zh-CN" w:bidi="ar"/>
        </w:rPr>
        <w:t>为“优”。赤峰市会议中心会务费项目绩效评价报告见附件。</w:t>
      </w:r>
    </w:p>
    <w:p w14:paraId="1B67C163">
      <w:pPr>
        <w:pStyle w:val="3"/>
        <w:keepNext/>
        <w:keepLines/>
        <w:tabs>
          <w:tab w:val="left" w:pos="4392"/>
        </w:tabs>
        <w:spacing w:beforeLines="0" w:afterLines="0" w:line="360" w:lineRule="auto"/>
        <w:jc w:val="center"/>
        <w:rPr>
          <w:rFonts w:hint="eastAsia" w:ascii="方正小标宋简体" w:hAnsi="方正小标宋简体" w:eastAsia="方正小标宋简体" w:cs="Times New Roman"/>
          <w:color w:val="auto"/>
          <w:kern w:val="2"/>
          <w:sz w:val="36"/>
          <w:szCs w:val="24"/>
        </w:rPr>
      </w:pPr>
      <w:r>
        <w:rPr>
          <w:rFonts w:hint="eastAsia" w:ascii="方正小标宋简体" w:hAnsi="方正小标宋简体" w:eastAsia="方正小标宋简体" w:cs="Times New Roman"/>
          <w:color w:val="auto"/>
          <w:kern w:val="2"/>
          <w:sz w:val="36"/>
          <w:szCs w:val="24"/>
        </w:rPr>
        <w:t>第三部分  名词解释</w:t>
      </w:r>
    </w:p>
    <w:p w14:paraId="48886F6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27"/>
          <w:szCs w:val="27"/>
        </w:rPr>
        <w:t> </w:t>
      </w:r>
      <w:r>
        <w:rPr>
          <w:rFonts w:ascii="仿宋_GB2312" w:hAnsi="仿宋_GB2312" w:eastAsia="仿宋_GB2312" w:cs="仿宋_GB2312"/>
          <w:b/>
          <w:bCs/>
          <w:kern w:val="0"/>
          <w:sz w:val="27"/>
          <w:szCs w:val="27"/>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一、财政拨款收入：</w:t>
      </w:r>
      <w:r>
        <w:rPr>
          <w:rFonts w:ascii="仿宋_GB2312" w:hAnsi="仿宋_GB2312" w:eastAsia="仿宋_GB2312" w:cs="仿宋_GB2312"/>
          <w:kern w:val="0"/>
          <w:sz w:val="32"/>
          <w:szCs w:val="32"/>
        </w:rPr>
        <w:t>从同级财政部门取得的各类财政拨款，包括一般公共预算财政拨款、政府性基金预算财政拨款、国有资本经营预算财政拨款。</w:t>
      </w:r>
    </w:p>
    <w:p w14:paraId="34B65442">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二、上级补助收入：</w:t>
      </w:r>
      <w:r>
        <w:rPr>
          <w:rFonts w:ascii="仿宋_GB2312" w:hAnsi="仿宋_GB2312" w:eastAsia="仿宋_GB2312" w:cs="仿宋_GB2312"/>
          <w:kern w:val="0"/>
          <w:sz w:val="32"/>
          <w:szCs w:val="32"/>
        </w:rPr>
        <w:t>指事业单位从主管部门和上级单位取得的非财政补助收入。</w:t>
      </w:r>
    </w:p>
    <w:p w14:paraId="0861DDB8">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三、财政专户管理教育收费：</w:t>
      </w:r>
      <w:r>
        <w:rPr>
          <w:rFonts w:ascii="仿宋_GB2312" w:hAnsi="仿宋_GB2312" w:eastAsia="仿宋_GB2312" w:cs="仿宋_GB2312"/>
          <w:kern w:val="0"/>
          <w:sz w:val="32"/>
          <w:szCs w:val="32"/>
        </w:rPr>
        <w:t>指缴入财政专户、实行专项管理的高中以上学费、住宿费、高校委托培养费、函大、电大、夜大及短训班培训费等教育收费。</w:t>
      </w:r>
    </w:p>
    <w:p w14:paraId="2D2814A9">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四、事业收入：</w:t>
      </w:r>
      <w:r>
        <w:rPr>
          <w:rFonts w:ascii="仿宋_GB2312" w:hAnsi="仿宋_GB2312" w:eastAsia="仿宋_GB2312" w:cs="仿宋_GB2312"/>
          <w:kern w:val="0"/>
          <w:sz w:val="32"/>
          <w:szCs w:val="32"/>
        </w:rPr>
        <w:t>指事业单位开展专业业务活动及其辅助活动取得的收入。</w:t>
      </w:r>
    </w:p>
    <w:p w14:paraId="70A1D07C">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五、经营收入：</w:t>
      </w:r>
      <w:r>
        <w:rPr>
          <w:rFonts w:ascii="仿宋_GB2312" w:hAnsi="仿宋_GB2312" w:eastAsia="仿宋_GB2312" w:cs="仿宋_GB2312"/>
          <w:kern w:val="0"/>
          <w:sz w:val="32"/>
          <w:szCs w:val="32"/>
        </w:rPr>
        <w:t>指事业单位在专业业务活动及其辅助活动之外开展非独立核算经营活动取得的收入。</w:t>
      </w:r>
    </w:p>
    <w:p w14:paraId="2F0668F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六、附属单位上缴收入：</w:t>
      </w:r>
      <w:r>
        <w:rPr>
          <w:rFonts w:ascii="仿宋_GB2312" w:hAnsi="仿宋_GB2312" w:eastAsia="仿宋_GB2312" w:cs="仿宋_GB2312"/>
          <w:kern w:val="0"/>
          <w:sz w:val="32"/>
          <w:szCs w:val="32"/>
        </w:rPr>
        <w:t>指事业单位取得附属独立核算单位按照有关规定上缴的收入。</w:t>
      </w:r>
    </w:p>
    <w:p w14:paraId="276EE2B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七、其他收入：</w:t>
      </w:r>
      <w:r>
        <w:rPr>
          <w:rFonts w:ascii="仿宋_GB2312" w:hAnsi="仿宋_GB2312" w:eastAsia="仿宋_GB2312" w:cs="仿宋_GB2312"/>
          <w:kern w:val="0"/>
          <w:sz w:val="32"/>
          <w:szCs w:val="32"/>
        </w:rPr>
        <w:t>取得的除上述“财政拨款收入”、“上级补助收入”、“事业收入”、“经营收入”、“附属单位上缴收入”等以外的各项收入。</w:t>
      </w:r>
    </w:p>
    <w:p w14:paraId="14F0EB1D">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八、使用非财政拨款结余和专用结余：</w:t>
      </w:r>
      <w:r>
        <w:rPr>
          <w:rFonts w:ascii="仿宋_GB2312" w:hAnsi="仿宋_GB2312" w:eastAsia="仿宋_GB2312" w:cs="仿宋_GB2312"/>
          <w:kern w:val="0"/>
          <w:sz w:val="32"/>
          <w:szCs w:val="32"/>
        </w:rPr>
        <w:t>指事业单位按照预算管理要求使用非财政拨款结余和专用结余弥补当年收支差额的数额。</w:t>
      </w:r>
    </w:p>
    <w:p w14:paraId="162423B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九、年初结转和结余：</w:t>
      </w:r>
      <w:r>
        <w:rPr>
          <w:rFonts w:ascii="仿宋_GB2312" w:hAnsi="仿宋_GB2312" w:eastAsia="仿宋_GB2312" w:cs="仿宋_GB2312"/>
          <w:kern w:val="0"/>
          <w:sz w:val="32"/>
          <w:szCs w:val="32"/>
        </w:rPr>
        <w:t>指单位上年结转本年使用的基本支出结转、项目支出结转和结余、经营结余。</w:t>
      </w:r>
    </w:p>
    <w:p w14:paraId="787A4F90">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十、结余分配：</w:t>
      </w:r>
      <w:r>
        <w:rPr>
          <w:rFonts w:ascii="仿宋_GB2312" w:hAnsi="仿宋_GB2312" w:eastAsia="仿宋_GB2312" w:cs="仿宋_GB2312"/>
          <w:kern w:val="0"/>
          <w:sz w:val="32"/>
          <w:szCs w:val="32"/>
        </w:rPr>
        <w:t>指事业单位按规定缴纳企业所得税以及从非财政拨款结余或经营结余中提取各类结余的情况。</w:t>
      </w:r>
    </w:p>
    <w:p w14:paraId="4A5B08AB">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十一、年末结转和结余资金：</w:t>
      </w:r>
      <w:r>
        <w:rPr>
          <w:rFonts w:ascii="仿宋_GB2312" w:hAnsi="仿宋_GB2312" w:eastAsia="仿宋_GB2312" w:cs="仿宋_GB2312"/>
          <w:kern w:val="0"/>
          <w:sz w:val="32"/>
          <w:szCs w:val="32"/>
        </w:rPr>
        <w:t>指单位结转下年的基本支出结转、项目支出结转和结余、经营结余。</w:t>
      </w:r>
    </w:p>
    <w:p w14:paraId="04E075A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十二、基本支出：</w:t>
      </w:r>
      <w:r>
        <w:rPr>
          <w:rFonts w:ascii="仿宋_GB2312" w:hAnsi="仿宋_GB2312" w:eastAsia="仿宋_GB2312" w:cs="仿宋_GB2312"/>
          <w:kern w:val="0"/>
          <w:sz w:val="32"/>
          <w:szCs w:val="32"/>
        </w:rPr>
        <w:t>指为保障机构正常运转、完成日常工作任务所发生的支出，包括人员经费和公用经费。</w:t>
      </w:r>
    </w:p>
    <w:p w14:paraId="35EEAC1F">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十三、项目支出：</w:t>
      </w:r>
      <w:r>
        <w:rPr>
          <w:rFonts w:ascii="仿宋_GB2312" w:hAnsi="仿宋_GB2312" w:eastAsia="仿宋_GB2312" w:cs="仿宋_GB2312"/>
          <w:kern w:val="0"/>
          <w:sz w:val="32"/>
          <w:szCs w:val="32"/>
        </w:rPr>
        <w:t>指在为完成特定的工作任务和事业发展目标所发生的支出。</w:t>
      </w:r>
    </w:p>
    <w:p w14:paraId="26FAA82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十四、上缴上级支出：</w:t>
      </w:r>
      <w:r>
        <w:rPr>
          <w:rFonts w:ascii="仿宋_GB2312" w:hAnsi="仿宋_GB2312" w:eastAsia="仿宋_GB2312" w:cs="仿宋_GB2312"/>
          <w:kern w:val="0"/>
          <w:sz w:val="32"/>
          <w:szCs w:val="32"/>
        </w:rPr>
        <w:t>指事业单位按照财政部门和主管部门的规定上缴上级单位的支出。</w:t>
      </w:r>
    </w:p>
    <w:p w14:paraId="70EEC48A">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十五、经营支出：</w:t>
      </w:r>
      <w:r>
        <w:rPr>
          <w:rFonts w:ascii="仿宋_GB2312" w:hAnsi="仿宋_GB2312" w:eastAsia="仿宋_GB2312" w:cs="仿宋_GB2312"/>
          <w:kern w:val="0"/>
          <w:sz w:val="32"/>
          <w:szCs w:val="32"/>
        </w:rPr>
        <w:t>指事业单位在专业业务活动及其辅助活动之外开展非独立核算经营活动发生的支出。</w:t>
      </w:r>
    </w:p>
    <w:p w14:paraId="6F8651C7">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十六、对附属单位补助支出：</w:t>
      </w:r>
      <w:r>
        <w:rPr>
          <w:rFonts w:ascii="仿宋_GB2312" w:hAnsi="仿宋_GB2312" w:eastAsia="仿宋_GB2312" w:cs="仿宋_GB2312"/>
          <w:kern w:val="0"/>
          <w:sz w:val="32"/>
          <w:szCs w:val="32"/>
        </w:rPr>
        <w:t>指事业单位用财政拨款收入之外的收入对附属单位补助发生的支出。</w:t>
      </w:r>
    </w:p>
    <w:p w14:paraId="623908C1">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十七、“三公”经费：</w:t>
      </w:r>
      <w:r>
        <w:rPr>
          <w:rFonts w:ascii="仿宋_GB2312" w:hAnsi="仿宋_GB2312" w:eastAsia="仿宋_GB2312" w:cs="仿宋_GB2312"/>
          <w:kern w:val="0"/>
          <w:sz w:val="32"/>
          <w:szCs w:val="32"/>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14:paraId="396A944E">
      <w:pPr>
        <w:widowControl/>
        <w:spacing w:before="240" w:after="240"/>
        <w:jc w:val="left"/>
        <w:rPr>
          <w:rFonts w:ascii="Times New Roman" w:hAnsi="Times New Roman" w:eastAsia="Times New Roman" w:cs="Times New Roman"/>
          <w:kern w:val="0"/>
          <w:sz w:val="32"/>
          <w:szCs w:val="32"/>
        </w:rPr>
      </w:pP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w:t>
      </w:r>
      <w:r>
        <w:rPr>
          <w:rFonts w:ascii="Calibri" w:hAnsi="Calibri" w:eastAsia="Calibri" w:cs="Calibri"/>
          <w:b/>
          <w:bCs/>
          <w:kern w:val="0"/>
          <w:sz w:val="32"/>
          <w:szCs w:val="32"/>
        </w:rPr>
        <w:t> </w:t>
      </w:r>
      <w:r>
        <w:rPr>
          <w:rFonts w:ascii="仿宋_GB2312" w:hAnsi="仿宋_GB2312" w:eastAsia="仿宋_GB2312" w:cs="仿宋_GB2312"/>
          <w:b/>
          <w:bCs/>
          <w:kern w:val="0"/>
          <w:sz w:val="32"/>
          <w:szCs w:val="32"/>
        </w:rPr>
        <w:t xml:space="preserve"> 十八、机构运行经费：</w:t>
      </w:r>
      <w:r>
        <w:rPr>
          <w:rFonts w:ascii="仿宋_GB2312" w:hAnsi="仿宋_GB2312" w:eastAsia="仿宋_GB2312" w:cs="仿宋_GB2312"/>
          <w:kern w:val="0"/>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D18E14D">
      <w:pPr>
        <w:widowControl/>
        <w:spacing w:before="240" w:after="240"/>
        <w:jc w:val="left"/>
        <w:rPr>
          <w:rFonts w:ascii="Times New Roman" w:hAnsi="Times New Roman" w:eastAsia="Times New Roman" w:cs="Times New Roman"/>
          <w:kern w:val="0"/>
          <w:sz w:val="24"/>
        </w:rPr>
      </w:pPr>
    </w:p>
    <w:p w14:paraId="50E30B7B">
      <w:pPr>
        <w:pStyle w:val="3"/>
        <w:keepNext/>
        <w:keepLines/>
        <w:tabs>
          <w:tab w:val="left" w:pos="4392"/>
        </w:tabs>
        <w:spacing w:beforeLines="0" w:afterLines="0" w:line="360" w:lineRule="auto"/>
        <w:jc w:val="center"/>
        <w:rPr>
          <w:rFonts w:hint="eastAsia" w:ascii="方正小标宋简体" w:hAnsi="方正小标宋简体" w:eastAsia="方正小标宋简体" w:cs="Times New Roman"/>
          <w:color w:val="auto"/>
          <w:kern w:val="2"/>
          <w:sz w:val="36"/>
          <w:szCs w:val="24"/>
        </w:rPr>
      </w:pPr>
      <w:r>
        <w:rPr>
          <w:rFonts w:hint="eastAsia" w:ascii="方正小标宋简体" w:hAnsi="方正小标宋简体" w:eastAsia="方正小标宋简体" w:cs="Times New Roman"/>
          <w:color w:val="auto"/>
          <w:kern w:val="2"/>
          <w:sz w:val="36"/>
          <w:szCs w:val="24"/>
        </w:rPr>
        <w:t>第四部分 决算公开联系方式及信息反馈渠道</w:t>
      </w:r>
    </w:p>
    <w:p w14:paraId="104E4366">
      <w:pPr>
        <w:widowControl/>
        <w:spacing w:before="240" w:after="240"/>
        <w:jc w:val="left"/>
        <w:rPr>
          <w:rFonts w:ascii="仿宋_GB2312" w:hAnsi="仿宋_GB2312" w:eastAsia="仿宋_GB2312" w:cs="仿宋_GB2312"/>
          <w:kern w:val="0"/>
          <w:sz w:val="32"/>
          <w:szCs w:val="32"/>
        </w:rPr>
      </w:pPr>
    </w:p>
    <w:p w14:paraId="0B18CA93">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本单位决算公开信息反馈和联系方式：</w:t>
      </w:r>
    </w:p>
    <w:p w14:paraId="091BD6DC">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联系人：杨楠           联系电话：0476-8820004</w:t>
      </w:r>
    </w:p>
    <w:p w14:paraId="5FC8F08E">
      <w:pPr>
        <w:widowControl/>
        <w:spacing w:before="240" w:after="240"/>
        <w:jc w:val="left"/>
        <w:rPr>
          <w:rFonts w:ascii="Times New Roman" w:hAnsi="Times New Roman" w:eastAsia="Times New Roman" w:cs="Times New Roman"/>
          <w:kern w:val="0"/>
          <w:sz w:val="24"/>
        </w:rPr>
      </w:pPr>
    </w:p>
    <w:p w14:paraId="40D843D1">
      <w:pPr>
        <w:pStyle w:val="3"/>
        <w:keepNext/>
        <w:keepLines/>
        <w:tabs>
          <w:tab w:val="left" w:pos="4392"/>
        </w:tabs>
        <w:spacing w:beforeLines="0" w:afterLines="0" w:line="360" w:lineRule="auto"/>
        <w:jc w:val="center"/>
        <w:rPr>
          <w:rFonts w:hint="eastAsia" w:ascii="方正小标宋简体" w:hAnsi="方正小标宋简体" w:eastAsia="方正小标宋简体" w:cs="Times New Roman"/>
          <w:color w:val="auto"/>
          <w:kern w:val="2"/>
          <w:sz w:val="36"/>
          <w:szCs w:val="24"/>
        </w:rPr>
      </w:pPr>
      <w:r>
        <w:rPr>
          <w:rFonts w:hint="eastAsia" w:ascii="方正小标宋简体" w:hAnsi="方正小标宋简体" w:eastAsia="方正小标宋简体" w:cs="Times New Roman"/>
          <w:color w:val="auto"/>
          <w:kern w:val="2"/>
          <w:sz w:val="36"/>
          <w:szCs w:val="24"/>
        </w:rPr>
        <w:t>第五部分 部门决算表</w:t>
      </w:r>
    </w:p>
    <w:p w14:paraId="41E8A693">
      <w:pPr>
        <w:widowControl/>
        <w:spacing w:before="240" w:after="240"/>
        <w:jc w:val="center"/>
        <w:rPr>
          <w:rFonts w:ascii="Times New Roman" w:hAnsi="Times New Roman" w:eastAsia="Times New Roman" w:cs="Times New Roman"/>
          <w:kern w:val="0"/>
          <w:sz w:val="24"/>
        </w:rPr>
      </w:pPr>
    </w:p>
    <w:p w14:paraId="273FD07A">
      <w:pPr>
        <w:widowControl/>
        <w:spacing w:before="240" w:after="240"/>
        <w:jc w:val="left"/>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见附件。</w:t>
      </w:r>
    </w:p>
    <w:p w14:paraId="5F1AF7B4">
      <w:pPr>
        <w:widowControl/>
        <w:spacing w:before="240" w:after="240"/>
        <w:jc w:val="left"/>
        <w:rPr>
          <w:rFonts w:ascii="Times New Roman" w:hAnsi="Times New Roman" w:eastAsia="Times New Roman" w:cs="Times New Roman"/>
          <w:kern w:val="0"/>
          <w:sz w:val="24"/>
        </w:rPr>
      </w:pPr>
    </w:p>
    <w:p w14:paraId="15F94ED0">
      <w:pPr>
        <w:widowControl/>
        <w:spacing w:before="240" w:after="240"/>
        <w:jc w:val="left"/>
        <w:rPr>
          <w:rFonts w:ascii="Times New Roman" w:hAnsi="Times New Roman" w:eastAsia="Times New Roman" w:cs="Times New Roman"/>
          <w:kern w:val="0"/>
          <w:sz w:val="24"/>
        </w:rPr>
      </w:pPr>
    </w:p>
    <w:p w14:paraId="3AAB3B44">
      <w:pPr>
        <w:widowControl/>
        <w:spacing w:before="240" w:after="240"/>
        <w:jc w:val="left"/>
        <w:rPr>
          <w:rFonts w:ascii="Times New Roman" w:hAnsi="Times New Roman" w:eastAsia="Times New Roman" w:cs="Times New Roman"/>
          <w:kern w:val="0"/>
          <w:sz w:val="24"/>
        </w:rPr>
      </w:pPr>
    </w:p>
    <w:p w14:paraId="053A9E6A">
      <w:pPr>
        <w:widowControl/>
        <w:spacing w:before="240" w:after="240"/>
        <w:jc w:val="left"/>
        <w:rPr>
          <w:rFonts w:ascii="Times New Roman" w:hAnsi="Times New Roman" w:eastAsia="Times New Roman" w:cs="Times New Roman"/>
          <w:kern w:val="0"/>
          <w:sz w:val="24"/>
        </w:rPr>
      </w:pPr>
    </w:p>
    <w:bookmarkEnd w:id="0"/>
    <w:p w14:paraId="5DC33AEC">
      <w:pPr>
        <w:adjustRightInd w:val="0"/>
        <w:snapToGrid w:val="0"/>
        <w:rPr>
          <w:rFonts w:ascii="宋体" w:hAnsi="宋体"/>
          <w:b/>
          <w:sz w:val="32"/>
          <w:szCs w:val="32"/>
        </w:rPr>
      </w:pPr>
    </w:p>
    <w:p w14:paraId="16B721BE">
      <w:pPr>
        <w:adjustRightInd w:val="0"/>
        <w:snapToGrid w:val="0"/>
        <w:rPr>
          <w:rFonts w:ascii="宋体" w:hAnsi="宋体"/>
          <w:b/>
          <w:sz w:val="32"/>
          <w:szCs w:val="32"/>
        </w:rPr>
      </w:pPr>
    </w:p>
    <w:p w14:paraId="064DC7E7">
      <w:pPr>
        <w:tabs>
          <w:tab w:val="left" w:pos="8415"/>
        </w:tabs>
      </w:pPr>
    </w:p>
    <w:sectPr>
      <w:footerReference r:id="rId4" w:type="default"/>
      <w:pgSz w:w="11906" w:h="16838"/>
      <w:pgMar w:top="1531" w:right="1474" w:bottom="1701" w:left="1474" w:header="0" w:footer="720"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ￋￎￌ￥">
    <w:altName w:val="新宋体"/>
    <w:panose1 w:val="02010600030101010101"/>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_song_gb2312">
    <w:altName w:val="Segoe Print"/>
    <w:panose1 w:val="00000000000000000000"/>
    <w:charset w:val="00"/>
    <w:family w:val="auto"/>
    <w:pitch w:val="default"/>
    <w:sig w:usb0="00000000" w:usb1="00000000" w:usb2="00000000" w:usb3="00000000" w:csb0="00000000" w:csb1="00000000"/>
  </w:font>
  <w:font w:name="fang_zheng_xiao_biao_song_ti">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AB97">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4D134">
    <w:pPr>
      <w:pStyle w:val="12"/>
      <w:jc w:val="center"/>
    </w:pPr>
    <w:r>
      <w:fldChar w:fldCharType="begin"/>
    </w:r>
    <w:r>
      <w:instrText xml:space="preserve"> PAGE   \* MERGEFORMAT </w:instrText>
    </w:r>
    <w:r>
      <w:fldChar w:fldCharType="separate"/>
    </w:r>
    <w:r>
      <w:rPr>
        <w:lang w:val="zh-CN"/>
      </w:rPr>
      <w:t>25</w:t>
    </w:r>
    <w:r>
      <w:rPr>
        <w:lang w:val="zh-CN"/>
      </w:rPr>
      <w:fldChar w:fldCharType="end"/>
    </w:r>
  </w:p>
  <w:p w14:paraId="2E0A9122">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3B46"/>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60D6A"/>
    <w:rsid w:val="00E73321"/>
    <w:rsid w:val="00E77EC0"/>
    <w:rsid w:val="00E914C1"/>
    <w:rsid w:val="00E97C37"/>
    <w:rsid w:val="00EE533B"/>
    <w:rsid w:val="00F04882"/>
    <w:rsid w:val="00F63327"/>
    <w:rsid w:val="00F80A29"/>
    <w:rsid w:val="00FA7CA5"/>
    <w:rsid w:val="00FD08EC"/>
    <w:rsid w:val="00FD7690"/>
    <w:rsid w:val="01916C5A"/>
    <w:rsid w:val="03F11C32"/>
    <w:rsid w:val="05DB66F5"/>
    <w:rsid w:val="078C2803"/>
    <w:rsid w:val="084A1CE1"/>
    <w:rsid w:val="0C3E353A"/>
    <w:rsid w:val="0D7877D5"/>
    <w:rsid w:val="18586850"/>
    <w:rsid w:val="1BF922DE"/>
    <w:rsid w:val="1C7857C7"/>
    <w:rsid w:val="1E986C63"/>
    <w:rsid w:val="226C09E2"/>
    <w:rsid w:val="23E80FFC"/>
    <w:rsid w:val="240E5D6C"/>
    <w:rsid w:val="27092CC5"/>
    <w:rsid w:val="278542BB"/>
    <w:rsid w:val="2A54108A"/>
    <w:rsid w:val="2CAC6772"/>
    <w:rsid w:val="2D1A41AF"/>
    <w:rsid w:val="2EAA09CA"/>
    <w:rsid w:val="2EF44200"/>
    <w:rsid w:val="3B2A508F"/>
    <w:rsid w:val="3EE8151C"/>
    <w:rsid w:val="3FA7706D"/>
    <w:rsid w:val="469E3730"/>
    <w:rsid w:val="476157D7"/>
    <w:rsid w:val="47D71881"/>
    <w:rsid w:val="4D684A62"/>
    <w:rsid w:val="4DF8658F"/>
    <w:rsid w:val="507A2CD6"/>
    <w:rsid w:val="51CD438B"/>
    <w:rsid w:val="53DC06E6"/>
    <w:rsid w:val="572D22D7"/>
    <w:rsid w:val="5C20488C"/>
    <w:rsid w:val="5CAD0424"/>
    <w:rsid w:val="5D072AA1"/>
    <w:rsid w:val="63D146BE"/>
    <w:rsid w:val="68EE3E8D"/>
    <w:rsid w:val="6CF66F76"/>
    <w:rsid w:val="6DEA6AA8"/>
    <w:rsid w:val="6FC50AA4"/>
    <w:rsid w:val="717F395D"/>
    <w:rsid w:val="71C32FE3"/>
    <w:rsid w:val="7670555D"/>
    <w:rsid w:val="76DF561D"/>
    <w:rsid w:val="7907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Indent"/>
    <w:basedOn w:val="1"/>
    <w:unhideWhenUsed/>
    <w:qFormat/>
    <w:uiPriority w:val="0"/>
    <w:pPr>
      <w:spacing w:beforeLines="0" w:after="120" w:afterLines="0"/>
      <w:ind w:left="420" w:leftChars="200"/>
    </w:pPr>
    <w:rPr>
      <w:rFonts w:hint="default" w:ascii="ￋￎￌ￥" w:hAnsi="Times New Roman" w:eastAsia="ￋￎￌ￥"/>
      <w:sz w:val="21"/>
      <w:szCs w:val="24"/>
    </w:rPr>
  </w:style>
  <w:style w:type="paragraph" w:styleId="9">
    <w:name w:val="toc 5"/>
    <w:basedOn w:val="1"/>
    <w:next w:val="1"/>
    <w:autoRedefine/>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autoRedefine/>
    <w:qFormat/>
    <w:uiPriority w:val="0"/>
    <w:pPr>
      <w:ind w:left="1470"/>
      <w:jc w:val="left"/>
    </w:pPr>
    <w:rPr>
      <w:sz w:val="20"/>
      <w:szCs w:val="20"/>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autoRedefine/>
    <w:qFormat/>
    <w:uiPriority w:val="0"/>
    <w:pPr>
      <w:ind w:left="630"/>
      <w:jc w:val="left"/>
    </w:pPr>
    <w:rPr>
      <w:sz w:val="20"/>
      <w:szCs w:val="20"/>
    </w:rPr>
  </w:style>
  <w:style w:type="paragraph" w:styleId="16">
    <w:name w:val="toc 6"/>
    <w:basedOn w:val="1"/>
    <w:next w:val="1"/>
    <w:autoRedefine/>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autoRedefine/>
    <w:qFormat/>
    <w:uiPriority w:val="0"/>
    <w:pPr>
      <w:ind w:left="1680"/>
      <w:jc w:val="left"/>
    </w:pPr>
    <w:rPr>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2"/>
    <w:basedOn w:val="8"/>
    <w:unhideWhenUsed/>
    <w:qFormat/>
    <w:uiPriority w:val="0"/>
    <w:pPr>
      <w:spacing w:beforeLines="0" w:afterLines="0"/>
      <w:ind w:firstLine="420" w:firstLineChars="200"/>
    </w:pPr>
    <w:rPr>
      <w:rFonts w:hint="default"/>
      <w:sz w:val="21"/>
      <w:szCs w:val="24"/>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字符"/>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字符"/>
    <w:link w:val="26"/>
    <w:qFormat/>
    <w:locked/>
    <w:uiPriority w:val="0"/>
    <w:rPr>
      <w:rFonts w:eastAsia="仿宋_GB2312"/>
      <w:sz w:val="30"/>
      <w:szCs w:val="22"/>
      <w:lang w:bidi="ar-SA"/>
    </w:rPr>
  </w:style>
  <w:style w:type="character" w:customStyle="1" w:styleId="28">
    <w:name w:val="页脚 字符"/>
    <w:basedOn w:val="22"/>
    <w:link w:val="12"/>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字符"/>
    <w:basedOn w:val="22"/>
    <w:link w:val="4"/>
    <w:qFormat/>
    <w:uiPriority w:val="0"/>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57559B6-2DC7-41B5-818F-6E7F243775C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11731</Words>
  <Characters>12884</Characters>
  <Lines>1</Lines>
  <Paragraphs>1</Paragraphs>
  <TotalTime>0</TotalTime>
  <ScaleCrop>false</ScaleCrop>
  <LinksUpToDate>false</LinksUpToDate>
  <CharactersWithSpaces>13233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浅笑安然。</cp:lastModifiedBy>
  <cp:lastPrinted>2021-04-16T00:45:00Z</cp:lastPrinted>
  <dcterms:modified xsi:type="dcterms:W3CDTF">2025-07-17T09:41:09Z</dcterms:modified>
  <dc:title>××年度××部门/单位</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B57188CD4AEA484EA4D2060E23BFCAAB_13</vt:lpwstr>
  </property>
  <property fmtid="{D5CDD505-2E9C-101B-9397-08002B2CF9AE}" pid="3" name="KSOProductBuildVer">
    <vt:lpwstr>2052-12.1.0.21541</vt:lpwstr>
  </property>
  <property fmtid="{D5CDD505-2E9C-101B-9397-08002B2CF9AE}" pid="4" name="KSOTemplateDocerSaveRecord">
    <vt:lpwstr>eyJoZGlkIjoiZTk5ODFmNTcxN2VjYzJkOTBjMzgyZWJkNGM3N2E1MjUiLCJ1c2VySWQiOiIzNTYzOTYwMzUifQ==</vt:lpwstr>
  </property>
</Properties>
</file>