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3FC7">
      <w:pPr>
        <w:spacing w:line="360" w:lineRule="auto"/>
        <w:jc w:val="center"/>
        <w:rPr>
          <w:rFonts w:ascii="宋体" w:hAnsi="宋体"/>
          <w:sz w:val="24"/>
        </w:rPr>
      </w:pPr>
    </w:p>
    <w:p w14:paraId="0DC87A1F">
      <w:pPr>
        <w:spacing w:line="360" w:lineRule="auto"/>
        <w:jc w:val="center"/>
        <w:rPr>
          <w:rFonts w:ascii="宋体" w:hAnsi="宋体"/>
          <w:sz w:val="24"/>
        </w:rPr>
      </w:pPr>
    </w:p>
    <w:p w14:paraId="6548F2DB">
      <w:pPr>
        <w:spacing w:line="360" w:lineRule="auto"/>
        <w:jc w:val="center"/>
        <w:rPr>
          <w:rFonts w:ascii="宋体" w:hAnsi="宋体"/>
          <w:sz w:val="24"/>
        </w:rPr>
      </w:pPr>
    </w:p>
    <w:p w14:paraId="3A1AA1B3">
      <w:pPr>
        <w:spacing w:line="360" w:lineRule="auto"/>
        <w:jc w:val="center"/>
        <w:rPr>
          <w:rFonts w:ascii="宋体" w:hAnsi="宋体"/>
          <w:sz w:val="24"/>
        </w:rPr>
      </w:pPr>
    </w:p>
    <w:p w14:paraId="3E8B514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2024年度政协赤峰市委员会办公室</w:t>
      </w:r>
    </w:p>
    <w:p w14:paraId="5CB8160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公开文档</w:t>
      </w:r>
    </w:p>
    <w:p w14:paraId="6035263A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0947F92D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14AE78EC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249F4DCA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5478CC25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24FB27D">
      <w:pPr>
        <w:spacing w:line="36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部门（单位）名称：政协赤峰市委员会办公室</w:t>
      </w:r>
    </w:p>
    <w:p w14:paraId="1F96588B">
      <w:pPr>
        <w:spacing w:line="36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单位负责人：彭士明</w:t>
      </w:r>
    </w:p>
    <w:p w14:paraId="5FD6C5EF">
      <w:pPr>
        <w:spacing w:line="36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财务负责人：田萌萌</w:t>
      </w:r>
    </w:p>
    <w:p w14:paraId="18E95CF6">
      <w:pPr>
        <w:spacing w:line="36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编制人：田萌萌</w:t>
      </w:r>
    </w:p>
    <w:p w14:paraId="467CC7C4">
      <w:pPr>
        <w:spacing w:line="360" w:lineRule="auto"/>
        <w:ind w:firstLine="2240" w:firstLineChars="700"/>
        <w:jc w:val="left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报送日期：2025年7月</w:t>
      </w:r>
    </w:p>
    <w:p w14:paraId="30B76472">
      <w:pPr>
        <w:ind w:firstLine="2249" w:firstLineChars="700"/>
        <w:rPr>
          <w:rFonts w:ascii="仿宋" w:hAnsi="仿宋" w:eastAsia="仿宋"/>
          <w:b/>
          <w:sz w:val="32"/>
          <w:szCs w:val="32"/>
        </w:rPr>
        <w:sectPr>
          <w:footerReference r:id="rId3" w:type="default"/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 w14:paraId="163BCE83">
      <w:pPr>
        <w:widowControl/>
        <w:spacing w:after="2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a00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录</w:t>
      </w:r>
    </w:p>
    <w:p w14:paraId="21A00E38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  <w:r>
        <w:rPr>
          <w:rFonts w:eastAsia="Times New Roman"/>
          <w:b/>
          <w:bCs/>
          <w:kern w:val="0"/>
          <w:sz w:val="24"/>
        </w:rPr>
        <w:t> </w:t>
      </w:r>
    </w:p>
    <w:p w14:paraId="0590395F">
      <w:pPr>
        <w:widowControl/>
        <w:spacing w:before="240" w:after="24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第一部分 部门（单位）概况</w:t>
      </w:r>
    </w:p>
    <w:p w14:paraId="3792DC6F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一、主要职能、职责</w:t>
      </w:r>
    </w:p>
    <w:p w14:paraId="1F0F34DD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二、部门（单位）机构设置及决算单位构成情况</w:t>
      </w:r>
    </w:p>
    <w:p w14:paraId="13624D85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三、2024年度部门（单位）主要工作完成情况</w:t>
      </w:r>
    </w:p>
    <w:p w14:paraId="662A695C">
      <w:pPr>
        <w:widowControl/>
        <w:spacing w:before="240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第二部分 部门（单位）决算情况说明</w:t>
      </w:r>
    </w:p>
    <w:p w14:paraId="0B5FA550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一、收入支出决算总体情况说明</w:t>
      </w:r>
    </w:p>
    <w:p w14:paraId="7CDC7F76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二、收入决算情况说明</w:t>
      </w:r>
    </w:p>
    <w:p w14:paraId="13B110DA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三、支出决算情况说明</w:t>
      </w:r>
    </w:p>
    <w:p w14:paraId="17864A5B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四、财政拨款收入支出决算总体情况说明</w:t>
      </w:r>
    </w:p>
    <w:p w14:paraId="2F7B255A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五、一般公共预算财政拨款支出决算情况说明</w:t>
      </w:r>
    </w:p>
    <w:p w14:paraId="1282458D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六、一般公共预算财政拨款基本支出决算情况说明</w:t>
      </w:r>
    </w:p>
    <w:p w14:paraId="6B94DB5F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七、一般公共预算财政拨款项目支出决算情况说明</w:t>
      </w:r>
    </w:p>
    <w:p w14:paraId="1CDF02B6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八、财政拨款“三公”经费支出决算情况说明</w:t>
      </w:r>
    </w:p>
    <w:p w14:paraId="7DCB033D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九、政府性基金预算财政拨款支出决算情况说明</w:t>
      </w:r>
    </w:p>
    <w:p w14:paraId="202AC107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十、国有资本经营预算财政拨款支出决算情况说明</w:t>
      </w:r>
    </w:p>
    <w:p w14:paraId="73463B62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十一、机构运行经费支出决算情况说明</w:t>
      </w:r>
    </w:p>
    <w:p w14:paraId="2746E9DB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十二、政府采购支出决算情况说明</w:t>
      </w:r>
    </w:p>
    <w:p w14:paraId="1FB18DC1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十三、国有资产占用情况说明</w:t>
      </w:r>
    </w:p>
    <w:p w14:paraId="6BE85CC6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十四、预算绩效情况说明</w:t>
      </w:r>
    </w:p>
    <w:p w14:paraId="2EA1A305">
      <w:pPr>
        <w:widowControl/>
        <w:spacing w:before="240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第三部分 名词解释</w:t>
      </w:r>
    </w:p>
    <w:p w14:paraId="5058B3F7">
      <w:pPr>
        <w:widowControl/>
        <w:spacing w:before="240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第四部分 决算公开联系方式及信息反馈渠道</w:t>
      </w:r>
    </w:p>
    <w:p w14:paraId="1820DC3E">
      <w:pPr>
        <w:widowControl/>
        <w:spacing w:before="240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第五部分 部门（单位）决算表</w:t>
      </w:r>
    </w:p>
    <w:p w14:paraId="25D98156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一、收入支出决算总表</w:t>
      </w:r>
    </w:p>
    <w:p w14:paraId="1AEAB18C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二、收入决算表</w:t>
      </w:r>
    </w:p>
    <w:p w14:paraId="769B971A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三、支出决算表</w:t>
      </w:r>
    </w:p>
    <w:p w14:paraId="26C20B97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四、财政拨款收入支出决算总表</w:t>
      </w:r>
    </w:p>
    <w:p w14:paraId="40E24380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五、一般公共预算财政拨款支出决算表</w:t>
      </w:r>
    </w:p>
    <w:p w14:paraId="16E62935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六、一般公共预算财政拨款基本支出决算明细表</w:t>
      </w:r>
    </w:p>
    <w:p w14:paraId="3BA8721C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七、一般公共预算财政拨款项目支出决算明细表</w:t>
      </w:r>
    </w:p>
    <w:p w14:paraId="64A47B7B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八、政府性基金预算财政拨款收入支出决算表</w:t>
      </w:r>
    </w:p>
    <w:p w14:paraId="729AE125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九、国有资本经营预算财政拨款支出决算表</w:t>
      </w:r>
    </w:p>
    <w:p w14:paraId="097E5468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十、财政拨款“三公”经费支出决算表</w:t>
      </w:r>
    </w:p>
    <w:p w14:paraId="1C45334F">
      <w:pPr>
        <w:widowControl/>
        <w:spacing w:before="240" w:after="2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十一、机构运行经费支出、国有资产占用情况及政府采购支出信息表</w:t>
      </w:r>
    </w:p>
    <w:p w14:paraId="5922A454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2CABA38E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4B63C0DB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27C40F2A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3E1C07DB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5A031908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1B72E98C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197442FE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0BD2BBA9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04719FF6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3333205B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5655511F">
      <w:pPr>
        <w:widowControl/>
        <w:spacing w:before="240" w:after="240"/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</w:pPr>
    </w:p>
    <w:p w14:paraId="38408235">
      <w:pPr>
        <w:widowControl/>
        <w:spacing w:before="240" w:after="240"/>
        <w:rPr>
          <w:rFonts w:hint="eastAsia" w:eastAsia="Times New Roman"/>
          <w:kern w:val="0"/>
          <w:sz w:val="24"/>
        </w:rPr>
      </w:pPr>
    </w:p>
    <w:p w14:paraId="4CC77A60">
      <w:pPr>
        <w:widowControl/>
        <w:spacing w:before="240" w:after="240"/>
        <w:jc w:val="center"/>
        <w:rPr>
          <w:rFonts w:eastAsia="Times New Roman"/>
          <w:kern w:val="0"/>
          <w:sz w:val="24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第一部分 部门概况</w:t>
      </w:r>
    </w:p>
    <w:p w14:paraId="1ECE65DA">
      <w:pPr>
        <w:widowControl/>
        <w:spacing w:before="240" w:after="2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 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 xml:space="preserve">   一、主要职能、职责</w:t>
      </w:r>
    </w:p>
    <w:p w14:paraId="52A26742">
      <w:pPr>
        <w:widowControl/>
        <w:spacing w:before="240" w:after="2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Calibri" w:hAnsi="Calibri" w:eastAsia="Calibri" w:cs="Calibri"/>
          <w:color w:val="0E00FE"/>
          <w:kern w:val="0"/>
          <w:sz w:val="27"/>
          <w:szCs w:val="27"/>
        </w:rPr>
        <w:t> </w:t>
      </w:r>
      <w:r>
        <w:rPr>
          <w:rFonts w:hint="eastAsia" w:hAnsi="仿宋_GB2312" w:cs="仿宋_GB2312"/>
          <w:color w:val="0E00FE"/>
          <w:kern w:val="0"/>
          <w:sz w:val="27"/>
          <w:szCs w:val="27"/>
        </w:rPr>
        <w:t xml:space="preserve">   </w:t>
      </w:r>
      <w:r>
        <w:rPr>
          <w:rFonts w:hint="eastAsia" w:hAnsi="仿宋_GB2312" w:cs="仿宋_GB2312"/>
          <w:color w:val="0E00FE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是赤峰人民爱国统一战线的组织，是中国共产党领导的多党合作和政治协商的机构，是我市政治生活中发扬社会主义民主的重要形式。政协赤峰市委员会办公室是政协赤峰市委员会的工作机构，承担为政协赤峰市委员会履行职能服务的各项工作。</w:t>
      </w:r>
    </w:p>
    <w:p w14:paraId="56AE067A">
      <w:pPr>
        <w:widowControl/>
        <w:spacing w:before="240" w:after="240"/>
        <w:rPr>
          <w:rFonts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主要职能是：政治协商，民主监督，组织参加本会各个党派、团体和各族各界人士参政议政。组织全体市政协委员及旗县区政协组织开展参政议政工作。</w:t>
      </w:r>
    </w:p>
    <w:p w14:paraId="3C5E94AA">
      <w:pPr>
        <w:widowControl/>
        <w:spacing w:before="240" w:after="240"/>
        <w:jc w:val="left"/>
        <w:rPr>
          <w:rFonts w:eastAsia="Times New Roman"/>
          <w:b w:val="0"/>
          <w:bCs w:val="0"/>
          <w:kern w:val="0"/>
          <w:sz w:val="32"/>
          <w:szCs w:val="32"/>
        </w:rPr>
      </w:pPr>
      <w:r>
        <w:rPr>
          <w:rFonts w:ascii="Calibri" w:hAnsi="Calibri" w:eastAsia="Calibri" w:cs="Calibri"/>
          <w:b w:val="0"/>
          <w:bCs w:val="0"/>
          <w:kern w:val="0"/>
          <w:sz w:val="32"/>
          <w:szCs w:val="32"/>
        </w:rPr>
        <w:t> </w:t>
      </w: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 xml:space="preserve"> </w:t>
      </w:r>
      <w:r>
        <w:rPr>
          <w:rFonts w:ascii="Calibri" w:hAnsi="Calibri" w:eastAsia="Calibri" w:cs="Calibri"/>
          <w:b w:val="0"/>
          <w:bCs w:val="0"/>
          <w:kern w:val="0"/>
          <w:sz w:val="32"/>
          <w:szCs w:val="32"/>
        </w:rPr>
        <w:t> </w:t>
      </w: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 xml:space="preserve"> 二、部门（单位）机构设置及决算单位构成情况</w:t>
      </w:r>
    </w:p>
    <w:p w14:paraId="75602C42">
      <w:pPr>
        <w:widowControl/>
        <w:spacing w:before="240" w:after="2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_new_roman" w:hAnsi="times_new_roman" w:eastAsia="times_new_roman" w:cs="times_new_roman"/>
          <w:kern w:val="0"/>
          <w:sz w:val="27"/>
          <w:szCs w:val="27"/>
        </w:rPr>
        <w:t xml:space="preserve">  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根据部门（单位）职责分工，本部门内设机构包括办公室和八个专门委员会构成。八个专门委员会是：提案委员会、经济和农牧委员会、教科卫体委员会、文化文史和学习委员会、民族宗教三胞联谊委员会、人口和资源环境委员会、社会和法制委员会、委员学习和联络委员会。无独立核算的下属单位。</w:t>
      </w:r>
    </w:p>
    <w:p w14:paraId="5331EB78">
      <w:pPr>
        <w:widowControl/>
        <w:spacing w:before="240" w:after="240"/>
        <w:ind w:firstLine="49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2.从决算单位构成看，纳入本部门决算编制范围的预算单位共计1家，具体包括：政协赤峰市委员会办公室部门本级。详细情况见表：</w:t>
      </w:r>
    </w:p>
    <w:p w14:paraId="4996BE21">
      <w:pPr>
        <w:widowControl/>
        <w:spacing w:before="240" w:after="240"/>
        <w:ind w:firstLine="49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19"/>
        <w:tblW w:w="10057" w:type="dxa"/>
        <w:jc w:val="center"/>
        <w:tblCellSpacing w:w="15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6"/>
        <w:gridCol w:w="4820"/>
        <w:gridCol w:w="4111"/>
      </w:tblGrid>
      <w:tr w14:paraId="4BBB489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tblHeader/>
          <w:tblCellSpacing w:w="15" w:type="dxa"/>
          <w:jc w:val="center"/>
        </w:trPr>
        <w:tc>
          <w:tcPr>
            <w:tcW w:w="108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94702C3">
            <w:pPr>
              <w:widowControl/>
              <w:spacing w:before="240" w:after="2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4790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94D16BE">
            <w:pPr>
              <w:widowControl/>
              <w:spacing w:before="240" w:after="2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406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EE63C0A">
            <w:pPr>
              <w:widowControl/>
              <w:spacing w:before="240" w:after="2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单位性质</w:t>
            </w:r>
          </w:p>
        </w:tc>
      </w:tr>
      <w:tr w14:paraId="7E518FDF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tblCellSpacing w:w="15" w:type="dxa"/>
          <w:jc w:val="center"/>
        </w:trPr>
        <w:tc>
          <w:tcPr>
            <w:tcW w:w="1081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177C602">
            <w:pPr>
              <w:widowControl/>
              <w:spacing w:before="240" w:after="2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790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45FD977">
            <w:pPr>
              <w:widowControl/>
              <w:spacing w:before="240" w:after="2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政协赤峰市委员会办公室</w:t>
            </w:r>
          </w:p>
        </w:tc>
        <w:tc>
          <w:tcPr>
            <w:tcW w:w="4066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6B35C16">
            <w:pPr>
              <w:widowControl/>
              <w:spacing w:before="240" w:after="2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财政拨款的行政单位</w:t>
            </w:r>
          </w:p>
        </w:tc>
      </w:tr>
    </w:tbl>
    <w:p w14:paraId="7B443E6F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  <w:r>
        <w:rPr>
          <w:rFonts w:ascii="Calibri" w:hAnsi="Calibri" w:eastAsia="Calibri" w:cs="Calibri"/>
          <w:color w:val="0E00FE"/>
          <w:kern w:val="0"/>
          <w:sz w:val="27"/>
          <w:szCs w:val="27"/>
        </w:rPr>
        <w:t> </w:t>
      </w:r>
      <w:r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  <w:t xml:space="preserve"> </w:t>
      </w:r>
      <w:r>
        <w:rPr>
          <w:rFonts w:ascii="Calibri" w:hAnsi="Calibri" w:eastAsia="Calibri" w:cs="Calibri"/>
          <w:color w:val="0E00FE"/>
          <w:kern w:val="0"/>
          <w:sz w:val="27"/>
          <w:szCs w:val="27"/>
        </w:rPr>
        <w:t> </w:t>
      </w:r>
      <w:r>
        <w:rPr>
          <w:rFonts w:ascii="Calibri" w:hAnsi="Calibri" w:eastAsia="Calibri" w:cs="Calibri"/>
          <w:b/>
          <w:bCs/>
          <w:kern w:val="0"/>
          <w:sz w:val="27"/>
          <w:szCs w:val="27"/>
        </w:rPr>
        <w:t> </w:t>
      </w: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 xml:space="preserve"> </w:t>
      </w:r>
      <w:r>
        <w:rPr>
          <w:rFonts w:ascii="Calibri" w:hAnsi="Calibri" w:eastAsia="Calibri" w:cs="Calibri"/>
          <w:b w:val="0"/>
          <w:bCs w:val="0"/>
          <w:kern w:val="0"/>
          <w:sz w:val="32"/>
          <w:szCs w:val="32"/>
        </w:rPr>
        <w:t> </w:t>
      </w: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 xml:space="preserve"> 三、2024年度部门（单位）主要工作完成情况</w:t>
      </w:r>
    </w:p>
    <w:p w14:paraId="026AAFA4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2024年坚持以习近平新时代中国特色社会主义思想为指导，聚焦贯彻铸牢中华民族共同体意识工作主线和办好“两件大事”、实施“六个工程”等重点工作，以改革思维、创新理念、务实举措认真履行职能，为推动全市高质量发展贡献了政协力量。一是把党的全面领导贯穿政协履职全过程。二是服务全市高质量发展。三是广泛凝聚共识汇聚发展合力。四是深化创新实践拓展履职平台。五是加强自身建设夯实履职基础。</w:t>
      </w:r>
    </w:p>
    <w:p w14:paraId="3E1B0E08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  <w:r>
        <w:rPr>
          <w:rFonts w:ascii="仿宋_GB2312" w:eastAsia="仿宋_GB2312"/>
          <w:sz w:val="32"/>
          <w:szCs w:val="32"/>
        </w:rPr>
        <w:t>   </w:t>
      </w:r>
    </w:p>
    <w:p w14:paraId="04D6E5BC">
      <w:pPr>
        <w:pStyle w:val="3"/>
        <w:keepNext w:val="0"/>
        <w:keepLines w:val="0"/>
        <w:widowControl/>
        <w:spacing w:before="299" w:after="299" w:line="24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第二部分  部门（单位）决算情况说明</w:t>
      </w:r>
    </w:p>
    <w:p w14:paraId="04A32649">
      <w:pPr>
        <w:widowControl/>
        <w:spacing w:before="240" w:after="24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一、收入支出决算总体情况说明</w:t>
      </w:r>
    </w:p>
    <w:p w14:paraId="0103B484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2024年度收入、支出决算总计 2272.40万元。与年初预算相比，收、支总计各增加360.17万元，增长 15.85%，变动原因：人员增加，人员工资增加，由于工作实际，追加信息化建设、相关工作经费等项目；与上年决算相比，收、支总计各减少224.58万元，减少8.99%。其中：</w:t>
      </w:r>
    </w:p>
    <w:p w14:paraId="0C30DF4A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（一）收入决算总计 2272.40万元。包括：</w:t>
      </w:r>
    </w:p>
    <w:p w14:paraId="45B2DC93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1.本年收入决算合计 2255.36万元。与上年决算相比，减少208.47万元，减少8.46%，变动原因：较上年度项目经费减少。</w:t>
      </w:r>
    </w:p>
    <w:p w14:paraId="7627DFCD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2.使用非财政拨款结余和专用结余 0万元。与上年决算相比，增加0万元，增长 0%，变动原因：本部门不存在非财政拨款结余和专用结余。</w:t>
      </w:r>
    </w:p>
    <w:p w14:paraId="463EECC5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3.年初结转和结余 17.04万元。与上年决算相比，减少16.11万元，减少48.59%，变动原因：自治区委员活动经费年初结转减少。</w:t>
      </w:r>
    </w:p>
    <w:p w14:paraId="2CD16F4B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2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（二）支出决算总计 2272.40万元。包括：</w:t>
      </w:r>
    </w:p>
    <w:p w14:paraId="1BE6E875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1.本年支出决算合计 2254.64万元。与上年决算相比，减少225.30万元，减少9.08%，变动原因：较上年度项目经费减少。</w:t>
      </w:r>
    </w:p>
    <w:p w14:paraId="155A417E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2.结余分配 0万元。结余分配事项：本部门不存在结余分配。与上年决算相比，增加0万元，增长 0%，变动原因：本部门不存在结余分配。</w:t>
      </w:r>
    </w:p>
    <w:p w14:paraId="22F29212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3.年末结转和结余 17.76万元。结转和结余事项：自治区委员活动经费。与上年决算相比，增加 0.71万元，增长 4.19%，变动原因：自治区委员活动经费年末结转减少。</w:t>
      </w:r>
    </w:p>
    <w:p w14:paraId="38A86369">
      <w:pPr>
        <w:widowControl/>
        <w:spacing w:before="240" w:after="24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二、收入决算情况说明</w:t>
      </w:r>
    </w:p>
    <w:p w14:paraId="0E8E54C0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2024年度本年收入决算合计 2255.36万元，其中：</w:t>
      </w:r>
    </w:p>
    <w:p w14:paraId="33EEB523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本年一般公共预算财政拨款收入 2238.55万元，占 99.25%；</w:t>
      </w:r>
    </w:p>
    <w:p w14:paraId="26FDB38E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本年政府性基金预算财政拨款收入 0万元，占 0%；</w:t>
      </w:r>
    </w:p>
    <w:p w14:paraId="648D4680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本年国有资本经营预算财政拨款收入 0万元，占 0%；</w:t>
      </w:r>
    </w:p>
    <w:p w14:paraId="79BF13C7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本年上级补助收入 0万元，占 0%；</w:t>
      </w:r>
    </w:p>
    <w:p w14:paraId="420CCA8F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本年事业收入 0万元，占 0%；</w:t>
      </w:r>
    </w:p>
    <w:p w14:paraId="0E0A0FBB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本年经营收入 0万元，占 0%；</w:t>
      </w:r>
    </w:p>
    <w:p w14:paraId="6AE03F77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本年附属单位上缴收入 0万元，占 0%；</w:t>
      </w:r>
    </w:p>
    <w:p w14:paraId="048DDE80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本年其他收入 16.81万元，占 0.75%。</w:t>
      </w:r>
    </w:p>
    <w:p w14:paraId="7AAD7571">
      <w:pPr>
        <w:widowControl/>
        <w:spacing w:before="240" w:after="240"/>
        <w:rPr>
          <w:rFonts w:eastAsia="Times New Roman"/>
          <w:kern w:val="0"/>
          <w:sz w:val="24"/>
        </w:rPr>
      </w:pPr>
      <w:r>
        <w:rPr>
          <w:rFonts w:ascii="Calibri" w:hAnsi="Calibri" w:eastAsia="Calibri" w:cs="Calibri"/>
          <w:color w:val="0E00FE"/>
          <w:kern w:val="0"/>
          <w:sz w:val="27"/>
          <w:szCs w:val="27"/>
        </w:rPr>
        <w:t> </w:t>
      </w:r>
      <w:r>
        <w:rPr>
          <w:rFonts w:eastAsia="Times New Roman"/>
          <w:kern w:val="0"/>
          <w:sz w:val="24"/>
        </w:rPr>
        <w:drawing>
          <wp:inline distT="0" distB="0" distL="0" distR="0">
            <wp:extent cx="5897880" cy="370586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</w:rPr>
        <w:t xml:space="preserve">  </w:t>
      </w:r>
    </w:p>
    <w:p w14:paraId="3D236EEE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图1.收入决算图</w:t>
      </w:r>
    </w:p>
    <w:p w14:paraId="71E5E2F3">
      <w:pPr>
        <w:widowControl/>
        <w:spacing w:before="240" w:after="240"/>
        <w:ind w:firstLine="640" w:firstLineChars="200"/>
        <w:jc w:val="left"/>
        <w:rPr>
          <w:rFonts w:hint="eastAsia" w:eastAsiaTheme="minorEastAsia"/>
          <w:kern w:val="0"/>
          <w:sz w:val="2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三、支出决算情况说明</w:t>
      </w:r>
    </w:p>
    <w:p w14:paraId="4F719B08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 2024年度本年支出决算合计 2254.64万元，其中：</w:t>
      </w:r>
    </w:p>
    <w:p w14:paraId="759206E4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本年基本支出 1485.54万元，占 65.89%；</w:t>
      </w:r>
    </w:p>
    <w:p w14:paraId="56498042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本年项目支出 769.10万元，占 34.11%；</w:t>
      </w:r>
    </w:p>
    <w:p w14:paraId="23FED056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本年上缴上级支出 0万元，占 0%；</w:t>
      </w:r>
    </w:p>
    <w:p w14:paraId="380EA6AB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本年经营支出 0万元，占 0%；</w:t>
      </w:r>
    </w:p>
    <w:p w14:paraId="01B6E057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本年对附属单位补助支出 0万元，占 0%。</w:t>
      </w:r>
    </w:p>
    <w:p w14:paraId="7B7B3B6C">
      <w:pPr>
        <w:widowControl/>
        <w:spacing w:before="240" w:after="240"/>
        <w:rPr>
          <w:rFonts w:eastAsia="Times New Roman"/>
          <w:kern w:val="0"/>
          <w:sz w:val="24"/>
        </w:rPr>
      </w:pPr>
      <w:r>
        <w:rPr>
          <w:rFonts w:eastAsia="Times New Roman"/>
          <w:kern w:val="0"/>
          <w:sz w:val="24"/>
        </w:rPr>
        <w:drawing>
          <wp:inline distT="0" distB="0" distL="0" distR="0">
            <wp:extent cx="5181600" cy="3238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3DE1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图2.支出决算图</w:t>
      </w:r>
    </w:p>
    <w:p w14:paraId="03A9EFA0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</w:p>
    <w:p w14:paraId="6D10057D">
      <w:pPr>
        <w:widowControl/>
        <w:spacing w:before="240" w:after="24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四、财政拨款收入支出决算总体情况说明</w:t>
      </w:r>
    </w:p>
    <w:p w14:paraId="7E855439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2024年度财政拨款收入、支出决算总计 2238.55万元，与年初预算相比，收、支总计各增加277.01万元，增长 14.12%，变动原因：人员增加，人员工资增加，由于工作实际，追加信息化建设、相关工作经费等项目；与上年决算相比，收、支总计各减少235.93万元，减少9.53%，变动原因：较上年度项目经费减少。</w:t>
      </w:r>
    </w:p>
    <w:p w14:paraId="201B2680">
      <w:pPr>
        <w:widowControl/>
        <w:spacing w:before="240" w:after="24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五、一般公共预算财政拨款支出决算情况说明</w:t>
      </w:r>
    </w:p>
    <w:p w14:paraId="5D1D2AC2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2024年度一般公共预算财政拨款支出决算 2237.67万元。与年初预算 1961.54万元相比，完成年初预算的 114.07%。其中：</w:t>
      </w:r>
    </w:p>
    <w:p w14:paraId="498CE4A6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（一）一般公共服务（类）</w:t>
      </w:r>
    </w:p>
    <w:p w14:paraId="186A343D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一般公共服务类决算数为 1693.24万元，与年初预算相比增加151.61万元。其中：</w:t>
      </w:r>
    </w:p>
    <w:p w14:paraId="43E3382C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1．政协事务（款）行政运行（项）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年初预算1203.98万元，支出决算934.56万元，完成年初预算的77.62%。决算数与年初预算数的差异原因：年初预算将政协会议功能科目录入错误，录入为行政运行，年中调整为政协会议科目，导致年初预算行政运行科目预算增多，决算减少。</w:t>
      </w:r>
    </w:p>
    <w:p w14:paraId="66ADF201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2．政协事务（款）一般行政管理事务（项）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。年初预算217万元，支出决算294.96万元，完成年初预算的135.93%。决算数与年初预算数的差异原因：年中追加盘活项目资金，支出决算数较年初预算书增加。</w:t>
      </w:r>
    </w:p>
    <w:p w14:paraId="0FFA9E50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 政协事务（款）政协会议（项）。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0万元，支出决算253.93万元，完成年初预算的25393%。决算数与年初预算数的差异原因：年初预算将政协会议功能科目录入错误，录入为行政运行，年中调整为政协会议科目，导致年初预算政协会议科目为0，调整后决算数增加。</w:t>
      </w:r>
    </w:p>
    <w:p w14:paraId="32ACC921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 政协事务（款）委员视察（项）。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年初预算120万元，支出决算96万元，完成年初预算的80%。决算数与年初预算数的差异原因：年中将24万元收回财政，向12个旗县区分配委员活动经费，导致支出决算减少。</w:t>
      </w:r>
    </w:p>
    <w:p w14:paraId="02BD6D65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 政协事务（款）事业运行（项）。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年初预算0.65万元，支出决算6.55万元，完成年初预算的1004.69%。决算数与年初预算数的差异原因：年初预算将事业人员工资错误录入为行政运行科目，年末结算时调整为事业运行，导致决算数比预算数增多。</w:t>
      </w:r>
    </w:p>
    <w:p w14:paraId="1223D85A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 政协事务（款）其他政协事务支出（项）。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年初预算0万元，支出决算107.25万元，完成年初预算的10725%。决算数与年初预算数的差异原因：年中追加市政协信息化建设、相关工作经费等项目，导致决算增加。</w:t>
      </w:r>
    </w:p>
    <w:p w14:paraId="768041CE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2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（二）社会保障和就业支出（类）</w:t>
      </w:r>
    </w:p>
    <w:p w14:paraId="3F9DE6E2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社会保障和就业支出类决算数为 395.04万元，与年初预算相比增加134.71万元。其中：</w:t>
      </w:r>
    </w:p>
    <w:p w14:paraId="0B7B212B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1．行政事业单位养老支出（款）行政单位离退休（项）。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年初预算148.3万元，支出决算158.5万元，完成年初预算的106.88%。决算数与年初预算数的差异原因：退休人员项目外工资增加。</w:t>
      </w:r>
    </w:p>
    <w:p w14:paraId="14B55E36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2．行政事业单位养老支出（款）机关事业单位基本养老保险缴费支出（项）。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年初预算109.62万元，支出决算95.62万元，完成年初预算的87.23%。决算数与年初预算数的差异原因：养老保险缴费减少。</w:t>
      </w:r>
    </w:p>
    <w:p w14:paraId="35FD764A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3．行政事业单位养老支出（款）机关事业单位职业年金缴费支出（项）。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年初预算0万元，支出决算5.74万元，完成年初预算的574%。决算数与年初预算数的差异原因：人员退休职业年金做实。</w:t>
      </w:r>
    </w:p>
    <w:p w14:paraId="784AC093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4．抚恤（款）死亡抚恤（项）。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年初预算0万元，支出决算133.3万元，完成年初预算的13330%。决算数与年初预算数的差异原因：退休人员死亡，抚恤金增加。</w:t>
      </w:r>
    </w:p>
    <w:p w14:paraId="4A5F6C6E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5．其他社会保障和就业支出（款）其他社会保障和就业支出（项）。年初预算2.41万元，支出决算1.88万元，完成年初预算的78%。决算数与年初预算数的差异原因：失业保险及工伤保险缴费减少。</w:t>
      </w:r>
    </w:p>
    <w:p w14:paraId="67FCB4D0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（三）卫生健康支出（类）</w:t>
      </w:r>
    </w:p>
    <w:p w14:paraId="12BD8580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卫生健康支出类决算数为 54.57万元，与年初预算相比减少3.65万元。其中：</w:t>
      </w:r>
    </w:p>
    <w:p w14:paraId="730EED52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1．行政事业单位医疗（款）行政单位医疗（项）。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年初预算58.22万元，支出决算52.15万元，完成年初预算的89.57%。决算数与年初预算数的差异原因：医疗保险缴费支出减少。</w:t>
      </w:r>
    </w:p>
    <w:p w14:paraId="5C47CDED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2．行政事业单位医疗（款）公务员医疗补助（项）。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年初预算0万元，支出决算2.43万元，完成年初预算的243%。决算数与年初预算数的差异原因：公务员医疗补助2月份由财政缴费支出。</w:t>
      </w:r>
    </w:p>
    <w:p w14:paraId="796E072A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（四）农林水支出（类）</w:t>
      </w:r>
    </w:p>
    <w:p w14:paraId="275D6566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农林水支出决算数为 3万元，与年初预算相比减少0万元。其中：</w:t>
      </w:r>
    </w:p>
    <w:p w14:paraId="4188E786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1．巩固脱贫攻坚成果衔接乡村振兴（款）其他巩固脱贫攻坚成果衔接乡村振兴支出（项）。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年初预算3万元，支出决算4.02万元，完成年初预算的134%。决算数与年初预算数的差异原因：年初存在结转资金3万元，年中追加本年度资金3万元。</w:t>
      </w:r>
    </w:p>
    <w:p w14:paraId="32B834FD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（五）住房保障支出（类）</w:t>
      </w:r>
    </w:p>
    <w:p w14:paraId="116E7894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住房保障支出类决算数为 90.81万元，与年初预算相比减少7.56万元。其中：</w:t>
      </w:r>
    </w:p>
    <w:p w14:paraId="12B6C549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1．住房改革支出（款）住房公积金（项）。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年初预算98.37万元，支出决算90.81万元，完成年初预算的92.31%。决算数与年初预算数的差异原因：住房公积金年初预算数充足。</w:t>
      </w:r>
    </w:p>
    <w:p w14:paraId="2AB8DA5B">
      <w:pPr>
        <w:widowControl/>
        <w:spacing w:before="240" w:after="240"/>
        <w:ind w:firstLine="640" w:firstLineChars="200"/>
        <w:jc w:val="left"/>
        <w:rPr>
          <w:rFonts w:eastAsia="Times New Roman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六、一般公共预算财政拨款基本支出决算情况说明</w:t>
      </w:r>
    </w:p>
    <w:p w14:paraId="5B516BCD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 2024年度一般公共预算财政拨款基本支出决算 1485.54万元，其中：</w:t>
      </w:r>
    </w:p>
    <w:p w14:paraId="69291D7C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（一）人员经费 1316.81万元。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主要包括：基本工资、津贴补贴、奖金、社会保障缴费、绩效工资、其他工资福利支出、离休费、退休费、抚恤金、生活补助、住房公积金、其他对个人和家庭的补助支出等。</w:t>
      </w:r>
    </w:p>
    <w:p w14:paraId="700857AD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（二）公用经费 168.73万元。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主要包括：办公费、印刷费、邮电费、差旅费、维修（护）费、会议费、培训费、公务接待费、劳务费、福利费、公务用车运行维护费、其他交通费用、其他商品和服务支出、办公设备购置等。</w:t>
      </w:r>
    </w:p>
    <w:p w14:paraId="7185B0B9">
      <w:pPr>
        <w:widowControl/>
        <w:spacing w:before="240" w:after="240"/>
        <w:ind w:firstLine="640" w:firstLineChars="200"/>
        <w:jc w:val="left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七、一般公共预算财政拨款项目支出决算情况说明</w:t>
      </w:r>
    </w:p>
    <w:p w14:paraId="28505668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2024年度一般公共预算财政拨款项目支出决算 752.13万元，其中：</w:t>
      </w:r>
    </w:p>
    <w:p w14:paraId="5805A055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（一）商品和服务支出 699.99万元。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主要包括：办公费、差旅费、维修（护）费、会议费、委托业务费其他商品和服务支出等。</w:t>
      </w:r>
    </w:p>
    <w:p w14:paraId="46D976DC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（二）资本性支出52.14万元。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主要包括办公设备购置费。</w:t>
      </w:r>
    </w:p>
    <w:p w14:paraId="5A2AFFF0">
      <w:pPr>
        <w:widowControl/>
        <w:spacing w:before="240" w:after="24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八、财政拨款“三公”经费支出决算情况说明</w:t>
      </w:r>
    </w:p>
    <w:p w14:paraId="256FC6B3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（一）财政拨款“三公”经费支出总体情况说明。</w:t>
      </w:r>
    </w:p>
    <w:p w14:paraId="4CBDCB79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2024年度财政拨款“三公”经费全年预算15万元，支出决算7.42万元，完成预算的49.47%。其中：因公出国（境）费全年预算 0万元，支出决算 0万元，完成预算的 0%；公务用车购置及运行维护费全年预算 5万元，支出决算 4.95万元，完成预算的99%；公务接待费全年预算 10万元，支出决算 2.48万元，完成预算的24.8%。2024年度一般公共预算财政拨款“三公”经费支出决算与预算差异原因为公务接待费24年支出较少。</w:t>
      </w:r>
    </w:p>
    <w:p w14:paraId="1D52C532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（二）财政拨款“三公”经费支出具体情况说明。</w:t>
      </w:r>
    </w:p>
    <w:p w14:paraId="3E633051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2024年度财政拨款“三公”经费支出 7.42万元。因公出国（境）费支出 0万元，占 0%；公务用车购置及运行维护费支出 4.95万元，占 66.71%；公务接待费支出 2.48万元，占 33.29%。其中：</w:t>
      </w:r>
    </w:p>
    <w:p w14:paraId="36216288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1.因公出国（境）费支出 0万元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全年出国（境）团组0 个，累计0 人次。与上年决算相比，增加 0万元，增长0%，变动原因：本部门无因公出国费用支出。</w:t>
      </w:r>
    </w:p>
    <w:p w14:paraId="6D45F953">
      <w:pPr>
        <w:widowControl/>
        <w:spacing w:before="240" w:after="240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2.公务用车购置及运行维护费支出 4.95万元。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其中：</w:t>
      </w:r>
    </w:p>
    <w:p w14:paraId="4093BB05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（1）公务用车购置支出 0万元。本年度使用财政拨款购置公务用车0 辆，开支内容：本部门无公务用车购置支出。与上年决算相比，增加 0万元，增长0%，变动原因：本部门无公务用车购置支出。</w:t>
      </w:r>
    </w:p>
    <w:p w14:paraId="09AE90AD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公务用车运行维护费支出4.95万元。公务用车运行维护费主要用于按规定保留的公务用车的燃料费、维修费、过桥过路费、保险费等支出。截至2024年12月31日，使用财政拨款开支的公务用车保有量为1辆。与上年决算相比，增加0.85万元，增长20.73%，变动原因：24年赴旗县调研增加，公车运行维护费增加。</w:t>
      </w:r>
    </w:p>
    <w:p w14:paraId="0609F983">
      <w:pPr>
        <w:widowControl/>
        <w:spacing w:before="240" w:after="24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3.公务接待费支出2.48万元。其中：国内公务接待支出2.48万元，接待78 批次，210 人次，开支内容：外地政协调研组来赤峰公务接待费；国（境）外公务接待支出 0万元，接待0 批次，0 人次，开支内容：本部门无国（境）外公务接待支出。与上年决算相比，减少0.67万元，减少21.27%，变动原因：2024年公务接待较2023年减少。</w:t>
      </w:r>
    </w:p>
    <w:p w14:paraId="42223BAE">
      <w:pPr>
        <w:widowControl/>
        <w:spacing w:before="240" w:after="240"/>
        <w:ind w:firstLine="640" w:firstLineChars="200"/>
        <w:rPr>
          <w:rFonts w:eastAsia="Times New Roman"/>
          <w:kern w:val="0"/>
          <w:sz w:val="24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九、政府性基金预算财政拨款支出决算情况说明</w:t>
      </w:r>
    </w:p>
    <w:p w14:paraId="530668C4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2024年度政府性基金预算财政拨款支出决算 0万元。与上年决算相比，增加 0万元，增长 0%，变动原因：本部门无政府性基金预算财政拨款收、支、余。</w:t>
      </w:r>
    </w:p>
    <w:p w14:paraId="33F91C09">
      <w:pPr>
        <w:widowControl/>
        <w:spacing w:before="240" w:after="240"/>
        <w:ind w:firstLine="640" w:firstLineChars="200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十、国有资本经营预算财政拨款支出决算情况说明</w:t>
      </w:r>
    </w:p>
    <w:p w14:paraId="61582634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2024年度国有资本经营预算财政拨款支出决算 0万元。与上年决算相比，增加 0万元，增长 0%，变动原因：本部门无国有资本经营预算财政拨款收、支、余。</w:t>
      </w:r>
    </w:p>
    <w:p w14:paraId="476F0D38">
      <w:pPr>
        <w:widowControl/>
        <w:spacing w:before="240" w:after="240"/>
        <w:ind w:firstLine="640" w:firstLineChars="200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十一、机构运行经费支出决算情况说明</w:t>
      </w:r>
    </w:p>
    <w:p w14:paraId="16AD86AF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2024年度机构运行经费支出决算 168.73万元。比上年决算相比，减少1.1万元，减少0.65%，变动原因：内部控制差旅费减少。</w:t>
      </w:r>
    </w:p>
    <w:p w14:paraId="1AD1D784">
      <w:pPr>
        <w:widowControl/>
        <w:spacing w:before="240" w:after="240"/>
        <w:ind w:firstLine="640" w:firstLineChars="200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十二、政府采购支出决算情况说明</w:t>
      </w:r>
    </w:p>
    <w:p w14:paraId="1D8F0F40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2024年度政府采购支出总额54.86万元，其中：政府采购货物支出 35.55万元、政府采购工程支出 0万元、政府采购服务支出 19.31万元。政府采购授予中小企业合同金额52.02万元，占政府采购支出总额的94.82%，其中：授予小微企业合同金额 52.02万元，占政府采购支出总额的94.82%；货物采购授予中小企业合同金额占货物支出金额的92.01%，工程采购授予中小企业合同金额占工程支出金额的0%，服务采购授予中小企业合同金额占服务支出金额的100%。</w:t>
      </w:r>
    </w:p>
    <w:p w14:paraId="4D21F96E">
      <w:pPr>
        <w:widowControl/>
        <w:spacing w:before="240" w:after="240"/>
        <w:ind w:firstLine="640" w:firstLineChars="200"/>
        <w:rPr>
          <w:rFonts w:eastAsia="Times New Roman"/>
          <w:kern w:val="0"/>
          <w:sz w:val="24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十三、国有资产占用情况说明</w:t>
      </w:r>
    </w:p>
    <w:p w14:paraId="497CFEF5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 截至2024年12月31日，本部门（单位）共有车辆 1辆，其中：副部（省）级及以上领导用车0 辆、主要负责人用车 0辆、机要通信用车 0辆、应急保障用车 0辆、执法执勤用车 0辆、特种专业技术用车 0辆、离退休干部服务用车 0辆，其他用车1辆；单价100万元（含）以上的设备（不含车辆） 0台（套）。</w:t>
      </w:r>
    </w:p>
    <w:p w14:paraId="1FC590D1">
      <w:pPr>
        <w:widowControl/>
        <w:spacing w:before="240" w:after="240"/>
        <w:ind w:firstLine="640" w:firstLineChars="200"/>
        <w:jc w:val="left"/>
        <w:rPr>
          <w:rFonts w:eastAsia="Times New Roman"/>
          <w:b w:val="0"/>
          <w:bCs w:val="0"/>
          <w:ker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0"/>
          <w:sz w:val="32"/>
          <w:szCs w:val="32"/>
        </w:rPr>
        <w:t>十四、预算绩效情况说明</w:t>
      </w:r>
    </w:p>
    <w:p w14:paraId="46287EA4">
      <w:pPr>
        <w:widowControl/>
        <w:spacing w:before="240" w:after="240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（一）预算绩效管理工作开展情况。</w:t>
      </w:r>
    </w:p>
    <w:p w14:paraId="45FC5AE1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政协赤峰市委员会办公室 根据预算绩效管理要求组织对2024年一般公共预算项目支出全面开展绩效自评，其中一级项目10个，二级项目0个，共涉及资金527万元，占一般公共预算项目支出总额的70%；政府性基金预算项目0个，其中，一级项目0个，二级项目0个，共涉及资金0元，占应纳入绩效自评的政府性基金预算项目支出总额的0%； </w:t>
      </w:r>
    </w:p>
    <w:p w14:paraId="4AC5CD53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组织对“专门委员会活动经费”、“《赤峰战争史》编撰出版经费”、“口述史制作经费”“ 相关工作经费”“ 赤峰文史馆日常运行费”“《赤峰文史》期刊发行费”“ 会议费”“委员活动经费”等10个项目开展了部门评价，涉及一般公共预算支出527万元，政府性基金支出0万元。从评价情况看，以上项目八届三次政协全会顺利召开，《赤峰文史》期刊出版发行5期，专门委员会外出调研考察如期完成，《口述史》制作完成10期，赤峰文史馆日常运行保障良好，组织委员培训视察活动开展顺利，以上项目绩效目标工作有序、顺利完成。</w:t>
      </w:r>
    </w:p>
    <w:p w14:paraId="6443BE7F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2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（二）部决算中项目绩效自评结果。</w:t>
      </w:r>
    </w:p>
    <w:p w14:paraId="628FB0B2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政协赤峰市委员会办公室 2024年度在决算中反映10个一般公共预算项目，以及0个政府性基金项目，共10个项目的绩效自评结果。</w:t>
      </w:r>
    </w:p>
    <w:p w14:paraId="4CEEFCD0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1.专门委员会活动经费项目自评综述：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年初设定的绩效目标，项目自评得分100分。全年预算数为45万元，执行数为45万元，完成预算的100%。项目绩效目标完成情况：2024年顺利组织政协委员、专家学者就调研议政协商课题赴外地及旗县调研，参加全国政协、自治区政协调研培训座谈会，提升委员履职能力，持续增强对赤峰经济社会发展建言献策的力度，向市委政府提交调研报告、督办重点提案。发现的主要问题及原因：专委会外出考察学习由于经费原因受限制。下一步改进措施：在节约经费的情况下多种组织外出考察学习。</w:t>
      </w:r>
    </w:p>
    <w:p w14:paraId="51696FEC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2.《赤峰战争史》编撰出版经费项目自评综述：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0分。全年预算数为14万元，执行数为0万元，完成预算的0%。项目绩效目标完成情况：因史料征集情况存在问题，2024年未完成编撰出版。发现的主要问题及原因：对史料征集存在的问题考虑不充分，导致项目未开展。下一步改进措施：以后申请文史相关项目经费时做好充分前期调研，避免存在此类情况。</w:t>
      </w:r>
    </w:p>
    <w:p w14:paraId="4FCB4DDE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3.口述史制作经费项目自评综述：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100分。全年预算数为12万元，执行数为12万元，完成预算的100%。项目绩效目标完成情况：以影音资料的形式保存对赤峰有影响力的老干部、抗战老兵等资料，搜集、记录参与赤峰近现代建设发展的亲历者的口头史料，制作10期口述史，保护宣传赤峰近现代史，长期弘扬我市历史文化。</w:t>
      </w:r>
    </w:p>
    <w:p w14:paraId="32B31B42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4.相关工作经费项目自评综述：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95.25分。全年预算数为40万元，执行数为20.99万元，完成预算的52.47%。项目绩效目标完成情况：辽代文化书籍已完成出版、视频制作已完成。发现的主要问题及原因：因年底财政拨款未批复，未支付视频制作费。下一步改进措施：根据项目支出情况，提前向财政申请资金支付，避免年底无法支付情况发生。</w:t>
      </w:r>
    </w:p>
    <w:p w14:paraId="6B41DCC7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5.赤峰文史馆日常运行费项目自评综述：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0分。全年预算数为5万元，执行数为0万元，完成预算的0%。项目绩效目标完成情况：文史馆日常运转，但由于文史馆房屋维修维护未进行，项目未完成。发现的主要问题及原因：对房屋维修改造的安排不合理，未进行维修。下一步改进措施：根据实际情况提前规划房屋维修事宜。</w:t>
      </w:r>
    </w:p>
    <w:p w14:paraId="028C60D4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6.赤峰文史馆日常运行费项目自评综述：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100分。全年预算数为18万元，执行数为18万元，完成预算的100%。项目绩效目标完成情况：用于文史馆实物整理展出；补充资料收集；触摸屏资料；做好《赤峰文史》期刊及文史资料出版的相关工作；资料归档，将收集到的大量资料进行整理归档；展出内容更新完善；提高政协文史资料工作征集、传播的数字化、多媒体化和网络化水平；建立专兼职的政协文史工作队伍。</w:t>
      </w:r>
    </w:p>
    <w:p w14:paraId="63DCA097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7.《赤峰文史》期刊发行费项目自评综述：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100分。全年预算数为54万元，执行数为54万元，完成预算的100%。项目绩效目标完成情况：用于保障2023年度《赤峰文史》印刷。由于年底财政资金拨付不及时，2024年结转资金拨付。通过该项目的实施，有效保证2023年《赤峰文史》期刊正常发行。</w:t>
      </w:r>
    </w:p>
    <w:p w14:paraId="251EAE32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8.会议费项目自评综述：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90分。全年预算数为184万元，执行数为184万元，完成预算的100%。项目绩效目标完成情况：用于召开赤峰市政协全会（一类会议），召开政协常委会（二类会议），召开信息工作会议、提案工作会议、座谈会等其他各类会议（三类会议），加快政协提案提交率、提升政协参政议政程度。发现的主要问题及原因：委员长期建言献策积极性有待提高。下一步改进措施：通过组织培训、召开协商会议，提高委员建言献策积极性。</w:t>
      </w:r>
    </w:p>
    <w:p w14:paraId="2B2D10C9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9.《赤峰文史》期刊发行费项目自评综述：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项目自评得分99.98分。全年预算数为59万元，执行数为58.88万元，完成预算的0%。项目绩效目标完成情况：2024年全年共出版5期。保护宣传赤峰近现代史，长期弘扬我市历史文化。</w:t>
      </w:r>
    </w:p>
    <w:p w14:paraId="66CF835B">
      <w:pPr>
        <w:widowControl/>
        <w:spacing w:before="240" w:after="24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10.委员活动经费项目自评综述：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自评得分100分。全年预算数为96万元，执行数为96万元，完成预算的100%。项目绩效目标完成情况：用于市政协400名委员培训,差旅费.委员工作室,委员活动等经费支出，保障政协委员活动工作的正常开展，持续提升政协委员参政议政的社会影响力。</w:t>
      </w:r>
    </w:p>
    <w:p w14:paraId="0658F547">
      <w:pPr>
        <w:widowControl/>
        <w:spacing w:before="240" w:after="24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口述史制作经费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委员活动经费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赤峰文史馆日常运行费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专门委员会活动经费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5个项目绩效自评表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见附件。</w:t>
      </w:r>
    </w:p>
    <w:p w14:paraId="7E003ABC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（三）部门（单位）项目绩效评价结果。</w:t>
      </w:r>
    </w:p>
    <w:p w14:paraId="314D086C">
      <w:pPr>
        <w:widowControl/>
        <w:spacing w:before="240" w:after="24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以口述史制作经费项目为例，该项目绩效评价综合得分为100分，绩效评价结果为“优”。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制作10期口述史，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每期经费支出1.2万元，项目共12万元。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以影音资料的形式保存对赤峰有影响力的老干部、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老专家、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抗战老兵等资料，搜集、记录参与赤峰近现代建设发展的亲历者的口头史料，保护宣传赤峰近现代史，长期弘扬我市历史文化。重点项目绩效评价得分情况详见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附件。</w:t>
      </w:r>
    </w:p>
    <w:p w14:paraId="07AEEEB9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  <w:r>
        <w:rPr>
          <w:rFonts w:ascii="Calibri" w:hAnsi="Calibri" w:eastAsia="Calibri" w:cs="Calibri"/>
          <w:color w:val="0E00FE"/>
          <w:kern w:val="0"/>
          <w:sz w:val="27"/>
          <w:szCs w:val="27"/>
        </w:rPr>
        <w:t> </w:t>
      </w:r>
      <w:r>
        <w:rPr>
          <w:rFonts w:ascii="仿宋_GB2312" w:hAnsi="仿宋_GB2312" w:eastAsia="仿宋_GB2312" w:cs="仿宋_GB2312"/>
          <w:color w:val="0E00FE"/>
          <w:kern w:val="0"/>
          <w:sz w:val="27"/>
          <w:szCs w:val="27"/>
        </w:rPr>
        <w:t xml:space="preserve"> </w:t>
      </w:r>
      <w:r>
        <w:rPr>
          <w:rFonts w:ascii="Calibri" w:hAnsi="Calibri" w:eastAsia="Calibri" w:cs="Calibri"/>
          <w:color w:val="0E00FE"/>
          <w:kern w:val="0"/>
          <w:sz w:val="27"/>
          <w:szCs w:val="27"/>
        </w:rPr>
        <w:t> </w:t>
      </w:r>
    </w:p>
    <w:p w14:paraId="253F0D9D">
      <w:pPr>
        <w:pStyle w:val="3"/>
        <w:keepNext w:val="0"/>
        <w:keepLines w:val="0"/>
        <w:widowControl/>
        <w:spacing w:before="299" w:after="299" w:line="240" w:lineRule="auto"/>
        <w:jc w:val="center"/>
        <w:rPr>
          <w:rFonts w:ascii="Times New Roman" w:hAnsi="Times New Roman" w:eastAsia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第三部分  名词解释</w:t>
      </w:r>
    </w:p>
    <w:p w14:paraId="5DF6799A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一、财政拨款收入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从同级财政部门取得的各类财政拨款，包括一般公共预算财政拨款、政府性基金预算财政拨款、国有资本经营预算财政拨款。</w:t>
      </w:r>
    </w:p>
    <w:p w14:paraId="59C4BCC8">
      <w:pPr>
        <w:widowControl/>
        <w:spacing w:before="240" w:after="240"/>
        <w:ind w:firstLine="640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二、事业收入：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指事业单位开展专业业务活动及其辅助活动取得的收入。</w:t>
      </w:r>
      <w:r>
        <w:rPr>
          <w:rFonts w:ascii="Calibri" w:hAnsi="Calibri" w:eastAsia="Calibri" w:cs="Calibri"/>
          <w:b/>
          <w:bCs/>
          <w:kern w:val="0"/>
          <w:sz w:val="32"/>
          <w:szCs w:val="32"/>
        </w:rPr>
        <w:t> 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kern w:val="0"/>
          <w:sz w:val="32"/>
          <w:szCs w:val="32"/>
        </w:rPr>
        <w:t> 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p w14:paraId="64675F05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三、其他收入：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取得的除上述“财政拨款收入”、“上级补助收入”、“事业收入”、“经营收入”、“附属单位上缴收入”等以外的各项收入。</w:t>
      </w:r>
    </w:p>
    <w:p w14:paraId="1025387B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四、年初结转和结余：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指单位上年结转本年使用的基本支出结转、项目支出结转和结余、经营结余。</w:t>
      </w:r>
    </w:p>
    <w:p w14:paraId="3A1C0138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五、年末结转和结余资金：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指单位结转下年的基本支出结转、项目支出结转和结余、经营结余。</w:t>
      </w:r>
    </w:p>
    <w:p w14:paraId="46DEED6D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六、基本支出：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指为保障机构正常运转、完成日常工作任务所发生的支出，包括人员经费和公用经费。</w:t>
      </w:r>
    </w:p>
    <w:p w14:paraId="61B9B2C9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七、项目支出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指在为完成特定的工作任务和事业发展目标所发生的支出。</w:t>
      </w:r>
    </w:p>
    <w:p w14:paraId="1051B3E5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八、“三公”经费：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部门（单位）用财政拨款安排的因公出国（境）费、公务用车购置及运行维护费和公务接待费。其中，因公出国（境）费反映部门（单位）)公务出国（境）的国际旅费、国外城市间交通费、住宿费、伙食费、培训费、公杂费等支出；公务用车购置及运行维护费反映部门（单位）公务用车购置支出（含车辆购置税、牌照费）以及按规定保留的公务用车燃料费、维修费、过路过桥费、保险费、安全奖励费用等支出；公务接待费反映部门（单位）按规定开支的各类公务接待（含外宾接待）费用。</w:t>
      </w:r>
    </w:p>
    <w:p w14:paraId="2347B7EE">
      <w:pPr>
        <w:widowControl/>
        <w:spacing w:before="240" w:after="240"/>
        <w:ind w:firstLine="640" w:firstLineChars="200"/>
        <w:jc w:val="left"/>
        <w:rPr>
          <w:rFonts w:eastAsia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九、机构运行经费：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指部门（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78D90BC8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  <w:r>
        <w:rPr>
          <w:rFonts w:ascii="Calibri" w:hAnsi="Calibri" w:eastAsia="Calibri" w:cs="Calibri"/>
          <w:b/>
          <w:bCs/>
          <w:kern w:val="0"/>
          <w:sz w:val="27"/>
          <w:szCs w:val="27"/>
        </w:rPr>
        <w:t> </w:t>
      </w:r>
    </w:p>
    <w:p w14:paraId="64C69288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</w:p>
    <w:p w14:paraId="32A0B9AB">
      <w:pPr>
        <w:pStyle w:val="3"/>
        <w:keepNext w:val="0"/>
        <w:keepLines w:val="0"/>
        <w:widowControl/>
        <w:spacing w:before="299" w:after="299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第四部分 决算公开联系方式及信息反馈渠道</w:t>
      </w:r>
    </w:p>
    <w:p w14:paraId="0C1256A8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</w:p>
    <w:p w14:paraId="6C9CBA0B">
      <w:pPr>
        <w:widowControl/>
        <w:spacing w:before="240" w:after="240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本单位决算公开信息反馈和联系方式：</w:t>
      </w:r>
    </w:p>
    <w:p w14:paraId="73CB8E4A">
      <w:pPr>
        <w:widowControl/>
        <w:spacing w:before="240" w:after="240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联系人：田萌萌           联系电话：0476-8785632 </w:t>
      </w:r>
    </w:p>
    <w:p w14:paraId="5CC68599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</w:p>
    <w:p w14:paraId="343EBF30">
      <w:pPr>
        <w:pStyle w:val="3"/>
        <w:keepNext w:val="0"/>
        <w:keepLines w:val="0"/>
        <w:widowControl/>
        <w:spacing w:before="299" w:after="299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第五部分 部门（单位）决算表</w:t>
      </w:r>
    </w:p>
    <w:p w14:paraId="6B8B0A09">
      <w:pPr>
        <w:widowControl/>
        <w:spacing w:before="240" w:after="240"/>
        <w:jc w:val="center"/>
        <w:rPr>
          <w:rFonts w:eastAsia="Times New Roman"/>
          <w:kern w:val="0"/>
          <w:sz w:val="24"/>
        </w:rPr>
      </w:pPr>
    </w:p>
    <w:p w14:paraId="4F9A9A40">
      <w:pPr>
        <w:widowControl/>
        <w:spacing w:before="240" w:after="240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见附件。</w:t>
      </w:r>
    </w:p>
    <w:p w14:paraId="75744ECB">
      <w:pPr>
        <w:widowControl/>
        <w:spacing w:before="240" w:after="240"/>
        <w:jc w:val="left"/>
        <w:rPr>
          <w:rFonts w:eastAsia="Times New Roman"/>
          <w:kern w:val="0"/>
          <w:sz w:val="24"/>
        </w:rPr>
      </w:pPr>
    </w:p>
    <w:bookmarkEnd w:id="0"/>
    <w:p w14:paraId="4F8D83F1">
      <w:pPr>
        <w:tabs>
          <w:tab w:val="left" w:pos="8415"/>
        </w:tabs>
      </w:pPr>
      <w:bookmarkStart w:id="1" w:name="_GoBack"/>
      <w:bookmarkEnd w:id="1"/>
    </w:p>
    <w:sectPr>
      <w:footerReference r:id="rId4" w:type="default"/>
      <w:pgSz w:w="11906" w:h="16838"/>
      <w:pgMar w:top="1440" w:right="1083" w:bottom="1440" w:left="1083" w:header="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_new_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ang_zheng_xiao_biao_song_t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ai_ti_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2344C">
    <w:pPr>
      <w:jc w:val="center"/>
    </w:pPr>
    <w:r>
      <w:rPr>
        <w:rFonts w:ascii="宋体" w:hAnsi="宋体" w:cs="宋体"/>
        <w:sz w:val="18"/>
      </w:rPr>
      <w:fldChar w:fldCharType="begin"/>
    </w:r>
    <w:r>
      <w:rPr>
        <w:rFonts w:ascii="宋体" w:hAnsi="宋体" w:cs="宋体"/>
        <w:sz w:val="18"/>
      </w:rPr>
      <w:instrText xml:space="preserve"> PAGE </w:instrText>
    </w:r>
    <w:r>
      <w:rPr>
        <w:rFonts w:ascii="宋体" w:hAnsi="宋体" w:cs="宋体"/>
        <w:sz w:val="18"/>
      </w:rPr>
      <w:fldChar w:fldCharType="separate"/>
    </w:r>
    <w:r>
      <w:rPr>
        <w:rFonts w:ascii="宋体" w:hAnsi="宋体" w:cs="宋体"/>
        <w:sz w:val="18"/>
      </w:rPr>
      <w:t>1</w:t>
    </w:r>
    <w:r>
      <w:rPr>
        <w:rFonts w:ascii="宋体" w:hAnsi="宋体" w:cs="宋体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A326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25</w:t>
    </w:r>
    <w:r>
      <w:rPr>
        <w:lang w:val="zh-CN"/>
      </w:rPr>
      <w:fldChar w:fldCharType="end"/>
    </w:r>
  </w:p>
  <w:p w14:paraId="1E2D4960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36"/>
    <w:rsid w:val="0000662F"/>
    <w:rsid w:val="00023E75"/>
    <w:rsid w:val="00033C6A"/>
    <w:rsid w:val="00062AA5"/>
    <w:rsid w:val="00063AC2"/>
    <w:rsid w:val="000774F0"/>
    <w:rsid w:val="0008308B"/>
    <w:rsid w:val="00097269"/>
    <w:rsid w:val="000A769F"/>
    <w:rsid w:val="000D3889"/>
    <w:rsid w:val="0010682D"/>
    <w:rsid w:val="00116EFD"/>
    <w:rsid w:val="001445DA"/>
    <w:rsid w:val="001620BF"/>
    <w:rsid w:val="001814D4"/>
    <w:rsid w:val="00183373"/>
    <w:rsid w:val="001E7634"/>
    <w:rsid w:val="00204509"/>
    <w:rsid w:val="002100FA"/>
    <w:rsid w:val="00225D2E"/>
    <w:rsid w:val="0023107E"/>
    <w:rsid w:val="00233241"/>
    <w:rsid w:val="00247EF1"/>
    <w:rsid w:val="0029104B"/>
    <w:rsid w:val="00294DC9"/>
    <w:rsid w:val="00297C52"/>
    <w:rsid w:val="002F3993"/>
    <w:rsid w:val="00300987"/>
    <w:rsid w:val="00300E5A"/>
    <w:rsid w:val="0030784F"/>
    <w:rsid w:val="00312846"/>
    <w:rsid w:val="0034680D"/>
    <w:rsid w:val="00367870"/>
    <w:rsid w:val="00375E79"/>
    <w:rsid w:val="003A4E85"/>
    <w:rsid w:val="003B3EAA"/>
    <w:rsid w:val="00420817"/>
    <w:rsid w:val="00482D36"/>
    <w:rsid w:val="00490629"/>
    <w:rsid w:val="0049507B"/>
    <w:rsid w:val="004A738F"/>
    <w:rsid w:val="004B1589"/>
    <w:rsid w:val="004B721F"/>
    <w:rsid w:val="004C045A"/>
    <w:rsid w:val="004D7065"/>
    <w:rsid w:val="004E0B6C"/>
    <w:rsid w:val="005011E1"/>
    <w:rsid w:val="00505A51"/>
    <w:rsid w:val="0051384E"/>
    <w:rsid w:val="00521603"/>
    <w:rsid w:val="00536012"/>
    <w:rsid w:val="0054657E"/>
    <w:rsid w:val="0059054F"/>
    <w:rsid w:val="00596608"/>
    <w:rsid w:val="005A74B3"/>
    <w:rsid w:val="005B4139"/>
    <w:rsid w:val="005C13AB"/>
    <w:rsid w:val="00643406"/>
    <w:rsid w:val="00647EC1"/>
    <w:rsid w:val="00664FA9"/>
    <w:rsid w:val="00667493"/>
    <w:rsid w:val="006C017F"/>
    <w:rsid w:val="006D55B1"/>
    <w:rsid w:val="006E7255"/>
    <w:rsid w:val="007003B2"/>
    <w:rsid w:val="007402A0"/>
    <w:rsid w:val="00762248"/>
    <w:rsid w:val="00787000"/>
    <w:rsid w:val="007873FA"/>
    <w:rsid w:val="007A7BA5"/>
    <w:rsid w:val="007B6706"/>
    <w:rsid w:val="007C1FDD"/>
    <w:rsid w:val="007D6292"/>
    <w:rsid w:val="00857D98"/>
    <w:rsid w:val="00894C48"/>
    <w:rsid w:val="00896385"/>
    <w:rsid w:val="008A10DB"/>
    <w:rsid w:val="008B5455"/>
    <w:rsid w:val="009125DD"/>
    <w:rsid w:val="00916359"/>
    <w:rsid w:val="00954CD9"/>
    <w:rsid w:val="009A5EF3"/>
    <w:rsid w:val="009D6904"/>
    <w:rsid w:val="009E1EE8"/>
    <w:rsid w:val="009E227B"/>
    <w:rsid w:val="009E308A"/>
    <w:rsid w:val="009F0536"/>
    <w:rsid w:val="00A147CF"/>
    <w:rsid w:val="00A270BE"/>
    <w:rsid w:val="00A36C1D"/>
    <w:rsid w:val="00A517A0"/>
    <w:rsid w:val="00A62486"/>
    <w:rsid w:val="00A676BC"/>
    <w:rsid w:val="00AB013A"/>
    <w:rsid w:val="00AD11A5"/>
    <w:rsid w:val="00AE47F5"/>
    <w:rsid w:val="00AF5F33"/>
    <w:rsid w:val="00B27D51"/>
    <w:rsid w:val="00B32BEE"/>
    <w:rsid w:val="00B373AF"/>
    <w:rsid w:val="00B4208A"/>
    <w:rsid w:val="00B57D7A"/>
    <w:rsid w:val="00B76620"/>
    <w:rsid w:val="00B840CE"/>
    <w:rsid w:val="00B96C3D"/>
    <w:rsid w:val="00BA25BD"/>
    <w:rsid w:val="00BD0928"/>
    <w:rsid w:val="00BE5F73"/>
    <w:rsid w:val="00BF4228"/>
    <w:rsid w:val="00C07A30"/>
    <w:rsid w:val="00C23F75"/>
    <w:rsid w:val="00C352FF"/>
    <w:rsid w:val="00C44231"/>
    <w:rsid w:val="00C571C8"/>
    <w:rsid w:val="00C612A7"/>
    <w:rsid w:val="00CC6B8B"/>
    <w:rsid w:val="00CD3751"/>
    <w:rsid w:val="00D2051A"/>
    <w:rsid w:val="00D8671A"/>
    <w:rsid w:val="00D94D26"/>
    <w:rsid w:val="00D96390"/>
    <w:rsid w:val="00E13002"/>
    <w:rsid w:val="00E219E7"/>
    <w:rsid w:val="00E60D6A"/>
    <w:rsid w:val="00E63AA3"/>
    <w:rsid w:val="00E73321"/>
    <w:rsid w:val="00E77EC0"/>
    <w:rsid w:val="00E914C1"/>
    <w:rsid w:val="00E97C37"/>
    <w:rsid w:val="00EE533B"/>
    <w:rsid w:val="00F04882"/>
    <w:rsid w:val="00F63327"/>
    <w:rsid w:val="00F80A29"/>
    <w:rsid w:val="00FA7CA5"/>
    <w:rsid w:val="00FD08EC"/>
    <w:rsid w:val="00FD7690"/>
    <w:rsid w:val="0CAD0F17"/>
    <w:rsid w:val="469D0418"/>
    <w:rsid w:val="51CD438B"/>
    <w:rsid w:val="647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qFormat/>
    <w:uiPriority w:val="0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toc 5"/>
    <w:basedOn w:val="1"/>
    <w:next w:val="1"/>
    <w:autoRedefine/>
    <w:qFormat/>
    <w:uiPriority w:val="0"/>
    <w:pPr>
      <w:ind w:left="840"/>
      <w:jc w:val="left"/>
    </w:pPr>
    <w:rPr>
      <w:sz w:val="20"/>
      <w:szCs w:val="20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360" w:lineRule="auto"/>
      <w:ind w:firstLine="400" w:firstLineChars="400"/>
      <w:jc w:val="left"/>
    </w:pPr>
    <w:rPr>
      <w:sz w:val="24"/>
      <w:szCs w:val="20"/>
    </w:rPr>
  </w:style>
  <w:style w:type="paragraph" w:styleId="10">
    <w:name w:val="toc 8"/>
    <w:basedOn w:val="1"/>
    <w:next w:val="1"/>
    <w:autoRedefine/>
    <w:qFormat/>
    <w:uiPriority w:val="0"/>
    <w:pPr>
      <w:ind w:left="1470"/>
      <w:jc w:val="left"/>
    </w:pPr>
    <w:rPr>
      <w:sz w:val="20"/>
      <w:szCs w:val="20"/>
    </w:rPr>
  </w:style>
  <w:style w:type="paragraph" w:styleId="11">
    <w:name w:val="Balloon Text"/>
    <w:basedOn w:val="1"/>
    <w:link w:val="29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adjustRightInd w:val="0"/>
      <w:snapToGrid w:val="0"/>
      <w:spacing w:line="360" w:lineRule="auto"/>
      <w:jc w:val="left"/>
    </w:pPr>
    <w:rPr>
      <w:b/>
      <w:bCs/>
      <w:sz w:val="24"/>
      <w:szCs w:val="20"/>
    </w:rPr>
  </w:style>
  <w:style w:type="paragraph" w:styleId="15">
    <w:name w:val="toc 4"/>
    <w:basedOn w:val="1"/>
    <w:next w:val="1"/>
    <w:autoRedefine/>
    <w:qFormat/>
    <w:uiPriority w:val="0"/>
    <w:pPr>
      <w:ind w:left="630"/>
      <w:jc w:val="left"/>
    </w:pPr>
    <w:rPr>
      <w:sz w:val="20"/>
      <w:szCs w:val="20"/>
    </w:rPr>
  </w:style>
  <w:style w:type="paragraph" w:styleId="16">
    <w:name w:val="toc 6"/>
    <w:basedOn w:val="1"/>
    <w:next w:val="1"/>
    <w:autoRedefine/>
    <w:qFormat/>
    <w:uiPriority w:val="0"/>
    <w:pPr>
      <w:ind w:left="1050"/>
      <w:jc w:val="left"/>
    </w:pPr>
    <w:rPr>
      <w:sz w:val="20"/>
      <w:szCs w:val="20"/>
    </w:rPr>
  </w:style>
  <w:style w:type="paragraph" w:styleId="17">
    <w:name w:val="toc 2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iCs/>
      <w:sz w:val="24"/>
      <w:szCs w:val="20"/>
    </w:rPr>
  </w:style>
  <w:style w:type="paragraph" w:styleId="18">
    <w:name w:val="toc 9"/>
    <w:basedOn w:val="1"/>
    <w:next w:val="1"/>
    <w:autoRedefine/>
    <w:qFormat/>
    <w:uiPriority w:val="0"/>
    <w:pPr>
      <w:ind w:left="1680"/>
      <w:jc w:val="left"/>
    </w:pPr>
    <w:rPr>
      <w:sz w:val="20"/>
      <w:szCs w:val="20"/>
    </w:rPr>
  </w:style>
  <w:style w:type="character" w:styleId="21">
    <w:name w:val="page number"/>
    <w:basedOn w:val="20"/>
    <w:qFormat/>
    <w:uiPriority w:val="0"/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customStyle="1" w:styleId="23">
    <w:name w:val="标题 4 字符"/>
    <w:basedOn w:val="20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paragraph" w:styleId="24">
    <w:name w:val="No Spacing"/>
    <w:link w:val="25"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0"/>
      <w:szCs w:val="22"/>
      <w:lang w:val="en-US" w:eastAsia="zh-CN" w:bidi="ar-SA"/>
    </w:rPr>
  </w:style>
  <w:style w:type="character" w:customStyle="1" w:styleId="25">
    <w:name w:val="无间隔 字符"/>
    <w:link w:val="24"/>
    <w:qFormat/>
    <w:locked/>
    <w:uiPriority w:val="0"/>
    <w:rPr>
      <w:rFonts w:eastAsia="仿宋_GB2312"/>
      <w:sz w:val="30"/>
      <w:szCs w:val="22"/>
      <w:lang w:bidi="ar-SA"/>
    </w:rPr>
  </w:style>
  <w:style w:type="character" w:customStyle="1" w:styleId="26">
    <w:name w:val="页脚 字符"/>
    <w:basedOn w:val="20"/>
    <w:link w:val="12"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qFormat/>
    <w:uiPriority w:val="0"/>
    <w:pPr>
      <w:ind w:firstLine="420" w:firstLineChars="200"/>
    </w:pPr>
  </w:style>
  <w:style w:type="character" w:customStyle="1" w:styleId="28">
    <w:name w:val="标题 3 字符"/>
    <w:basedOn w:val="20"/>
    <w:link w:val="4"/>
    <w:qFormat/>
    <w:uiPriority w:val="0"/>
    <w:rPr>
      <w:b/>
      <w:bCs/>
      <w:kern w:val="2"/>
      <w:sz w:val="32"/>
      <w:szCs w:val="32"/>
    </w:rPr>
  </w:style>
  <w:style w:type="character" w:customStyle="1" w:styleId="29">
    <w:name w:val="批注框文本 字符"/>
    <w:basedOn w:val="20"/>
    <w:link w:val="11"/>
    <w:qFormat/>
    <w:uiPriority w:val="0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D46B439-5AFA-4913-8CC8-6B358DAE83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25</Pages>
  <Words>7204</Words>
  <Characters>7916</Characters>
  <Lines>71</Lines>
  <Paragraphs>20</Paragraphs>
  <TotalTime>19</TotalTime>
  <ScaleCrop>false</ScaleCrop>
  <LinksUpToDate>false</LinksUpToDate>
  <CharactersWithSpaces>8383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2025-07-16T02:48:00Z</dcterms:created>
  <dc:creator>Administrator</dc:creator>
  <cp:lastModifiedBy>萌萌啊萌萌</cp:lastModifiedBy>
  <cp:lastPrinted>2025-07-17T01:57:00Z</cp:lastPrinted>
  <dcterms:modified xsi:type="dcterms:W3CDTF">2025-07-17T08:33:01Z</dcterms:modified>
  <dc:title>××年度××部门/单位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611238F30D8A411DBAB9B55681FC0BF8_12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eyJoZGlkIjoiNzQ1ZmRhOGFjNGEzOTEzZDE5NDBmZmRlNzAzM2E4ZDQiLCJ1c2VySWQiOiIxMjgyNTMxNTQwIn0=</vt:lpwstr>
  </property>
</Properties>
</file>