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olor w:val="auto"/>
          <w:sz w:val="24"/>
        </w:rPr>
      </w:pPr>
    </w:p>
    <w:p>
      <w:pPr>
        <w:spacing w:line="360" w:lineRule="auto"/>
        <w:jc w:val="center"/>
        <w:rPr>
          <w:rFonts w:ascii="宋体" w:hAnsi="宋体"/>
          <w:color w:val="auto"/>
          <w:sz w:val="24"/>
        </w:rPr>
      </w:pPr>
    </w:p>
    <w:p>
      <w:pPr>
        <w:spacing w:line="360" w:lineRule="auto"/>
        <w:jc w:val="center"/>
        <w:rPr>
          <w:rFonts w:ascii="宋体" w:hAnsi="宋体"/>
          <w:color w:val="auto"/>
          <w:sz w:val="24"/>
        </w:rPr>
      </w:pPr>
    </w:p>
    <w:p>
      <w:pPr>
        <w:spacing w:line="360" w:lineRule="auto"/>
        <w:jc w:val="center"/>
        <w:rPr>
          <w:rFonts w:ascii="宋体" w:hAnsi="宋体"/>
          <w:color w:val="auto"/>
          <w:sz w:val="24"/>
        </w:rPr>
      </w:pPr>
    </w:p>
    <w:p>
      <w:pPr>
        <w:pageBreakBefore w:val="0"/>
        <w:kinsoku/>
        <w:wordWrap/>
        <w:overflowPunct/>
        <w:topLinePunct w:val="0"/>
        <w:autoSpaceDE/>
        <w:autoSpaceDN/>
        <w:bidi w:val="0"/>
        <w:spacing w:line="58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lang w:val="en" w:eastAsia="zh-CN"/>
        </w:rPr>
      </w:pPr>
      <w:r>
        <w:rPr>
          <w:rFonts w:hint="eastAsia" w:ascii="方正小标宋简体" w:hAnsi="方正小标宋简体" w:eastAsia="方正小标宋简体" w:cs="方正小标宋简体"/>
          <w:b w:val="0"/>
          <w:bCs w:val="0"/>
          <w:color w:val="auto"/>
          <w:sz w:val="44"/>
          <w:szCs w:val="44"/>
        </w:rPr>
        <w:t>202</w:t>
      </w:r>
      <w:r>
        <w:rPr>
          <w:rFonts w:hint="default" w:ascii="方正小标宋简体" w:hAnsi="方正小标宋简体" w:eastAsia="方正小标宋简体" w:cs="方正小标宋简体"/>
          <w:b w:val="0"/>
          <w:bCs w:val="0"/>
          <w:color w:val="auto"/>
          <w:sz w:val="44"/>
          <w:szCs w:val="44"/>
          <w:lang w:val="en"/>
        </w:rPr>
        <w:t>4</w:t>
      </w:r>
      <w:r>
        <w:rPr>
          <w:rFonts w:hint="eastAsia" w:ascii="方正小标宋简体" w:hAnsi="方正小标宋简体" w:eastAsia="方正小标宋简体" w:cs="方正小标宋简体"/>
          <w:b w:val="0"/>
          <w:bCs w:val="0"/>
          <w:color w:val="auto"/>
          <w:sz w:val="44"/>
          <w:szCs w:val="44"/>
        </w:rPr>
        <w:t>年度赤峰市司法局</w:t>
      </w:r>
      <w:r>
        <w:rPr>
          <w:rFonts w:hint="eastAsia" w:ascii="方正小标宋简体" w:hAnsi="方正小标宋简体" w:eastAsia="方正小标宋简体" w:cs="方正小标宋简体"/>
          <w:b w:val="0"/>
          <w:bCs w:val="0"/>
          <w:color w:val="auto"/>
          <w:sz w:val="44"/>
          <w:szCs w:val="44"/>
          <w:lang w:eastAsia="zh-CN"/>
        </w:rPr>
        <w:t>（部门）</w:t>
      </w:r>
    </w:p>
    <w:p>
      <w:pPr>
        <w:pageBreakBefore w:val="0"/>
        <w:kinsoku/>
        <w:wordWrap/>
        <w:overflowPunct/>
        <w:topLinePunct w:val="0"/>
        <w:autoSpaceDE/>
        <w:autoSpaceDN/>
        <w:bidi w:val="0"/>
        <w:spacing w:line="58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eastAsia="zh-CN"/>
        </w:rPr>
        <w:t>决算</w:t>
      </w:r>
      <w:r>
        <w:rPr>
          <w:rFonts w:hint="eastAsia" w:ascii="方正小标宋简体" w:hAnsi="方正小标宋简体" w:eastAsia="方正小标宋简体" w:cs="方正小标宋简体"/>
          <w:b w:val="0"/>
          <w:bCs w:val="0"/>
          <w:color w:val="auto"/>
          <w:sz w:val="44"/>
          <w:szCs w:val="44"/>
        </w:rPr>
        <w:t>公开</w:t>
      </w:r>
    </w:p>
    <w:p>
      <w:pPr>
        <w:spacing w:line="360" w:lineRule="auto"/>
        <w:jc w:val="center"/>
        <w:rPr>
          <w:rFonts w:ascii="宋体" w:hAnsi="宋体"/>
          <w:b/>
          <w:bCs/>
          <w:color w:val="auto"/>
          <w:sz w:val="52"/>
          <w:szCs w:val="52"/>
        </w:rPr>
      </w:pPr>
    </w:p>
    <w:p>
      <w:pPr>
        <w:spacing w:line="360" w:lineRule="auto"/>
        <w:jc w:val="center"/>
        <w:rPr>
          <w:rFonts w:ascii="宋体" w:hAnsi="宋体"/>
          <w:b/>
          <w:bCs/>
          <w:color w:val="auto"/>
          <w:sz w:val="52"/>
          <w:szCs w:val="52"/>
        </w:rPr>
      </w:pPr>
    </w:p>
    <w:p>
      <w:pPr>
        <w:spacing w:line="360" w:lineRule="auto"/>
        <w:jc w:val="center"/>
        <w:rPr>
          <w:rFonts w:ascii="宋体" w:hAnsi="宋体"/>
          <w:b/>
          <w:bCs/>
          <w:color w:val="auto"/>
          <w:sz w:val="52"/>
          <w:szCs w:val="52"/>
        </w:rPr>
      </w:pPr>
    </w:p>
    <w:p>
      <w:pPr>
        <w:spacing w:line="360" w:lineRule="auto"/>
        <w:jc w:val="center"/>
        <w:rPr>
          <w:rFonts w:ascii="宋体" w:hAnsi="宋体"/>
          <w:b/>
          <w:bCs/>
          <w:color w:val="auto"/>
          <w:sz w:val="52"/>
          <w:szCs w:val="52"/>
        </w:rPr>
      </w:pPr>
    </w:p>
    <w:p>
      <w:pPr>
        <w:spacing w:line="360" w:lineRule="auto"/>
        <w:jc w:val="center"/>
        <w:rPr>
          <w:rFonts w:ascii="宋体" w:hAnsi="宋体"/>
          <w:b/>
          <w:bCs/>
          <w:color w:val="auto"/>
          <w:sz w:val="52"/>
          <w:szCs w:val="52"/>
        </w:rPr>
      </w:pPr>
    </w:p>
    <w:p>
      <w:pPr>
        <w:pStyle w:val="2"/>
        <w:pageBreakBefore w:val="0"/>
        <w:tabs>
          <w:tab w:val="left" w:pos="2048"/>
          <w:tab w:val="center" w:pos="5140"/>
        </w:tabs>
        <w:kinsoku/>
        <w:wordWrap/>
        <w:overflowPunct/>
        <w:topLinePunct w:val="0"/>
        <w:autoSpaceDE/>
        <w:autoSpaceDN/>
        <w:bidi w:val="0"/>
        <w:spacing w:beforeLines="-2147483648" w:after="0" w:afterLines="-2147483648" w:line="58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z w:val="32"/>
          <w:szCs w:val="32"/>
          <w:lang w:eastAsia="zh-CN"/>
        </w:rPr>
      </w:pPr>
      <w:r>
        <w:rPr>
          <w:rFonts w:hint="eastAsia" w:ascii="方正小标宋简体" w:hAnsi="方正小标宋简体" w:eastAsia="方正小标宋简体" w:cs="方正小标宋简体"/>
          <w:b w:val="0"/>
          <w:bCs w:val="0"/>
          <w:color w:val="auto"/>
          <w:sz w:val="32"/>
          <w:szCs w:val="32"/>
          <w:lang w:eastAsia="zh-CN"/>
        </w:rPr>
        <w:t>批复时间：</w:t>
      </w:r>
      <w:r>
        <w:rPr>
          <w:rFonts w:hint="eastAsia" w:ascii="方正小标宋简体" w:hAnsi="方正小标宋简体" w:eastAsia="方正小标宋简体" w:cs="方正小标宋简体"/>
          <w:b w:val="0"/>
          <w:bCs w:val="0"/>
          <w:color w:val="auto"/>
          <w:sz w:val="32"/>
          <w:szCs w:val="32"/>
          <w:u w:val="single"/>
          <w:lang w:val="en-US" w:eastAsia="zh-CN"/>
        </w:rPr>
        <w:t xml:space="preserve">  </w:t>
      </w:r>
      <w:r>
        <w:rPr>
          <w:rFonts w:hint="eastAsia" w:ascii="方正小标宋简体" w:hAnsi="方正小标宋简体" w:eastAsia="方正小标宋简体" w:cs="方正小标宋简体"/>
          <w:b w:val="0"/>
          <w:bCs w:val="0"/>
          <w:color w:val="auto"/>
          <w:sz w:val="32"/>
          <w:szCs w:val="32"/>
          <w:u w:val="single"/>
          <w:lang w:eastAsia="zh-CN"/>
        </w:rPr>
        <w:t>202</w:t>
      </w:r>
      <w:r>
        <w:rPr>
          <w:rFonts w:hint="default" w:ascii="方正小标宋简体" w:hAnsi="方正小标宋简体" w:eastAsia="方正小标宋简体" w:cs="方正小标宋简体"/>
          <w:b w:val="0"/>
          <w:bCs w:val="0"/>
          <w:color w:val="auto"/>
          <w:sz w:val="32"/>
          <w:szCs w:val="32"/>
          <w:u w:val="single"/>
          <w:lang w:val="en" w:eastAsia="zh-CN"/>
        </w:rPr>
        <w:t>5</w:t>
      </w:r>
      <w:r>
        <w:rPr>
          <w:rFonts w:hint="eastAsia" w:ascii="方正小标宋简体" w:hAnsi="方正小标宋简体" w:eastAsia="方正小标宋简体" w:cs="方正小标宋简体"/>
          <w:b w:val="0"/>
          <w:bCs w:val="0"/>
          <w:color w:val="auto"/>
          <w:sz w:val="32"/>
          <w:szCs w:val="32"/>
          <w:u w:val="single"/>
          <w:lang w:eastAsia="zh-CN"/>
        </w:rPr>
        <w:t xml:space="preserve">  </w:t>
      </w:r>
      <w:r>
        <w:rPr>
          <w:rFonts w:hint="eastAsia" w:ascii="方正小标宋简体" w:hAnsi="方正小标宋简体" w:eastAsia="方正小标宋简体" w:cs="方正小标宋简体"/>
          <w:b w:val="0"/>
          <w:bCs w:val="0"/>
          <w:color w:val="auto"/>
          <w:sz w:val="32"/>
          <w:szCs w:val="32"/>
          <w:lang w:eastAsia="zh-CN"/>
        </w:rPr>
        <w:t>年</w:t>
      </w:r>
      <w:r>
        <w:rPr>
          <w:rFonts w:hint="eastAsia" w:ascii="方正小标宋简体" w:hAnsi="方正小标宋简体" w:eastAsia="方正小标宋简体" w:cs="方正小标宋简体"/>
          <w:b w:val="0"/>
          <w:bCs w:val="0"/>
          <w:color w:val="auto"/>
          <w:sz w:val="32"/>
          <w:szCs w:val="32"/>
          <w:u w:val="single"/>
          <w:lang w:eastAsia="zh-CN"/>
        </w:rPr>
        <w:t xml:space="preserve">  7  </w:t>
      </w:r>
      <w:r>
        <w:rPr>
          <w:rFonts w:hint="eastAsia" w:ascii="方正小标宋简体" w:hAnsi="方正小标宋简体" w:eastAsia="方正小标宋简体" w:cs="方正小标宋简体"/>
          <w:b w:val="0"/>
          <w:bCs w:val="0"/>
          <w:color w:val="auto"/>
          <w:sz w:val="32"/>
          <w:szCs w:val="32"/>
          <w:lang w:eastAsia="zh-CN"/>
        </w:rPr>
        <w:t>月</w:t>
      </w:r>
      <w:r>
        <w:rPr>
          <w:rFonts w:hint="eastAsia" w:ascii="方正小标宋简体" w:hAnsi="方正小标宋简体" w:eastAsia="方正小标宋简体" w:cs="方正小标宋简体"/>
          <w:b w:val="0"/>
          <w:bCs w:val="0"/>
          <w:color w:val="auto"/>
          <w:sz w:val="32"/>
          <w:szCs w:val="32"/>
          <w:u w:val="single"/>
          <w:lang w:eastAsia="zh-CN"/>
        </w:rPr>
        <w:t xml:space="preserve">  </w:t>
      </w:r>
      <w:r>
        <w:rPr>
          <w:rFonts w:hint="default" w:ascii="方正小标宋简体" w:hAnsi="方正小标宋简体" w:eastAsia="方正小标宋简体" w:cs="方正小标宋简体"/>
          <w:b w:val="0"/>
          <w:bCs w:val="0"/>
          <w:color w:val="auto"/>
          <w:sz w:val="32"/>
          <w:szCs w:val="32"/>
          <w:u w:val="single"/>
          <w:lang w:val="en" w:eastAsia="zh-CN"/>
        </w:rPr>
        <w:t xml:space="preserve"> </w:t>
      </w:r>
      <w:r>
        <w:rPr>
          <w:rFonts w:hint="eastAsia" w:ascii="方正小标宋简体" w:hAnsi="方正小标宋简体" w:eastAsia="方正小标宋简体" w:cs="方正小标宋简体"/>
          <w:b w:val="0"/>
          <w:bCs w:val="0"/>
          <w:color w:val="auto"/>
          <w:sz w:val="32"/>
          <w:szCs w:val="32"/>
          <w:u w:val="single"/>
          <w:lang w:val="en-US" w:eastAsia="zh-CN"/>
        </w:rPr>
        <w:t>1</w:t>
      </w:r>
      <w:r>
        <w:rPr>
          <w:rFonts w:hint="eastAsia" w:ascii="方正小标宋简体" w:hAnsi="方正小标宋简体" w:eastAsia="方正小标宋简体" w:cs="方正小标宋简体"/>
          <w:b w:val="0"/>
          <w:bCs w:val="0"/>
          <w:color w:val="auto"/>
          <w:sz w:val="32"/>
          <w:szCs w:val="32"/>
          <w:u w:val="single"/>
          <w:lang w:eastAsia="zh-CN"/>
        </w:rPr>
        <w:t xml:space="preserve">  </w:t>
      </w:r>
      <w:r>
        <w:rPr>
          <w:rFonts w:hint="eastAsia" w:ascii="方正小标宋简体" w:hAnsi="方正小标宋简体" w:eastAsia="方正小标宋简体" w:cs="方正小标宋简体"/>
          <w:b w:val="0"/>
          <w:bCs w:val="0"/>
          <w:color w:val="auto"/>
          <w:sz w:val="32"/>
          <w:szCs w:val="32"/>
          <w:lang w:eastAsia="zh-CN"/>
        </w:rPr>
        <w:t>日</w:t>
      </w:r>
    </w:p>
    <w:p>
      <w:pPr>
        <w:pStyle w:val="2"/>
        <w:pageBreakBefore w:val="0"/>
        <w:tabs>
          <w:tab w:val="left" w:pos="2048"/>
          <w:tab w:val="center" w:pos="5140"/>
        </w:tabs>
        <w:kinsoku/>
        <w:wordWrap/>
        <w:overflowPunct/>
        <w:topLinePunct w:val="0"/>
        <w:autoSpaceDE/>
        <w:autoSpaceDN/>
        <w:bidi w:val="0"/>
        <w:spacing w:beforeLines="-2147483648" w:after="0" w:afterLines="-2147483648" w:line="58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z w:val="32"/>
          <w:szCs w:val="32"/>
          <w:lang w:eastAsia="zh-CN"/>
        </w:rPr>
      </w:pPr>
      <w:r>
        <w:rPr>
          <w:rFonts w:hint="eastAsia" w:ascii="方正小标宋简体" w:hAnsi="方正小标宋简体" w:eastAsia="方正小标宋简体" w:cs="方正小标宋简体"/>
          <w:b w:val="0"/>
          <w:bCs w:val="0"/>
          <w:color w:val="auto"/>
          <w:sz w:val="32"/>
          <w:szCs w:val="32"/>
          <w:lang w:eastAsia="zh-CN"/>
        </w:rPr>
        <w:t>公开时间：</w:t>
      </w:r>
      <w:r>
        <w:rPr>
          <w:rFonts w:hint="eastAsia" w:ascii="方正小标宋简体" w:hAnsi="方正小标宋简体" w:eastAsia="方正小标宋简体" w:cs="方正小标宋简体"/>
          <w:b w:val="0"/>
          <w:bCs w:val="0"/>
          <w:color w:val="auto"/>
          <w:sz w:val="32"/>
          <w:szCs w:val="32"/>
          <w:u w:val="single"/>
          <w:lang w:val="en-US" w:eastAsia="zh-CN"/>
        </w:rPr>
        <w:t xml:space="preserve"> </w:t>
      </w:r>
      <w:r>
        <w:rPr>
          <w:rFonts w:hint="default" w:ascii="方正小标宋简体" w:hAnsi="方正小标宋简体" w:eastAsia="方正小标宋简体" w:cs="方正小标宋简体"/>
          <w:b w:val="0"/>
          <w:bCs w:val="0"/>
          <w:color w:val="auto"/>
          <w:sz w:val="32"/>
          <w:szCs w:val="32"/>
          <w:u w:val="single"/>
          <w:lang w:val="en" w:eastAsia="zh-CN"/>
        </w:rPr>
        <w:t xml:space="preserve"> </w:t>
      </w:r>
      <w:r>
        <w:rPr>
          <w:rFonts w:hint="eastAsia" w:ascii="方正小标宋简体" w:hAnsi="方正小标宋简体" w:eastAsia="方正小标宋简体" w:cs="方正小标宋简体"/>
          <w:b w:val="0"/>
          <w:bCs w:val="0"/>
          <w:color w:val="auto"/>
          <w:sz w:val="32"/>
          <w:szCs w:val="32"/>
          <w:u w:val="single"/>
          <w:lang w:eastAsia="zh-CN"/>
        </w:rPr>
        <w:t>202</w:t>
      </w:r>
      <w:r>
        <w:rPr>
          <w:rFonts w:hint="default" w:ascii="方正小标宋简体" w:hAnsi="方正小标宋简体" w:eastAsia="方正小标宋简体" w:cs="方正小标宋简体"/>
          <w:b w:val="0"/>
          <w:bCs w:val="0"/>
          <w:color w:val="auto"/>
          <w:sz w:val="32"/>
          <w:szCs w:val="32"/>
          <w:u w:val="single"/>
          <w:lang w:val="en" w:eastAsia="zh-CN"/>
        </w:rPr>
        <w:t>5</w:t>
      </w:r>
      <w:r>
        <w:rPr>
          <w:rFonts w:hint="eastAsia" w:ascii="方正小标宋简体" w:hAnsi="方正小标宋简体" w:eastAsia="方正小标宋简体" w:cs="方正小标宋简体"/>
          <w:b w:val="0"/>
          <w:bCs w:val="0"/>
          <w:color w:val="auto"/>
          <w:sz w:val="32"/>
          <w:szCs w:val="32"/>
          <w:u w:val="single"/>
          <w:lang w:eastAsia="zh-CN"/>
        </w:rPr>
        <w:t xml:space="preserve"> </w:t>
      </w:r>
      <w:r>
        <w:rPr>
          <w:rFonts w:hint="default" w:ascii="方正小标宋简体" w:hAnsi="方正小标宋简体" w:eastAsia="方正小标宋简体" w:cs="方正小标宋简体"/>
          <w:b w:val="0"/>
          <w:bCs w:val="0"/>
          <w:color w:val="auto"/>
          <w:sz w:val="32"/>
          <w:szCs w:val="32"/>
          <w:u w:val="single"/>
          <w:lang w:val="en" w:eastAsia="zh-CN"/>
        </w:rPr>
        <w:t xml:space="preserve"> </w:t>
      </w:r>
      <w:r>
        <w:rPr>
          <w:rFonts w:hint="eastAsia" w:ascii="方正小标宋简体" w:hAnsi="方正小标宋简体" w:eastAsia="方正小标宋简体" w:cs="方正小标宋简体"/>
          <w:b w:val="0"/>
          <w:bCs w:val="0"/>
          <w:color w:val="auto"/>
          <w:sz w:val="32"/>
          <w:szCs w:val="32"/>
          <w:lang w:eastAsia="zh-CN"/>
        </w:rPr>
        <w:t>年</w:t>
      </w:r>
      <w:r>
        <w:rPr>
          <w:rFonts w:hint="eastAsia" w:ascii="方正小标宋简体" w:hAnsi="方正小标宋简体" w:eastAsia="方正小标宋简体" w:cs="方正小标宋简体"/>
          <w:b w:val="0"/>
          <w:bCs w:val="0"/>
          <w:color w:val="auto"/>
          <w:sz w:val="32"/>
          <w:szCs w:val="32"/>
          <w:u w:val="single"/>
          <w:lang w:eastAsia="zh-CN"/>
        </w:rPr>
        <w:t xml:space="preserve">  </w:t>
      </w:r>
      <w:r>
        <w:rPr>
          <w:rFonts w:hint="eastAsia" w:ascii="方正小标宋简体" w:hAnsi="方正小标宋简体" w:eastAsia="方正小标宋简体" w:cs="方正小标宋简体"/>
          <w:b w:val="0"/>
          <w:bCs w:val="0"/>
          <w:color w:val="auto"/>
          <w:sz w:val="32"/>
          <w:szCs w:val="32"/>
          <w:u w:val="single"/>
          <w:lang w:val="en-US" w:eastAsia="zh-CN"/>
        </w:rPr>
        <w:t>7</w:t>
      </w:r>
      <w:r>
        <w:rPr>
          <w:rFonts w:hint="eastAsia" w:ascii="方正小标宋简体" w:hAnsi="方正小标宋简体" w:eastAsia="方正小标宋简体" w:cs="方正小标宋简体"/>
          <w:b w:val="0"/>
          <w:bCs w:val="0"/>
          <w:color w:val="auto"/>
          <w:sz w:val="32"/>
          <w:szCs w:val="32"/>
          <w:u w:val="single"/>
          <w:lang w:eastAsia="zh-CN"/>
        </w:rPr>
        <w:t xml:space="preserve">  </w:t>
      </w:r>
      <w:r>
        <w:rPr>
          <w:rFonts w:hint="eastAsia" w:ascii="方正小标宋简体" w:hAnsi="方正小标宋简体" w:eastAsia="方正小标宋简体" w:cs="方正小标宋简体"/>
          <w:b w:val="0"/>
          <w:bCs w:val="0"/>
          <w:color w:val="auto"/>
          <w:sz w:val="32"/>
          <w:szCs w:val="32"/>
          <w:lang w:eastAsia="zh-CN"/>
        </w:rPr>
        <w:t>月</w:t>
      </w:r>
      <w:r>
        <w:rPr>
          <w:rFonts w:hint="eastAsia" w:ascii="方正小标宋简体" w:hAnsi="方正小标宋简体" w:eastAsia="方正小标宋简体" w:cs="方正小标宋简体"/>
          <w:b w:val="0"/>
          <w:bCs w:val="0"/>
          <w:color w:val="auto"/>
          <w:sz w:val="32"/>
          <w:szCs w:val="32"/>
          <w:u w:val="single"/>
          <w:lang w:eastAsia="zh-CN"/>
        </w:rPr>
        <w:t xml:space="preserve">  </w:t>
      </w:r>
      <w:r>
        <w:rPr>
          <w:rFonts w:hint="default" w:ascii="方正小标宋简体" w:hAnsi="方正小标宋简体" w:eastAsia="方正小标宋简体" w:cs="方正小标宋简体"/>
          <w:b w:val="0"/>
          <w:bCs w:val="0"/>
          <w:color w:val="auto"/>
          <w:sz w:val="32"/>
          <w:szCs w:val="32"/>
          <w:u w:val="single"/>
          <w:lang w:val="en" w:eastAsia="zh-CN"/>
        </w:rPr>
        <w:t xml:space="preserve">18 </w:t>
      </w:r>
      <w:r>
        <w:rPr>
          <w:rFonts w:hint="eastAsia" w:ascii="方正小标宋简体" w:hAnsi="方正小标宋简体" w:eastAsia="方正小标宋简体" w:cs="方正小标宋简体"/>
          <w:b w:val="0"/>
          <w:bCs w:val="0"/>
          <w:color w:val="auto"/>
          <w:sz w:val="32"/>
          <w:szCs w:val="32"/>
          <w:u w:val="single"/>
          <w:lang w:eastAsia="zh-CN"/>
        </w:rPr>
        <w:t xml:space="preserve"> </w:t>
      </w:r>
      <w:r>
        <w:rPr>
          <w:rFonts w:hint="eastAsia" w:ascii="方正小标宋简体" w:hAnsi="方正小标宋简体" w:eastAsia="方正小标宋简体" w:cs="方正小标宋简体"/>
          <w:b w:val="0"/>
          <w:bCs w:val="0"/>
          <w:color w:val="auto"/>
          <w:sz w:val="32"/>
          <w:szCs w:val="32"/>
          <w:lang w:eastAsia="zh-CN"/>
        </w:rPr>
        <w:t>日</w:t>
      </w:r>
    </w:p>
    <w:p>
      <w:pPr>
        <w:adjustRightInd w:val="0"/>
        <w:snapToGrid w:val="0"/>
        <w:rPr>
          <w:rFonts w:ascii="宋体" w:hAnsi="宋体"/>
          <w:b/>
          <w:color w:val="auto"/>
          <w:sz w:val="32"/>
          <w:szCs w:val="32"/>
        </w:rPr>
      </w:pPr>
    </w:p>
    <w:p>
      <w:pPr>
        <w:pStyle w:val="2"/>
        <w:rPr>
          <w:rFonts w:ascii="宋体" w:hAnsi="宋体"/>
          <w:b/>
          <w:color w:val="auto"/>
          <w:sz w:val="32"/>
          <w:szCs w:val="32"/>
        </w:rPr>
      </w:pPr>
    </w:p>
    <w:p>
      <w:pPr>
        <w:pStyle w:val="2"/>
        <w:rPr>
          <w:rFonts w:ascii="宋体" w:hAnsi="宋体"/>
          <w:b/>
          <w:color w:val="auto"/>
          <w:sz w:val="32"/>
          <w:szCs w:val="32"/>
        </w:rPr>
      </w:pPr>
    </w:p>
    <w:p>
      <w:pPr>
        <w:adjustRightInd w:val="0"/>
        <w:snapToGrid w:val="0"/>
        <w:rPr>
          <w:rFonts w:ascii="宋体" w:hAnsi="宋体"/>
          <w:b/>
          <w:color w:val="auto"/>
          <w:sz w:val="32"/>
          <w:szCs w:val="32"/>
        </w:rPr>
      </w:pPr>
    </w:p>
    <w:p>
      <w:pPr>
        <w:pStyle w:val="2"/>
        <w:ind w:left="0" w:leftChars="0" w:firstLine="0" w:firstLineChars="0"/>
        <w:rPr>
          <w:color w:val="auto"/>
        </w:rPr>
      </w:pPr>
    </w:p>
    <w:p>
      <w:pPr>
        <w:keepNext w:val="0"/>
        <w:keepLines w:val="0"/>
        <w:pageBreakBefore w:val="0"/>
        <w:widowControl/>
        <w:kinsoku/>
        <w:wordWrap/>
        <w:overflowPunct/>
        <w:topLinePunct w:val="0"/>
        <w:autoSpaceDE/>
        <w:autoSpaceDN/>
        <w:bidi w:val="0"/>
        <w:adjustRightInd/>
        <w:snapToGrid/>
        <w:spacing w:line="580" w:lineRule="exact"/>
        <w:ind w:left="0" w:leftChars="0"/>
        <w:jc w:val="center"/>
        <w:textAlignment w:val="auto"/>
        <w:rPr>
          <w:rFonts w:hint="eastAsia" w:ascii="方正小标宋简体" w:hAnsi="方正小标宋简体" w:eastAsia="方正小标宋简体" w:cs="方正小标宋简体"/>
          <w:b w:val="0"/>
          <w:bCs w:val="0"/>
          <w:color w:val="auto"/>
          <w:kern w:val="0"/>
          <w:sz w:val="36"/>
          <w:szCs w:val="36"/>
        </w:rPr>
      </w:pPr>
      <w:bookmarkStart w:id="0" w:name="a000"/>
      <w:r>
        <w:rPr>
          <w:rFonts w:hint="eastAsia" w:ascii="方正小标宋简体" w:hAnsi="方正小标宋简体" w:eastAsia="方正小标宋简体" w:cs="方正小标宋简体"/>
          <w:b w:val="0"/>
          <w:bCs w:val="0"/>
          <w:color w:val="auto"/>
          <w:kern w:val="0"/>
          <w:sz w:val="36"/>
          <w:szCs w:val="36"/>
        </w:rPr>
        <w:t>目 录</w:t>
      </w:r>
    </w:p>
    <w:p>
      <w:pPr>
        <w:keepNext w:val="0"/>
        <w:keepLines w:val="0"/>
        <w:pageBreakBefore w:val="0"/>
        <w:widowControl/>
        <w:kinsoku/>
        <w:wordWrap/>
        <w:overflowPunct/>
        <w:topLinePunct w:val="0"/>
        <w:autoSpaceDE/>
        <w:autoSpaceDN/>
        <w:bidi w:val="0"/>
        <w:adjustRightInd/>
        <w:snapToGrid/>
        <w:spacing w:line="580" w:lineRule="exact"/>
        <w:ind w:left="0" w:leftChars="0"/>
        <w:jc w:val="left"/>
        <w:textAlignment w:val="auto"/>
        <w:rPr>
          <w:rFonts w:ascii="Times New Roman" w:hAnsi="Times New Roman" w:eastAsia="Times New Roman" w:cs="Times New Roman"/>
          <w:color w:val="auto"/>
          <w:kern w:val="0"/>
          <w:sz w:val="24"/>
        </w:rPr>
      </w:pPr>
      <w:r>
        <w:rPr>
          <w:rFonts w:ascii="Times New Roman" w:hAnsi="Times New Roman" w:eastAsia="Times New Roman" w:cs="Times New Roman"/>
          <w:b/>
          <w:bCs/>
          <w:color w:val="auto"/>
          <w:kern w:val="0"/>
          <w:sz w:val="24"/>
        </w:rPr>
        <w:t> </w:t>
      </w:r>
    </w:p>
    <w:p>
      <w:pPr>
        <w:keepNext w:val="0"/>
        <w:keepLines w:val="0"/>
        <w:pageBreakBefore w:val="0"/>
        <w:widowControl/>
        <w:kinsoku/>
        <w:wordWrap/>
        <w:overflowPunct/>
        <w:topLinePunct w:val="0"/>
        <w:autoSpaceDE/>
        <w:autoSpaceDN/>
        <w:bidi w:val="0"/>
        <w:adjustRightInd/>
        <w:snapToGrid/>
        <w:spacing w:line="580" w:lineRule="exact"/>
        <w:ind w:left="0" w:leftChars="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第一部分 部门概况</w:t>
      </w:r>
    </w:p>
    <w:p>
      <w:pPr>
        <w:keepNext w:val="0"/>
        <w:keepLines w:val="0"/>
        <w:pageBreakBefore w:val="0"/>
        <w:widowControl/>
        <w:kinsoku/>
        <w:wordWrap/>
        <w:overflowPunct/>
        <w:topLinePunct w:val="0"/>
        <w:autoSpaceDE/>
        <w:autoSpaceDN/>
        <w:bidi w:val="0"/>
        <w:adjustRightInd/>
        <w:snapToGrid/>
        <w:spacing w:line="580" w:lineRule="exact"/>
        <w:ind w:left="0" w:leftChars="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一、主要职能、职责</w:t>
      </w:r>
    </w:p>
    <w:p>
      <w:pPr>
        <w:keepNext w:val="0"/>
        <w:keepLines w:val="0"/>
        <w:pageBreakBefore w:val="0"/>
        <w:widowControl/>
        <w:kinsoku/>
        <w:wordWrap/>
        <w:overflowPunct/>
        <w:topLinePunct w:val="0"/>
        <w:autoSpaceDE/>
        <w:autoSpaceDN/>
        <w:bidi w:val="0"/>
        <w:adjustRightInd/>
        <w:snapToGrid/>
        <w:spacing w:line="580" w:lineRule="exact"/>
        <w:ind w:left="0" w:leftChars="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二、部门机构设置及决算单位构成情况</w:t>
      </w:r>
    </w:p>
    <w:p>
      <w:pPr>
        <w:keepNext w:val="0"/>
        <w:keepLines w:val="0"/>
        <w:pageBreakBefore w:val="0"/>
        <w:widowControl/>
        <w:kinsoku/>
        <w:wordWrap/>
        <w:overflowPunct/>
        <w:topLinePunct w:val="0"/>
        <w:autoSpaceDE/>
        <w:autoSpaceDN/>
        <w:bidi w:val="0"/>
        <w:adjustRightInd/>
        <w:snapToGrid/>
        <w:spacing w:line="580" w:lineRule="exact"/>
        <w:ind w:left="0" w:leftChars="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三、202</w:t>
      </w:r>
      <w:r>
        <w:rPr>
          <w:rFonts w:hint="default" w:ascii="仿宋_GB2312" w:hAnsi="仿宋_GB2312" w:eastAsia="仿宋_GB2312" w:cs="仿宋_GB2312"/>
          <w:color w:val="auto"/>
          <w:kern w:val="0"/>
          <w:sz w:val="32"/>
          <w:szCs w:val="32"/>
          <w:lang w:val="en"/>
        </w:rPr>
        <w:t>4</w:t>
      </w:r>
      <w:r>
        <w:rPr>
          <w:rFonts w:hint="eastAsia" w:ascii="仿宋_GB2312" w:hAnsi="仿宋_GB2312" w:eastAsia="仿宋_GB2312" w:cs="仿宋_GB2312"/>
          <w:color w:val="auto"/>
          <w:kern w:val="0"/>
          <w:sz w:val="32"/>
          <w:szCs w:val="32"/>
        </w:rPr>
        <w:t>年度部门主要工作完成情况</w:t>
      </w:r>
    </w:p>
    <w:p>
      <w:pPr>
        <w:keepNext w:val="0"/>
        <w:keepLines w:val="0"/>
        <w:pageBreakBefore w:val="0"/>
        <w:widowControl/>
        <w:kinsoku/>
        <w:wordWrap/>
        <w:overflowPunct/>
        <w:topLinePunct w:val="0"/>
        <w:autoSpaceDE/>
        <w:autoSpaceDN/>
        <w:bidi w:val="0"/>
        <w:adjustRightInd/>
        <w:snapToGrid/>
        <w:spacing w:line="580" w:lineRule="exact"/>
        <w:ind w:left="0" w:leftChars="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第二部分 部门决算情况说明</w:t>
      </w:r>
    </w:p>
    <w:p>
      <w:pPr>
        <w:keepNext w:val="0"/>
        <w:keepLines w:val="0"/>
        <w:pageBreakBefore w:val="0"/>
        <w:widowControl/>
        <w:kinsoku/>
        <w:wordWrap/>
        <w:overflowPunct/>
        <w:topLinePunct w:val="0"/>
        <w:autoSpaceDE/>
        <w:autoSpaceDN/>
        <w:bidi w:val="0"/>
        <w:adjustRightInd/>
        <w:snapToGrid/>
        <w:spacing w:line="580" w:lineRule="exact"/>
        <w:ind w:left="0" w:leftChars="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一、收入支出决算总体情况说明</w:t>
      </w:r>
    </w:p>
    <w:p>
      <w:pPr>
        <w:keepNext w:val="0"/>
        <w:keepLines w:val="0"/>
        <w:pageBreakBefore w:val="0"/>
        <w:widowControl/>
        <w:kinsoku/>
        <w:wordWrap/>
        <w:overflowPunct/>
        <w:topLinePunct w:val="0"/>
        <w:autoSpaceDE/>
        <w:autoSpaceDN/>
        <w:bidi w:val="0"/>
        <w:adjustRightInd/>
        <w:snapToGrid/>
        <w:spacing w:line="580" w:lineRule="exact"/>
        <w:ind w:left="0" w:leftChars="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二、收入决算情况说明</w:t>
      </w:r>
    </w:p>
    <w:p>
      <w:pPr>
        <w:keepNext w:val="0"/>
        <w:keepLines w:val="0"/>
        <w:pageBreakBefore w:val="0"/>
        <w:widowControl/>
        <w:kinsoku/>
        <w:wordWrap/>
        <w:overflowPunct/>
        <w:topLinePunct w:val="0"/>
        <w:autoSpaceDE/>
        <w:autoSpaceDN/>
        <w:bidi w:val="0"/>
        <w:adjustRightInd/>
        <w:snapToGrid/>
        <w:spacing w:line="580" w:lineRule="exact"/>
        <w:ind w:left="0" w:leftChars="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三、支出决算情况说明</w:t>
      </w:r>
    </w:p>
    <w:p>
      <w:pPr>
        <w:keepNext w:val="0"/>
        <w:keepLines w:val="0"/>
        <w:pageBreakBefore w:val="0"/>
        <w:widowControl/>
        <w:kinsoku/>
        <w:wordWrap/>
        <w:overflowPunct/>
        <w:topLinePunct w:val="0"/>
        <w:autoSpaceDE/>
        <w:autoSpaceDN/>
        <w:bidi w:val="0"/>
        <w:adjustRightInd/>
        <w:snapToGrid/>
        <w:spacing w:line="580" w:lineRule="exact"/>
        <w:ind w:left="0" w:leftChars="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四、财政拨款收入支出决算总体情况说明</w:t>
      </w:r>
    </w:p>
    <w:p>
      <w:pPr>
        <w:keepNext w:val="0"/>
        <w:keepLines w:val="0"/>
        <w:pageBreakBefore w:val="0"/>
        <w:widowControl/>
        <w:kinsoku/>
        <w:wordWrap/>
        <w:overflowPunct/>
        <w:topLinePunct w:val="0"/>
        <w:autoSpaceDE/>
        <w:autoSpaceDN/>
        <w:bidi w:val="0"/>
        <w:adjustRightInd/>
        <w:snapToGrid/>
        <w:spacing w:line="580" w:lineRule="exact"/>
        <w:ind w:left="0" w:leftChars="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五、一般公共预算财政拨款支出决算情况说明</w:t>
      </w:r>
    </w:p>
    <w:p>
      <w:pPr>
        <w:keepNext w:val="0"/>
        <w:keepLines w:val="0"/>
        <w:pageBreakBefore w:val="0"/>
        <w:widowControl/>
        <w:kinsoku/>
        <w:wordWrap/>
        <w:overflowPunct/>
        <w:topLinePunct w:val="0"/>
        <w:autoSpaceDE/>
        <w:autoSpaceDN/>
        <w:bidi w:val="0"/>
        <w:adjustRightInd/>
        <w:snapToGrid/>
        <w:spacing w:line="580" w:lineRule="exact"/>
        <w:ind w:left="0" w:leftChars="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六、一般公共预算财政拨款基本支出决算情况说明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580" w:lineRule="exact"/>
        <w:ind w:left="0" w:leftChars="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七、一般公共预算财政拨款项目支出决算情况说明</w:t>
      </w:r>
    </w:p>
    <w:p>
      <w:pPr>
        <w:keepNext w:val="0"/>
        <w:keepLines w:val="0"/>
        <w:pageBreakBefore w:val="0"/>
        <w:widowControl/>
        <w:kinsoku/>
        <w:wordWrap/>
        <w:overflowPunct/>
        <w:topLinePunct w:val="0"/>
        <w:autoSpaceDE/>
        <w:autoSpaceDN/>
        <w:bidi w:val="0"/>
        <w:adjustRightInd/>
        <w:snapToGrid/>
        <w:spacing w:line="580" w:lineRule="exact"/>
        <w:ind w:left="0" w:leftChars="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八、财政拨款“三公”经费支出决算情况说明</w:t>
      </w:r>
    </w:p>
    <w:p>
      <w:pPr>
        <w:keepNext w:val="0"/>
        <w:keepLines w:val="0"/>
        <w:pageBreakBefore w:val="0"/>
        <w:widowControl/>
        <w:kinsoku/>
        <w:wordWrap/>
        <w:overflowPunct/>
        <w:topLinePunct w:val="0"/>
        <w:autoSpaceDE/>
        <w:autoSpaceDN/>
        <w:bidi w:val="0"/>
        <w:adjustRightInd/>
        <w:snapToGrid/>
        <w:spacing w:line="580" w:lineRule="exact"/>
        <w:ind w:left="0" w:leftChars="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九、政府性基金预算财政拨款支出决算情况说明</w:t>
      </w:r>
    </w:p>
    <w:p>
      <w:pPr>
        <w:keepNext w:val="0"/>
        <w:keepLines w:val="0"/>
        <w:pageBreakBefore w:val="0"/>
        <w:widowControl/>
        <w:kinsoku/>
        <w:wordWrap/>
        <w:overflowPunct/>
        <w:topLinePunct w:val="0"/>
        <w:autoSpaceDE/>
        <w:autoSpaceDN/>
        <w:bidi w:val="0"/>
        <w:adjustRightInd/>
        <w:snapToGrid/>
        <w:spacing w:line="580" w:lineRule="exact"/>
        <w:ind w:left="0" w:leftChars="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十、国有资本经营预算财政拨款支出决算情况说明</w:t>
      </w:r>
    </w:p>
    <w:p>
      <w:pPr>
        <w:keepNext w:val="0"/>
        <w:keepLines w:val="0"/>
        <w:pageBreakBefore w:val="0"/>
        <w:widowControl/>
        <w:kinsoku/>
        <w:wordWrap/>
        <w:overflowPunct/>
        <w:topLinePunct w:val="0"/>
        <w:autoSpaceDE/>
        <w:autoSpaceDN/>
        <w:bidi w:val="0"/>
        <w:adjustRightInd/>
        <w:snapToGrid/>
        <w:spacing w:line="580" w:lineRule="exact"/>
        <w:ind w:left="0" w:leftChars="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十一、机构运行经费支出决算情况说明</w:t>
      </w:r>
    </w:p>
    <w:p>
      <w:pPr>
        <w:keepNext w:val="0"/>
        <w:keepLines w:val="0"/>
        <w:pageBreakBefore w:val="0"/>
        <w:widowControl/>
        <w:kinsoku/>
        <w:wordWrap/>
        <w:overflowPunct/>
        <w:topLinePunct w:val="0"/>
        <w:autoSpaceDE/>
        <w:autoSpaceDN/>
        <w:bidi w:val="0"/>
        <w:adjustRightInd/>
        <w:snapToGrid/>
        <w:spacing w:line="580" w:lineRule="exact"/>
        <w:ind w:left="0" w:leftChars="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十二、政府采购支出决算情况说明</w:t>
      </w:r>
    </w:p>
    <w:p>
      <w:pPr>
        <w:keepNext w:val="0"/>
        <w:keepLines w:val="0"/>
        <w:pageBreakBefore w:val="0"/>
        <w:widowControl/>
        <w:kinsoku/>
        <w:wordWrap/>
        <w:overflowPunct/>
        <w:topLinePunct w:val="0"/>
        <w:autoSpaceDE/>
        <w:autoSpaceDN/>
        <w:bidi w:val="0"/>
        <w:adjustRightInd/>
        <w:snapToGrid/>
        <w:spacing w:line="580" w:lineRule="exact"/>
        <w:ind w:left="0" w:leftChars="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十三、国有资产占用情况说明</w:t>
      </w:r>
    </w:p>
    <w:p>
      <w:pPr>
        <w:keepNext w:val="0"/>
        <w:keepLines w:val="0"/>
        <w:pageBreakBefore w:val="0"/>
        <w:widowControl/>
        <w:kinsoku/>
        <w:wordWrap/>
        <w:overflowPunct/>
        <w:topLinePunct w:val="0"/>
        <w:autoSpaceDE/>
        <w:autoSpaceDN/>
        <w:bidi w:val="0"/>
        <w:adjustRightInd/>
        <w:snapToGrid/>
        <w:spacing w:line="580" w:lineRule="exact"/>
        <w:ind w:left="0" w:leftChars="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十四、预算绩效情况说明</w:t>
      </w:r>
    </w:p>
    <w:p>
      <w:pPr>
        <w:pStyle w:val="2"/>
        <w:keepNext w:val="0"/>
        <w:keepLines w:val="0"/>
        <w:pageBreakBefore w:val="0"/>
        <w:kinsoku/>
        <w:wordWrap/>
        <w:overflowPunct/>
        <w:topLinePunct w:val="0"/>
        <w:autoSpaceDE/>
        <w:autoSpaceDN/>
        <w:bidi w:val="0"/>
        <w:adjustRightInd/>
        <w:snapToGrid/>
        <w:spacing w:beforeLines="0" w:after="0" w:afterLines="0" w:line="580" w:lineRule="exact"/>
        <w:ind w:left="0" w:leftChars="0"/>
        <w:textAlignment w:val="auto"/>
        <w:rPr>
          <w:rFonts w:hint="eastAsia"/>
          <w:color w:val="auto"/>
        </w:rPr>
      </w:pPr>
    </w:p>
    <w:p>
      <w:pPr>
        <w:keepNext w:val="0"/>
        <w:keepLines w:val="0"/>
        <w:pageBreakBefore w:val="0"/>
        <w:widowControl/>
        <w:kinsoku/>
        <w:wordWrap/>
        <w:overflowPunct/>
        <w:topLinePunct w:val="0"/>
        <w:autoSpaceDE/>
        <w:autoSpaceDN/>
        <w:bidi w:val="0"/>
        <w:adjustRightInd/>
        <w:snapToGrid/>
        <w:spacing w:line="580" w:lineRule="exact"/>
        <w:ind w:left="0" w:leftChars="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第三部分 名词解释</w:t>
      </w:r>
    </w:p>
    <w:p>
      <w:pPr>
        <w:keepNext w:val="0"/>
        <w:keepLines w:val="0"/>
        <w:pageBreakBefore w:val="0"/>
        <w:widowControl/>
        <w:kinsoku/>
        <w:wordWrap/>
        <w:overflowPunct/>
        <w:topLinePunct w:val="0"/>
        <w:autoSpaceDE/>
        <w:autoSpaceDN/>
        <w:bidi w:val="0"/>
        <w:adjustRightInd/>
        <w:snapToGrid/>
        <w:spacing w:line="580" w:lineRule="exact"/>
        <w:ind w:left="0" w:leftChars="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第四部分 决算公开联系方式及信息反馈渠道</w:t>
      </w:r>
    </w:p>
    <w:p>
      <w:pPr>
        <w:keepNext w:val="0"/>
        <w:keepLines w:val="0"/>
        <w:pageBreakBefore w:val="0"/>
        <w:widowControl/>
        <w:kinsoku/>
        <w:wordWrap/>
        <w:overflowPunct/>
        <w:topLinePunct w:val="0"/>
        <w:autoSpaceDE/>
        <w:autoSpaceDN/>
        <w:bidi w:val="0"/>
        <w:adjustRightInd/>
        <w:snapToGrid/>
        <w:spacing w:line="580" w:lineRule="exact"/>
        <w:ind w:left="0" w:leftChars="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第五部分 部门决算表</w:t>
      </w:r>
    </w:p>
    <w:p>
      <w:pPr>
        <w:keepNext w:val="0"/>
        <w:keepLines w:val="0"/>
        <w:pageBreakBefore w:val="0"/>
        <w:widowControl/>
        <w:kinsoku/>
        <w:wordWrap/>
        <w:overflowPunct/>
        <w:topLinePunct w:val="0"/>
        <w:autoSpaceDE/>
        <w:autoSpaceDN/>
        <w:bidi w:val="0"/>
        <w:adjustRightInd/>
        <w:snapToGrid/>
        <w:spacing w:line="580" w:lineRule="exact"/>
        <w:ind w:left="0" w:leftChars="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一、收入支出决算总表</w:t>
      </w:r>
    </w:p>
    <w:p>
      <w:pPr>
        <w:keepNext w:val="0"/>
        <w:keepLines w:val="0"/>
        <w:pageBreakBefore w:val="0"/>
        <w:widowControl/>
        <w:kinsoku/>
        <w:wordWrap/>
        <w:overflowPunct/>
        <w:topLinePunct w:val="0"/>
        <w:autoSpaceDE/>
        <w:autoSpaceDN/>
        <w:bidi w:val="0"/>
        <w:adjustRightInd/>
        <w:snapToGrid/>
        <w:spacing w:line="580" w:lineRule="exact"/>
        <w:ind w:left="0" w:leftChars="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二、收入决算表</w:t>
      </w:r>
    </w:p>
    <w:p>
      <w:pPr>
        <w:keepNext w:val="0"/>
        <w:keepLines w:val="0"/>
        <w:pageBreakBefore w:val="0"/>
        <w:widowControl/>
        <w:kinsoku/>
        <w:wordWrap/>
        <w:overflowPunct/>
        <w:topLinePunct w:val="0"/>
        <w:autoSpaceDE/>
        <w:autoSpaceDN/>
        <w:bidi w:val="0"/>
        <w:adjustRightInd/>
        <w:snapToGrid/>
        <w:spacing w:line="580" w:lineRule="exact"/>
        <w:ind w:left="0" w:leftChars="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三、支出决算表</w:t>
      </w:r>
    </w:p>
    <w:p>
      <w:pPr>
        <w:keepNext w:val="0"/>
        <w:keepLines w:val="0"/>
        <w:pageBreakBefore w:val="0"/>
        <w:widowControl/>
        <w:kinsoku/>
        <w:wordWrap/>
        <w:overflowPunct/>
        <w:topLinePunct w:val="0"/>
        <w:autoSpaceDE/>
        <w:autoSpaceDN/>
        <w:bidi w:val="0"/>
        <w:adjustRightInd/>
        <w:snapToGrid/>
        <w:spacing w:line="580" w:lineRule="exact"/>
        <w:ind w:left="0" w:leftChars="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四、财政拨款收入支出决算总表</w:t>
      </w:r>
    </w:p>
    <w:p>
      <w:pPr>
        <w:keepNext w:val="0"/>
        <w:keepLines w:val="0"/>
        <w:pageBreakBefore w:val="0"/>
        <w:widowControl/>
        <w:kinsoku/>
        <w:wordWrap/>
        <w:overflowPunct/>
        <w:topLinePunct w:val="0"/>
        <w:autoSpaceDE/>
        <w:autoSpaceDN/>
        <w:bidi w:val="0"/>
        <w:adjustRightInd/>
        <w:snapToGrid/>
        <w:spacing w:line="580" w:lineRule="exact"/>
        <w:ind w:left="0" w:leftChars="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五、一般公共预算财政拨款支出决算表</w:t>
      </w:r>
    </w:p>
    <w:p>
      <w:pPr>
        <w:keepNext w:val="0"/>
        <w:keepLines w:val="0"/>
        <w:pageBreakBefore w:val="0"/>
        <w:widowControl/>
        <w:kinsoku/>
        <w:wordWrap/>
        <w:overflowPunct/>
        <w:topLinePunct w:val="0"/>
        <w:autoSpaceDE/>
        <w:autoSpaceDN/>
        <w:bidi w:val="0"/>
        <w:adjustRightInd/>
        <w:snapToGrid/>
        <w:spacing w:line="580" w:lineRule="exact"/>
        <w:ind w:left="0" w:leftChars="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六、一般公共预算财政拨款基本支出决算明细表</w:t>
      </w:r>
    </w:p>
    <w:p>
      <w:pPr>
        <w:keepNext w:val="0"/>
        <w:keepLines w:val="0"/>
        <w:pageBreakBefore w:val="0"/>
        <w:widowControl/>
        <w:kinsoku/>
        <w:wordWrap/>
        <w:overflowPunct/>
        <w:topLinePunct w:val="0"/>
        <w:autoSpaceDE/>
        <w:autoSpaceDN/>
        <w:bidi w:val="0"/>
        <w:adjustRightInd/>
        <w:snapToGrid/>
        <w:spacing w:line="580" w:lineRule="exact"/>
        <w:ind w:left="0" w:leftChars="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七、一般公共预算财政拨款项目支出决算明细表</w:t>
      </w:r>
    </w:p>
    <w:p>
      <w:pPr>
        <w:keepNext w:val="0"/>
        <w:keepLines w:val="0"/>
        <w:pageBreakBefore w:val="0"/>
        <w:widowControl/>
        <w:kinsoku/>
        <w:wordWrap/>
        <w:overflowPunct/>
        <w:topLinePunct w:val="0"/>
        <w:autoSpaceDE/>
        <w:autoSpaceDN/>
        <w:bidi w:val="0"/>
        <w:adjustRightInd/>
        <w:snapToGrid/>
        <w:spacing w:line="580" w:lineRule="exact"/>
        <w:ind w:left="0" w:leftChars="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八、政府性基金预算财政拨款收入支出决算表</w:t>
      </w:r>
    </w:p>
    <w:p>
      <w:pPr>
        <w:keepNext w:val="0"/>
        <w:keepLines w:val="0"/>
        <w:pageBreakBefore w:val="0"/>
        <w:widowControl/>
        <w:kinsoku/>
        <w:wordWrap/>
        <w:overflowPunct/>
        <w:topLinePunct w:val="0"/>
        <w:autoSpaceDE/>
        <w:autoSpaceDN/>
        <w:bidi w:val="0"/>
        <w:adjustRightInd/>
        <w:snapToGrid/>
        <w:spacing w:line="580" w:lineRule="exact"/>
        <w:ind w:left="0" w:leftChars="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九、国有资本经营预算财政拨款支出决算表</w:t>
      </w:r>
    </w:p>
    <w:p>
      <w:pPr>
        <w:keepNext w:val="0"/>
        <w:keepLines w:val="0"/>
        <w:pageBreakBefore w:val="0"/>
        <w:widowControl/>
        <w:kinsoku/>
        <w:wordWrap/>
        <w:overflowPunct/>
        <w:topLinePunct w:val="0"/>
        <w:autoSpaceDE/>
        <w:autoSpaceDN/>
        <w:bidi w:val="0"/>
        <w:adjustRightInd/>
        <w:snapToGrid/>
        <w:spacing w:line="580" w:lineRule="exact"/>
        <w:ind w:left="0" w:leftChars="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十、财政拨款“三公”经费支出决算表</w:t>
      </w:r>
    </w:p>
    <w:p>
      <w:pPr>
        <w:keepNext w:val="0"/>
        <w:keepLines w:val="0"/>
        <w:pageBreakBefore w:val="0"/>
        <w:widowControl/>
        <w:kinsoku/>
        <w:wordWrap/>
        <w:overflowPunct/>
        <w:topLinePunct w:val="0"/>
        <w:autoSpaceDE/>
        <w:autoSpaceDN/>
        <w:bidi w:val="0"/>
        <w:adjustRightInd/>
        <w:snapToGrid/>
        <w:spacing w:line="580" w:lineRule="exact"/>
        <w:ind w:left="0" w:leftChars="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十一、机构运行经费支出、国有资产占用情况及政府采购支出信息表</w:t>
      </w:r>
    </w:p>
    <w:p>
      <w:pPr>
        <w:keepNext w:val="0"/>
        <w:keepLines w:val="0"/>
        <w:pageBreakBefore w:val="0"/>
        <w:widowControl/>
        <w:kinsoku/>
        <w:wordWrap/>
        <w:overflowPunct/>
        <w:topLinePunct w:val="0"/>
        <w:autoSpaceDE/>
        <w:autoSpaceDN/>
        <w:bidi w:val="0"/>
        <w:adjustRightInd/>
        <w:snapToGrid/>
        <w:spacing w:line="580" w:lineRule="exact"/>
        <w:ind w:left="0" w:leftChars="0"/>
        <w:textAlignment w:val="auto"/>
        <w:rPr>
          <w:rFonts w:ascii="Times New Roman" w:hAnsi="Times New Roman" w:eastAsia="Times New Roman" w:cs="Times New Roman"/>
          <w:color w:val="auto"/>
          <w:kern w:val="0"/>
          <w:sz w:val="24"/>
        </w:rPr>
      </w:pPr>
    </w:p>
    <w:p>
      <w:pPr>
        <w:pStyle w:val="2"/>
        <w:keepNext w:val="0"/>
        <w:keepLines w:val="0"/>
        <w:pageBreakBefore w:val="0"/>
        <w:kinsoku/>
        <w:wordWrap/>
        <w:overflowPunct/>
        <w:topLinePunct w:val="0"/>
        <w:autoSpaceDE/>
        <w:autoSpaceDN/>
        <w:bidi w:val="0"/>
        <w:adjustRightInd/>
        <w:snapToGrid/>
        <w:spacing w:beforeLines="0" w:after="0" w:afterLines="0" w:line="580" w:lineRule="exact"/>
        <w:ind w:left="0" w:leftChars="0"/>
        <w:textAlignment w:val="auto"/>
        <w:rPr>
          <w:rFonts w:ascii="Times New Roman" w:hAnsi="Times New Roman" w:eastAsia="Times New Roman" w:cs="Times New Roman"/>
          <w:color w:val="auto"/>
          <w:kern w:val="0"/>
          <w:sz w:val="24"/>
        </w:rPr>
      </w:pPr>
    </w:p>
    <w:p>
      <w:pPr>
        <w:pStyle w:val="2"/>
        <w:keepNext w:val="0"/>
        <w:keepLines w:val="0"/>
        <w:pageBreakBefore w:val="0"/>
        <w:kinsoku/>
        <w:wordWrap/>
        <w:overflowPunct/>
        <w:topLinePunct w:val="0"/>
        <w:autoSpaceDE/>
        <w:autoSpaceDN/>
        <w:bidi w:val="0"/>
        <w:adjustRightInd/>
        <w:snapToGrid/>
        <w:spacing w:beforeLines="0" w:after="0" w:afterLines="0" w:line="580" w:lineRule="exact"/>
        <w:ind w:left="0" w:leftChars="0"/>
        <w:textAlignment w:val="auto"/>
        <w:rPr>
          <w:rFonts w:ascii="Times New Roman" w:hAnsi="Times New Roman" w:eastAsia="Times New Roman" w:cs="Times New Roman"/>
          <w:color w:val="auto"/>
          <w:kern w:val="0"/>
          <w:sz w:val="24"/>
        </w:rPr>
      </w:pPr>
    </w:p>
    <w:p>
      <w:pPr>
        <w:pStyle w:val="2"/>
        <w:keepNext w:val="0"/>
        <w:keepLines w:val="0"/>
        <w:pageBreakBefore w:val="0"/>
        <w:kinsoku/>
        <w:wordWrap/>
        <w:overflowPunct/>
        <w:topLinePunct w:val="0"/>
        <w:autoSpaceDE/>
        <w:autoSpaceDN/>
        <w:bidi w:val="0"/>
        <w:adjustRightInd/>
        <w:snapToGrid/>
        <w:spacing w:beforeLines="0" w:after="0" w:afterLines="0" w:line="580" w:lineRule="exact"/>
        <w:ind w:left="0" w:leftChars="0"/>
        <w:textAlignment w:val="auto"/>
        <w:rPr>
          <w:rFonts w:ascii="Times New Roman" w:hAnsi="Times New Roman" w:eastAsia="Times New Roman" w:cs="Times New Roman"/>
          <w:color w:val="auto"/>
          <w:kern w:val="0"/>
          <w:sz w:val="24"/>
        </w:rPr>
      </w:pPr>
    </w:p>
    <w:p>
      <w:pPr>
        <w:pStyle w:val="2"/>
        <w:keepNext w:val="0"/>
        <w:keepLines w:val="0"/>
        <w:pageBreakBefore w:val="0"/>
        <w:kinsoku/>
        <w:wordWrap/>
        <w:overflowPunct/>
        <w:topLinePunct w:val="0"/>
        <w:autoSpaceDE/>
        <w:autoSpaceDN/>
        <w:bidi w:val="0"/>
        <w:adjustRightInd/>
        <w:snapToGrid/>
        <w:spacing w:beforeLines="0" w:after="0" w:afterLines="0" w:line="580" w:lineRule="exact"/>
        <w:ind w:left="0" w:leftChars="0"/>
        <w:textAlignment w:val="auto"/>
        <w:rPr>
          <w:rFonts w:ascii="Times New Roman" w:hAnsi="Times New Roman" w:eastAsia="Times New Roman" w:cs="Times New Roman"/>
          <w:color w:val="auto"/>
          <w:kern w:val="0"/>
          <w:sz w:val="24"/>
        </w:rPr>
      </w:pPr>
    </w:p>
    <w:p>
      <w:pPr>
        <w:pStyle w:val="2"/>
        <w:keepNext w:val="0"/>
        <w:keepLines w:val="0"/>
        <w:pageBreakBefore w:val="0"/>
        <w:kinsoku/>
        <w:wordWrap/>
        <w:overflowPunct/>
        <w:topLinePunct w:val="0"/>
        <w:autoSpaceDE/>
        <w:autoSpaceDN/>
        <w:bidi w:val="0"/>
        <w:adjustRightInd/>
        <w:snapToGrid/>
        <w:spacing w:beforeLines="0" w:after="0" w:afterLines="0" w:line="580" w:lineRule="exact"/>
        <w:ind w:left="0" w:leftChars="0"/>
        <w:textAlignment w:val="auto"/>
        <w:rPr>
          <w:rFonts w:ascii="Times New Roman" w:hAnsi="Times New Roman" w:eastAsia="Times New Roman" w:cs="Times New Roman"/>
          <w:color w:val="auto"/>
          <w:kern w:val="0"/>
          <w:sz w:val="24"/>
        </w:rPr>
      </w:pPr>
    </w:p>
    <w:p>
      <w:pPr>
        <w:pStyle w:val="2"/>
        <w:keepNext w:val="0"/>
        <w:keepLines w:val="0"/>
        <w:pageBreakBefore w:val="0"/>
        <w:kinsoku/>
        <w:wordWrap/>
        <w:overflowPunct/>
        <w:topLinePunct w:val="0"/>
        <w:autoSpaceDE/>
        <w:autoSpaceDN/>
        <w:bidi w:val="0"/>
        <w:adjustRightInd/>
        <w:snapToGrid/>
        <w:spacing w:beforeLines="0" w:after="0" w:afterLines="0" w:line="580" w:lineRule="exact"/>
        <w:ind w:left="0" w:leftChars="0" w:firstLine="0" w:firstLineChars="0"/>
        <w:textAlignment w:val="auto"/>
        <w:rPr>
          <w:rFonts w:ascii="Times New Roman" w:hAnsi="Times New Roman" w:eastAsia="Times New Roman" w:cs="Times New Roman"/>
          <w:color w:val="auto"/>
          <w:kern w:val="0"/>
          <w:sz w:val="24"/>
        </w:rPr>
      </w:pPr>
    </w:p>
    <w:p>
      <w:pPr>
        <w:keepNext w:val="0"/>
        <w:keepLines w:val="0"/>
        <w:pageBreakBefore w:val="0"/>
        <w:widowControl/>
        <w:numPr>
          <w:ilvl w:val="0"/>
          <w:numId w:val="1"/>
        </w:numPr>
        <w:kinsoku/>
        <w:wordWrap/>
        <w:overflowPunct/>
        <w:topLinePunct w:val="0"/>
        <w:autoSpaceDE/>
        <w:autoSpaceDN/>
        <w:bidi w:val="0"/>
        <w:adjustRightInd/>
        <w:snapToGrid/>
        <w:spacing w:line="580" w:lineRule="exact"/>
        <w:ind w:left="0" w:leftChars="0"/>
        <w:jc w:val="center"/>
        <w:textAlignment w:val="auto"/>
        <w:rPr>
          <w:rFonts w:hint="eastAsia" w:ascii="方正小标宋简体" w:hAnsi="方正小标宋简体" w:eastAsia="方正小标宋简体" w:cs="方正小标宋简体"/>
          <w:b w:val="0"/>
          <w:bCs w:val="0"/>
          <w:color w:val="auto"/>
          <w:kern w:val="0"/>
          <w:sz w:val="36"/>
          <w:szCs w:val="36"/>
        </w:rPr>
      </w:pPr>
      <w:r>
        <w:rPr>
          <w:rFonts w:hint="eastAsia" w:ascii="方正小标宋简体" w:hAnsi="方正小标宋简体" w:eastAsia="方正小标宋简体" w:cs="方正小标宋简体"/>
          <w:b w:val="0"/>
          <w:bCs w:val="0"/>
          <w:color w:val="auto"/>
          <w:kern w:val="0"/>
          <w:sz w:val="36"/>
          <w:szCs w:val="36"/>
        </w:rPr>
        <w:t>部门概况</w:t>
      </w:r>
    </w:p>
    <w:p>
      <w:pPr>
        <w:pStyle w:val="2"/>
        <w:numPr>
          <w:ilvl w:val="0"/>
          <w:numId w:val="0"/>
        </w:numPr>
        <w:ind w:leftChars="200"/>
        <w:rPr>
          <w:rFonts w:hint="eastAsia"/>
        </w:rPr>
      </w:pP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一、主要职能、职责</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负责全面依法治市重大问题的政策研究，协调有关方面</w:t>
      </w:r>
      <w:r>
        <w:rPr>
          <w:rFonts w:hint="eastAsia" w:ascii="仿宋_GB2312" w:hAnsi="仿宋_GB2312" w:eastAsia="仿宋_GB2312" w:cs="仿宋_GB2312"/>
          <w:color w:val="auto"/>
          <w:sz w:val="32"/>
          <w:szCs w:val="32"/>
          <w:lang w:val="en-US" w:eastAsia="zh-CN"/>
        </w:rPr>
        <w:t>提</w:t>
      </w:r>
      <w:r>
        <w:rPr>
          <w:rFonts w:hint="eastAsia" w:ascii="仿宋_GB2312" w:hAnsi="仿宋_GB2312" w:eastAsia="仿宋_GB2312" w:cs="仿宋_GB2312"/>
          <w:color w:val="auto"/>
          <w:sz w:val="32"/>
          <w:szCs w:val="32"/>
        </w:rPr>
        <w:t>出全面依法治市中长期规划建议，负责有关决策部署的督察工作；</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承担统筹规划立法工作的责任；</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负责起草或者组织起草有关地方性法规和政府规章草案；</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承办市人民政府规章的解释、立法后评估工作；</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承担统筹推进法治政府建设的责任；</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承担统筹规划法治社会建设的责任；</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负责指导、管理全市社区矫正工作，指导全市刑满释放人员帮教安置工作；</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拟定全市公共法律服务体系建设规划并指导实施，统筹和布局城乡、区域法律服务资源；</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负责国家统一法律职业资格考试赤峰考区的组织实施工作；</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负责全市司法行政系统服装和警车管理工作，指导、监督全市司法行政系统财务、装备、设施、场所等保障工作；</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规划、协调、指导全市法治人才队伍建设相关工作，指导、监督全市司法行政队伍建设；</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规划、实施、指导全市司法行政信息化建设；</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13</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管理赤峰市强制隔离戒毒所；</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14</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承担市委全面依法治市委员会日常工作；</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15</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完成市委、市政府交办的其他任务</w:t>
      </w:r>
      <w:r>
        <w:rPr>
          <w:rFonts w:hint="eastAsia" w:ascii="仿宋_GB2312" w:hAnsi="仿宋_GB2312" w:eastAsia="仿宋_GB2312" w:cs="仿宋_GB2312"/>
          <w:color w:val="auto"/>
          <w:sz w:val="32"/>
          <w:szCs w:val="32"/>
          <w:lang w:eastAsia="zh-CN"/>
        </w:rPr>
        <w:t>；</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16、将铸牢中华民族共同体意识贯穿司法行政工作全过程各方面，做好民族理论、民族政策、民族法律法规等基本知识的宣传工作；</w:t>
      </w:r>
    </w:p>
    <w:p>
      <w:pPr>
        <w:spacing w:line="570" w:lineRule="exact"/>
        <w:ind w:firstLine="640" w:firstLineChars="200"/>
        <w:rPr>
          <w:rFonts w:hint="eastAsia"/>
        </w:rPr>
      </w:pPr>
      <w:r>
        <w:rPr>
          <w:rFonts w:hint="eastAsia" w:ascii="仿宋_GB2312" w:eastAsia="仿宋_GB2312"/>
          <w:sz w:val="32"/>
          <w:szCs w:val="32"/>
        </w:rPr>
        <w:t>17、在履行职责过程中统筹发展和安全，有效防范化解各类风险挑战，实现高质量发展和高水平安全的良性互动。</w:t>
      </w:r>
    </w:p>
    <w:p>
      <w:pPr>
        <w:keepNext w:val="0"/>
        <w:keepLines w:val="0"/>
        <w:pageBreakBefore w:val="0"/>
        <w:widowControl/>
        <w:kinsoku/>
        <w:wordWrap/>
        <w:overflowPunct/>
        <w:topLinePunct w:val="0"/>
        <w:autoSpaceDE/>
        <w:autoSpaceDN/>
        <w:bidi w:val="0"/>
        <w:adjustRightInd/>
        <w:snapToGrid/>
        <w:spacing w:line="580" w:lineRule="exact"/>
        <w:ind w:left="0" w:leftChars="0" w:firstLine="540" w:firstLineChars="200"/>
        <w:jc w:val="both"/>
        <w:textAlignment w:val="auto"/>
        <w:rPr>
          <w:rFonts w:hint="eastAsia" w:ascii="黑体" w:hAnsi="黑体" w:eastAsia="黑体" w:cs="黑体"/>
          <w:b/>
          <w:bCs/>
          <w:color w:val="auto"/>
          <w:kern w:val="0"/>
          <w:sz w:val="32"/>
          <w:szCs w:val="32"/>
        </w:rPr>
      </w:pPr>
      <w:r>
        <w:rPr>
          <w:rFonts w:ascii="Calibri" w:hAnsi="Calibri" w:eastAsia="Calibri" w:cs="Calibri"/>
          <w:b/>
          <w:bCs/>
          <w:color w:val="auto"/>
          <w:kern w:val="0"/>
          <w:sz w:val="27"/>
          <w:szCs w:val="27"/>
        </w:rPr>
        <w:t> </w:t>
      </w:r>
      <w:r>
        <w:rPr>
          <w:rFonts w:hint="eastAsia" w:ascii="黑体" w:hAnsi="黑体" w:eastAsia="黑体" w:cs="黑体"/>
          <w:b w:val="0"/>
          <w:bCs w:val="0"/>
          <w:color w:val="auto"/>
          <w:kern w:val="0"/>
          <w:sz w:val="32"/>
          <w:szCs w:val="32"/>
        </w:rPr>
        <w:t>二、部门机构设置及决算单位构成情况</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根据部门职责分工，本部门内设机构包括办公室、法治调研与督察科、立法科、复议一科、复议二科、复议三科、行政执法协调监督</w:t>
      </w:r>
      <w:r>
        <w:rPr>
          <w:rFonts w:hint="eastAsia" w:ascii="仿宋_GB2312" w:hAnsi="仿宋_GB2312" w:eastAsia="仿宋_GB2312" w:cs="仿宋_GB2312"/>
          <w:color w:val="auto"/>
          <w:kern w:val="0"/>
          <w:sz w:val="32"/>
          <w:szCs w:val="32"/>
          <w:lang w:eastAsia="zh-CN"/>
        </w:rPr>
        <w:t>局</w:t>
      </w:r>
      <w:r>
        <w:rPr>
          <w:rFonts w:hint="eastAsia" w:ascii="仿宋_GB2312" w:hAnsi="仿宋_GB2312" w:eastAsia="仿宋_GB2312" w:cs="仿宋_GB2312"/>
          <w:color w:val="auto"/>
          <w:kern w:val="0"/>
          <w:sz w:val="32"/>
          <w:szCs w:val="32"/>
        </w:rPr>
        <w:t>、普法与依法治理科、人民参与和促进法治科、社区矫正</w:t>
      </w:r>
      <w:r>
        <w:rPr>
          <w:rFonts w:hint="eastAsia" w:ascii="仿宋_GB2312" w:hAnsi="仿宋_GB2312" w:eastAsia="仿宋_GB2312" w:cs="仿宋_GB2312"/>
          <w:color w:val="auto"/>
          <w:kern w:val="0"/>
          <w:sz w:val="32"/>
          <w:szCs w:val="32"/>
          <w:lang w:eastAsia="zh-CN"/>
        </w:rPr>
        <w:t>执法支队</w:t>
      </w:r>
      <w:r>
        <w:rPr>
          <w:rFonts w:hint="eastAsia" w:ascii="仿宋_GB2312" w:hAnsi="仿宋_GB2312" w:eastAsia="仿宋_GB2312" w:cs="仿宋_GB2312"/>
          <w:color w:val="auto"/>
          <w:kern w:val="0"/>
          <w:sz w:val="32"/>
          <w:szCs w:val="32"/>
        </w:rPr>
        <w:t>、公共法律服务管理科、律师工作和法律职业资格管理科，科技信息化科、人事警务科、市委全面依法治市委员会办公室秘书科、机关党</w:t>
      </w:r>
      <w:r>
        <w:rPr>
          <w:rFonts w:hint="eastAsia" w:ascii="仿宋_GB2312" w:hAnsi="仿宋_GB2312" w:eastAsia="仿宋_GB2312" w:cs="仿宋_GB2312"/>
          <w:color w:val="auto"/>
          <w:kern w:val="0"/>
          <w:sz w:val="32"/>
          <w:szCs w:val="32"/>
          <w:lang w:eastAsia="zh-CN"/>
        </w:rPr>
        <w:t>办</w:t>
      </w:r>
      <w:r>
        <w:rPr>
          <w:rFonts w:hint="eastAsia" w:ascii="仿宋_GB2312" w:hAnsi="仿宋_GB2312" w:eastAsia="仿宋_GB2312" w:cs="仿宋_GB2312"/>
          <w:color w:val="auto"/>
          <w:kern w:val="0"/>
          <w:sz w:val="32"/>
          <w:szCs w:val="32"/>
        </w:rPr>
        <w:t>。本部门下属单位包括：赤峰市司法局本级（含不单独核算二级参照公务员法管理事业单位赤峰市法律援助中心）和赤峰市强制隔离戒毒所。</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color w:val="auto"/>
        </w:rPr>
      </w:pPr>
      <w:r>
        <w:rPr>
          <w:rFonts w:hint="eastAsia" w:ascii="仿宋_GB2312" w:hAnsi="仿宋_GB2312" w:eastAsia="仿宋_GB2312" w:cs="仿宋_GB2312"/>
          <w:color w:val="auto"/>
          <w:kern w:val="0"/>
          <w:sz w:val="32"/>
          <w:szCs w:val="32"/>
        </w:rPr>
        <w:t>2.</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从决算单位构成看，纳入本财政汇总决算编制范围的预算单位共计</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家，具体包括：赤峰市司法局本级、赤峰市强制隔离戒毒所。详细情况见表：</w:t>
      </w:r>
    </w:p>
    <w:p>
      <w:pPr>
        <w:pStyle w:val="2"/>
        <w:keepNext w:val="0"/>
        <w:keepLines w:val="0"/>
        <w:pageBreakBefore w:val="0"/>
        <w:kinsoku/>
        <w:wordWrap/>
        <w:overflowPunct/>
        <w:topLinePunct w:val="0"/>
        <w:autoSpaceDE/>
        <w:autoSpaceDN/>
        <w:bidi w:val="0"/>
        <w:adjustRightInd/>
        <w:snapToGrid/>
        <w:spacing w:beforeLines="0" w:after="0" w:afterLines="0" w:line="580" w:lineRule="exact"/>
        <w:ind w:left="0" w:leftChars="0"/>
        <w:textAlignment w:val="auto"/>
        <w:rPr>
          <w:rFonts w:hint="eastAsia"/>
          <w:color w:val="auto"/>
        </w:rPr>
      </w:pPr>
    </w:p>
    <w:tbl>
      <w:tblPr>
        <w:tblStyle w:val="20"/>
        <w:tblW w:w="4275" w:type="pct"/>
        <w:jc w:val="center"/>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autofit"/>
        <w:tblCellMar>
          <w:top w:w="15" w:type="dxa"/>
          <w:left w:w="15" w:type="dxa"/>
          <w:bottom w:w="15" w:type="dxa"/>
          <w:right w:w="15" w:type="dxa"/>
        </w:tblCellMar>
      </w:tblPr>
      <w:tblGrid>
        <w:gridCol w:w="695"/>
        <w:gridCol w:w="3371"/>
        <w:gridCol w:w="3631"/>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460" w:hRule="atLeast"/>
          <w:tblHeader/>
          <w:jc w:val="center"/>
        </w:trPr>
        <w:tc>
          <w:tcPr>
            <w:tcW w:w="452" w:type="pct"/>
            <w:tcBorders>
              <w:bottom w:val="inset" w:color="808080" w:sz="6" w:space="0"/>
              <w:right w:val="inset" w:color="808080" w:sz="6" w:space="0"/>
            </w:tcBorders>
            <w:noWrap w:val="0"/>
            <w:tcMar>
              <w:top w:w="22" w:type="dxa"/>
              <w:left w:w="22" w:type="dxa"/>
              <w:bottom w:w="22" w:type="dxa"/>
              <w:right w:w="22"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jc w:val="center"/>
              <w:textAlignment w:val="auto"/>
              <w:rPr>
                <w:rFonts w:hint="eastAsia" w:ascii="仿宋_GB2312" w:hAnsi="仿宋_GB2312" w:eastAsia="仿宋_GB2312" w:cs="仿宋_GB2312"/>
                <w:b w:val="0"/>
                <w:bCs w:val="0"/>
                <w:i w:val="0"/>
                <w:iCs w:val="0"/>
                <w:smallCaps w:val="0"/>
                <w:color w:val="auto"/>
                <w:kern w:val="0"/>
                <w:sz w:val="32"/>
                <w:szCs w:val="32"/>
              </w:rPr>
            </w:pPr>
            <w:r>
              <w:rPr>
                <w:rFonts w:hint="eastAsia" w:ascii="仿宋_GB2312" w:hAnsi="仿宋_GB2312" w:eastAsia="仿宋_GB2312" w:cs="仿宋_GB2312"/>
                <w:b w:val="0"/>
                <w:bCs w:val="0"/>
                <w:i w:val="0"/>
                <w:iCs w:val="0"/>
                <w:smallCaps w:val="0"/>
                <w:color w:val="auto"/>
                <w:kern w:val="0"/>
                <w:sz w:val="32"/>
                <w:szCs w:val="32"/>
              </w:rPr>
              <w:t>序号</w:t>
            </w:r>
          </w:p>
        </w:tc>
        <w:tc>
          <w:tcPr>
            <w:tcW w:w="2189" w:type="pct"/>
            <w:tcBorders>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jc w:val="center"/>
              <w:textAlignment w:val="auto"/>
              <w:rPr>
                <w:rFonts w:hint="eastAsia" w:ascii="仿宋_GB2312" w:hAnsi="仿宋_GB2312" w:eastAsia="仿宋_GB2312" w:cs="仿宋_GB2312"/>
                <w:b w:val="0"/>
                <w:bCs w:val="0"/>
                <w:i w:val="0"/>
                <w:iCs w:val="0"/>
                <w:smallCaps w:val="0"/>
                <w:color w:val="auto"/>
                <w:kern w:val="0"/>
                <w:sz w:val="32"/>
                <w:szCs w:val="32"/>
              </w:rPr>
            </w:pPr>
            <w:r>
              <w:rPr>
                <w:rFonts w:hint="eastAsia" w:ascii="仿宋_GB2312" w:hAnsi="仿宋_GB2312" w:eastAsia="仿宋_GB2312" w:cs="仿宋_GB2312"/>
                <w:b w:val="0"/>
                <w:bCs w:val="0"/>
                <w:i w:val="0"/>
                <w:iCs w:val="0"/>
                <w:smallCaps w:val="0"/>
                <w:color w:val="auto"/>
                <w:kern w:val="0"/>
                <w:sz w:val="32"/>
                <w:szCs w:val="32"/>
              </w:rPr>
              <w:t>单位名称</w:t>
            </w:r>
          </w:p>
        </w:tc>
        <w:tc>
          <w:tcPr>
            <w:tcW w:w="2358" w:type="pct"/>
            <w:tcBorders>
              <w:left w:val="inset" w:color="808080" w:sz="6" w:space="0"/>
              <w:bottom w:val="inset" w:color="808080" w:sz="6" w:space="0"/>
            </w:tcBorders>
            <w:noWrap w:val="0"/>
            <w:tcMar>
              <w:top w:w="22" w:type="dxa"/>
              <w:left w:w="22" w:type="dxa"/>
              <w:bottom w:w="22" w:type="dxa"/>
              <w:right w:w="22"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jc w:val="center"/>
              <w:textAlignment w:val="auto"/>
              <w:rPr>
                <w:rFonts w:hint="eastAsia" w:ascii="仿宋_GB2312" w:hAnsi="仿宋_GB2312" w:eastAsia="仿宋_GB2312" w:cs="仿宋_GB2312"/>
                <w:b w:val="0"/>
                <w:bCs w:val="0"/>
                <w:i w:val="0"/>
                <w:iCs w:val="0"/>
                <w:smallCaps w:val="0"/>
                <w:color w:val="auto"/>
                <w:kern w:val="0"/>
                <w:sz w:val="32"/>
                <w:szCs w:val="32"/>
              </w:rPr>
            </w:pPr>
            <w:r>
              <w:rPr>
                <w:rFonts w:hint="eastAsia" w:ascii="仿宋_GB2312" w:hAnsi="仿宋_GB2312" w:eastAsia="仿宋_GB2312" w:cs="仿宋_GB2312"/>
                <w:b w:val="0"/>
                <w:bCs w:val="0"/>
                <w:i w:val="0"/>
                <w:iCs w:val="0"/>
                <w:smallCaps w:val="0"/>
                <w:color w:val="auto"/>
                <w:kern w:val="0"/>
                <w:sz w:val="32"/>
                <w:szCs w:val="32"/>
              </w:rPr>
              <w:t>单位性质</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759" w:hRule="atLeast"/>
          <w:jc w:val="center"/>
        </w:trPr>
        <w:tc>
          <w:tcPr>
            <w:tcW w:w="452" w:type="pct"/>
            <w:tcBorders>
              <w:top w:val="inset" w:color="808080" w:sz="6" w:space="0"/>
              <w:bottom w:val="inset" w:color="808080" w:sz="6" w:space="0"/>
              <w:right w:val="inset" w:color="808080" w:sz="6" w:space="0"/>
            </w:tcBorders>
            <w:noWrap w:val="0"/>
            <w:tcMar>
              <w:top w:w="22" w:type="dxa"/>
              <w:left w:w="22" w:type="dxa"/>
              <w:bottom w:w="22" w:type="dxa"/>
              <w:right w:w="22" w:type="dxa"/>
            </w:tcMar>
            <w:vAlign w:val="top"/>
          </w:tcPr>
          <w:p>
            <w:pPr>
              <w:keepNext w:val="0"/>
              <w:keepLines w:val="0"/>
              <w:pageBreakBefore w:val="0"/>
              <w:widowControl/>
              <w:kinsoku/>
              <w:wordWrap/>
              <w:overflowPunct/>
              <w:topLinePunct w:val="0"/>
              <w:autoSpaceDE/>
              <w:autoSpaceDN/>
              <w:bidi w:val="0"/>
              <w:adjustRightInd/>
              <w:snapToGrid/>
              <w:spacing w:line="580" w:lineRule="exact"/>
              <w:ind w:left="0" w:leftChars="0"/>
              <w:jc w:val="center"/>
              <w:textAlignment w:val="auto"/>
              <w:rPr>
                <w:rFonts w:hint="default" w:ascii="仿宋_GB2312" w:hAnsi="仿宋_GB2312" w:eastAsia="仿宋_GB2312" w:cs="仿宋_GB2312"/>
                <w:b w:val="0"/>
                <w:bCs w:val="0"/>
                <w:i w:val="0"/>
                <w:iCs w:val="0"/>
                <w:smallCaps w:val="0"/>
                <w:color w:val="auto"/>
                <w:kern w:val="0"/>
                <w:sz w:val="32"/>
                <w:szCs w:val="32"/>
                <w:lang w:val="en-US" w:eastAsia="zh-CN"/>
              </w:rPr>
            </w:pPr>
            <w:r>
              <w:rPr>
                <w:rFonts w:hint="default" w:ascii="仿宋_GB2312" w:hAnsi="仿宋_GB2312" w:eastAsia="仿宋_GB2312" w:cs="仿宋_GB2312"/>
                <w:b w:val="0"/>
                <w:bCs w:val="0"/>
                <w:i w:val="0"/>
                <w:iCs w:val="0"/>
                <w:smallCaps w:val="0"/>
                <w:color w:val="auto"/>
                <w:kern w:val="0"/>
                <w:sz w:val="32"/>
                <w:szCs w:val="32"/>
              </w:rPr>
              <w:t>1</w:t>
            </w:r>
          </w:p>
        </w:tc>
        <w:tc>
          <w:tcPr>
            <w:tcW w:w="2189" w:type="pct"/>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top"/>
          </w:tcPr>
          <w:p>
            <w:pPr>
              <w:keepNext w:val="0"/>
              <w:keepLines w:val="0"/>
              <w:pageBreakBefore w:val="0"/>
              <w:widowControl/>
              <w:kinsoku/>
              <w:wordWrap/>
              <w:overflowPunct/>
              <w:topLinePunct w:val="0"/>
              <w:autoSpaceDE/>
              <w:autoSpaceDN/>
              <w:bidi w:val="0"/>
              <w:adjustRightInd/>
              <w:snapToGrid/>
              <w:spacing w:line="580" w:lineRule="exact"/>
              <w:ind w:left="0" w:leftChars="0"/>
              <w:jc w:val="center"/>
              <w:textAlignment w:val="auto"/>
              <w:rPr>
                <w:rFonts w:hint="default" w:ascii="仿宋_GB2312" w:hAnsi="仿宋_GB2312" w:eastAsia="仿宋_GB2312" w:cs="仿宋_GB2312"/>
                <w:b w:val="0"/>
                <w:bCs w:val="0"/>
                <w:i w:val="0"/>
                <w:iCs w:val="0"/>
                <w:smallCaps w:val="0"/>
                <w:color w:val="auto"/>
                <w:kern w:val="0"/>
                <w:sz w:val="32"/>
                <w:szCs w:val="32"/>
                <w:lang w:val="en-US" w:eastAsia="zh-CN"/>
              </w:rPr>
            </w:pPr>
            <w:r>
              <w:rPr>
                <w:rFonts w:hint="eastAsia" w:ascii="仿宋_GB2312" w:hAnsi="仿宋_GB2312" w:eastAsia="仿宋_GB2312" w:cs="仿宋_GB2312"/>
                <w:b w:val="0"/>
                <w:bCs w:val="0"/>
                <w:i w:val="0"/>
                <w:iCs w:val="0"/>
                <w:smallCaps w:val="0"/>
                <w:color w:val="auto"/>
                <w:kern w:val="0"/>
                <w:sz w:val="32"/>
                <w:szCs w:val="32"/>
              </w:rPr>
              <w:t>赤峰市司法局本级</w:t>
            </w:r>
          </w:p>
        </w:tc>
        <w:tc>
          <w:tcPr>
            <w:tcW w:w="2358" w:type="pct"/>
            <w:tcBorders>
              <w:top w:val="inset" w:color="808080" w:sz="6" w:space="0"/>
              <w:left w:val="inset" w:color="808080" w:sz="6" w:space="0"/>
              <w:bottom w:val="inset" w:color="808080" w:sz="6" w:space="0"/>
            </w:tcBorders>
            <w:noWrap w:val="0"/>
            <w:tcMar>
              <w:top w:w="22" w:type="dxa"/>
              <w:left w:w="22" w:type="dxa"/>
              <w:bottom w:w="22" w:type="dxa"/>
              <w:right w:w="22" w:type="dxa"/>
            </w:tcMar>
            <w:vAlign w:val="top"/>
          </w:tcPr>
          <w:p>
            <w:pPr>
              <w:keepNext w:val="0"/>
              <w:keepLines w:val="0"/>
              <w:pageBreakBefore w:val="0"/>
              <w:widowControl/>
              <w:kinsoku/>
              <w:wordWrap/>
              <w:overflowPunct/>
              <w:topLinePunct w:val="0"/>
              <w:autoSpaceDE/>
              <w:autoSpaceDN/>
              <w:bidi w:val="0"/>
              <w:adjustRightInd/>
              <w:snapToGrid/>
              <w:spacing w:line="580" w:lineRule="exact"/>
              <w:ind w:left="0" w:leftChars="0"/>
              <w:jc w:val="center"/>
              <w:textAlignment w:val="auto"/>
              <w:rPr>
                <w:rFonts w:hint="default" w:ascii="仿宋_GB2312" w:hAnsi="仿宋_GB2312" w:eastAsia="仿宋_GB2312" w:cs="仿宋_GB2312"/>
                <w:b w:val="0"/>
                <w:bCs w:val="0"/>
                <w:i w:val="0"/>
                <w:iCs w:val="0"/>
                <w:smallCaps w:val="0"/>
                <w:color w:val="auto"/>
                <w:kern w:val="0"/>
                <w:sz w:val="32"/>
                <w:szCs w:val="32"/>
                <w:lang w:val="en-US" w:eastAsia="zh-CN"/>
              </w:rPr>
            </w:pPr>
            <w:r>
              <w:rPr>
                <w:rFonts w:hint="eastAsia" w:ascii="仿宋_GB2312" w:hAnsi="仿宋_GB2312" w:eastAsia="仿宋_GB2312" w:cs="仿宋_GB2312"/>
                <w:b w:val="0"/>
                <w:bCs w:val="0"/>
                <w:i w:val="0"/>
                <w:iCs w:val="0"/>
                <w:smallCaps w:val="0"/>
                <w:color w:val="auto"/>
                <w:kern w:val="0"/>
                <w:sz w:val="32"/>
                <w:szCs w:val="32"/>
              </w:rPr>
              <w:t>财政拨款的行政单位</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856" w:hRule="atLeast"/>
          <w:jc w:val="center"/>
        </w:trPr>
        <w:tc>
          <w:tcPr>
            <w:tcW w:w="452" w:type="pct"/>
            <w:tcBorders>
              <w:top w:val="inset" w:color="808080" w:sz="6" w:space="0"/>
              <w:bottom w:val="inset" w:color="808080" w:sz="6" w:space="0"/>
              <w:right w:val="inset" w:color="808080" w:sz="6" w:space="0"/>
            </w:tcBorders>
            <w:noWrap w:val="0"/>
            <w:tcMar>
              <w:top w:w="22" w:type="dxa"/>
              <w:left w:w="22" w:type="dxa"/>
              <w:bottom w:w="22" w:type="dxa"/>
              <w:right w:w="22" w:type="dxa"/>
            </w:tcMar>
            <w:vAlign w:val="top"/>
          </w:tcPr>
          <w:p>
            <w:pPr>
              <w:keepNext w:val="0"/>
              <w:keepLines w:val="0"/>
              <w:pageBreakBefore w:val="0"/>
              <w:widowControl/>
              <w:kinsoku/>
              <w:wordWrap/>
              <w:overflowPunct/>
              <w:topLinePunct w:val="0"/>
              <w:autoSpaceDE/>
              <w:autoSpaceDN/>
              <w:bidi w:val="0"/>
              <w:adjustRightInd/>
              <w:snapToGrid/>
              <w:spacing w:line="580" w:lineRule="exact"/>
              <w:ind w:left="0" w:leftChars="0"/>
              <w:jc w:val="center"/>
              <w:textAlignment w:val="auto"/>
              <w:rPr>
                <w:rFonts w:hint="default" w:ascii="仿宋_GB2312" w:hAnsi="仿宋_GB2312" w:eastAsia="仿宋_GB2312" w:cs="仿宋_GB2312"/>
                <w:b w:val="0"/>
                <w:bCs w:val="0"/>
                <w:i w:val="0"/>
                <w:iCs w:val="0"/>
                <w:smallCaps w:val="0"/>
                <w:color w:val="auto"/>
                <w:kern w:val="0"/>
                <w:sz w:val="32"/>
                <w:szCs w:val="32"/>
                <w:lang w:val="en-US" w:eastAsia="zh-CN"/>
              </w:rPr>
            </w:pPr>
            <w:r>
              <w:rPr>
                <w:rFonts w:hint="default" w:ascii="仿宋_GB2312" w:hAnsi="仿宋_GB2312" w:eastAsia="仿宋_GB2312" w:cs="仿宋_GB2312"/>
                <w:b w:val="0"/>
                <w:bCs w:val="0"/>
                <w:i w:val="0"/>
                <w:iCs w:val="0"/>
                <w:smallCaps w:val="0"/>
                <w:color w:val="auto"/>
                <w:kern w:val="0"/>
                <w:sz w:val="32"/>
                <w:szCs w:val="32"/>
              </w:rPr>
              <w:t>2</w:t>
            </w:r>
          </w:p>
        </w:tc>
        <w:tc>
          <w:tcPr>
            <w:tcW w:w="2189" w:type="pct"/>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top"/>
          </w:tcPr>
          <w:p>
            <w:pPr>
              <w:keepNext w:val="0"/>
              <w:keepLines w:val="0"/>
              <w:pageBreakBefore w:val="0"/>
              <w:widowControl/>
              <w:kinsoku/>
              <w:wordWrap/>
              <w:overflowPunct/>
              <w:topLinePunct w:val="0"/>
              <w:autoSpaceDE/>
              <w:autoSpaceDN/>
              <w:bidi w:val="0"/>
              <w:adjustRightInd/>
              <w:snapToGrid/>
              <w:spacing w:line="580" w:lineRule="exact"/>
              <w:ind w:left="0" w:leftChars="0"/>
              <w:jc w:val="center"/>
              <w:textAlignment w:val="auto"/>
              <w:rPr>
                <w:rFonts w:hint="default" w:ascii="仿宋_GB2312" w:hAnsi="仿宋_GB2312" w:eastAsia="仿宋_GB2312" w:cs="仿宋_GB2312"/>
                <w:b w:val="0"/>
                <w:bCs w:val="0"/>
                <w:i w:val="0"/>
                <w:iCs w:val="0"/>
                <w:smallCaps w:val="0"/>
                <w:color w:val="auto"/>
                <w:kern w:val="0"/>
                <w:sz w:val="32"/>
                <w:szCs w:val="32"/>
                <w:lang w:val="en-US" w:eastAsia="zh-CN"/>
              </w:rPr>
            </w:pPr>
            <w:r>
              <w:rPr>
                <w:rFonts w:hint="eastAsia" w:ascii="仿宋_GB2312" w:hAnsi="仿宋_GB2312" w:eastAsia="仿宋_GB2312" w:cs="仿宋_GB2312"/>
                <w:b w:val="0"/>
                <w:bCs w:val="0"/>
                <w:i w:val="0"/>
                <w:iCs w:val="0"/>
                <w:smallCaps w:val="0"/>
                <w:color w:val="auto"/>
                <w:kern w:val="0"/>
                <w:sz w:val="32"/>
                <w:szCs w:val="32"/>
              </w:rPr>
              <w:t>赤峰市强制隔离戒毒所</w:t>
            </w:r>
          </w:p>
        </w:tc>
        <w:tc>
          <w:tcPr>
            <w:tcW w:w="2358" w:type="pct"/>
            <w:tcBorders>
              <w:top w:val="inset" w:color="808080" w:sz="6" w:space="0"/>
              <w:left w:val="inset" w:color="808080" w:sz="6" w:space="0"/>
              <w:bottom w:val="inset" w:color="808080" w:sz="6" w:space="0"/>
            </w:tcBorders>
            <w:noWrap w:val="0"/>
            <w:tcMar>
              <w:top w:w="22" w:type="dxa"/>
              <w:left w:w="22" w:type="dxa"/>
              <w:bottom w:w="22" w:type="dxa"/>
              <w:right w:w="22" w:type="dxa"/>
            </w:tcMar>
            <w:vAlign w:val="top"/>
          </w:tcPr>
          <w:p>
            <w:pPr>
              <w:keepNext w:val="0"/>
              <w:keepLines w:val="0"/>
              <w:pageBreakBefore w:val="0"/>
              <w:widowControl/>
              <w:kinsoku/>
              <w:wordWrap/>
              <w:overflowPunct/>
              <w:topLinePunct w:val="0"/>
              <w:autoSpaceDE/>
              <w:autoSpaceDN/>
              <w:bidi w:val="0"/>
              <w:adjustRightInd/>
              <w:snapToGrid/>
              <w:spacing w:line="580" w:lineRule="exact"/>
              <w:ind w:left="0" w:leftChars="0"/>
              <w:jc w:val="center"/>
              <w:textAlignment w:val="auto"/>
              <w:rPr>
                <w:rFonts w:hint="default" w:ascii="仿宋_GB2312" w:hAnsi="仿宋_GB2312" w:eastAsia="仿宋_GB2312" w:cs="仿宋_GB2312"/>
                <w:b w:val="0"/>
                <w:bCs w:val="0"/>
                <w:i w:val="0"/>
                <w:iCs w:val="0"/>
                <w:smallCaps w:val="0"/>
                <w:color w:val="auto"/>
                <w:kern w:val="0"/>
                <w:sz w:val="32"/>
                <w:szCs w:val="32"/>
                <w:lang w:val="en-US" w:eastAsia="zh-CN"/>
              </w:rPr>
            </w:pPr>
            <w:r>
              <w:rPr>
                <w:rFonts w:hint="eastAsia" w:ascii="仿宋_GB2312" w:hAnsi="仿宋_GB2312" w:eastAsia="仿宋_GB2312" w:cs="仿宋_GB2312"/>
                <w:b w:val="0"/>
                <w:bCs w:val="0"/>
                <w:i w:val="0"/>
                <w:iCs w:val="0"/>
                <w:smallCaps w:val="0"/>
                <w:color w:val="auto"/>
                <w:kern w:val="0"/>
                <w:sz w:val="32"/>
                <w:szCs w:val="32"/>
              </w:rPr>
              <w:t>财政拨款的行政单位</w:t>
            </w:r>
          </w:p>
        </w:tc>
      </w:tr>
    </w:tbl>
    <w:p>
      <w:pPr>
        <w:pStyle w:val="2"/>
        <w:ind w:left="0" w:leftChars="0" w:firstLine="0" w:firstLineChars="0"/>
        <w:rPr>
          <w:rFonts w:ascii="Times New Roman" w:hAnsi="Times New Roman" w:eastAsia="Times New Roman" w:cs="Times New Roman"/>
          <w:color w:val="auto"/>
          <w:kern w:val="0"/>
          <w:sz w:val="24"/>
        </w:rPr>
      </w:pP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三、202</w:t>
      </w:r>
      <w:r>
        <w:rPr>
          <w:rFonts w:hint="eastAsia" w:ascii="黑体" w:hAnsi="黑体" w:eastAsia="黑体" w:cs="黑体"/>
          <w:b w:val="0"/>
          <w:bCs w:val="0"/>
          <w:color w:val="auto"/>
          <w:kern w:val="0"/>
          <w:sz w:val="32"/>
          <w:szCs w:val="32"/>
          <w:lang w:val="en-US" w:eastAsia="zh-CN"/>
        </w:rPr>
        <w:t>4</w:t>
      </w:r>
      <w:r>
        <w:rPr>
          <w:rFonts w:hint="eastAsia" w:ascii="黑体" w:hAnsi="黑体" w:eastAsia="黑体" w:cs="黑体"/>
          <w:b w:val="0"/>
          <w:bCs w:val="0"/>
          <w:color w:val="auto"/>
          <w:kern w:val="0"/>
          <w:sz w:val="32"/>
          <w:szCs w:val="32"/>
        </w:rPr>
        <w:t>年度部门主要工作完成情况</w:t>
      </w:r>
    </w:p>
    <w:p>
      <w:pPr>
        <w:pStyle w:val="2"/>
        <w:ind w:left="0" w:leftChars="0" w:firstLine="640" w:firstLineChars="200"/>
        <w:rPr>
          <w:rFonts w:hint="eastAsia" w:ascii="仿宋_GB2312" w:hAnsi="仿宋_GB2312" w:eastAsia="仿宋_GB2312" w:cs="仿宋_GB2312"/>
          <w:b w:val="0"/>
          <w:bCs/>
          <w:color w:val="auto"/>
          <w:sz w:val="32"/>
          <w:szCs w:val="32"/>
          <w:lang w:val="en-US" w:eastAsia="zh-CN"/>
        </w:rPr>
      </w:pPr>
      <w:r>
        <w:rPr>
          <w:rFonts w:hint="eastAsia" w:ascii="方正楷体_GBK" w:hAnsi="方正楷体_GBK" w:eastAsia="方正楷体_GBK" w:cs="方正楷体_GBK"/>
          <w:b w:val="0"/>
          <w:bCs/>
          <w:color w:val="auto"/>
          <w:sz w:val="32"/>
          <w:szCs w:val="32"/>
          <w:lang w:val="en-US" w:eastAsia="zh-CN"/>
        </w:rPr>
        <w:t>一是全面加强政治能力建设。</w:t>
      </w:r>
      <w:r>
        <w:rPr>
          <w:rFonts w:hint="eastAsia" w:ascii="仿宋_GB2312" w:hAnsi="仿宋_GB2312" w:eastAsia="仿宋_GB2312" w:cs="仿宋_GB2312"/>
          <w:b w:val="0"/>
          <w:bCs/>
          <w:color w:val="auto"/>
          <w:sz w:val="32"/>
          <w:szCs w:val="32"/>
          <w:lang w:val="en-US" w:eastAsia="zh-CN"/>
        </w:rPr>
        <w:t>落实铸牢中华民族共同体意识主线要求，以建设“四型机关”为抓手，党的政治建设引领得到有效加强。局机关党委被自治区党委评为“先进基层党组织”。严格落实党组会议“第一议题”制度，全面推行具有司法行政特色的“九学”模式，深入开展“四项教育”，累计组织各类学习37场次，集中学习教育56课时。围绕“五个基本”和“三心”工程，扎实开展坚强堡垒“模范”支部创建，1个党支部被评为自治区级坚强堡垒“模范”支部，2个党支部被评为市级坚强堡垒“示范”支部。扎实开展党纪学习教育，落实全面</w:t>
      </w:r>
      <w:bookmarkStart w:id="3" w:name="_GoBack"/>
      <w:bookmarkEnd w:id="3"/>
      <w:r>
        <w:rPr>
          <w:rFonts w:hint="eastAsia" w:ascii="仿宋_GB2312" w:hAnsi="仿宋_GB2312" w:eastAsia="仿宋_GB2312" w:cs="仿宋_GB2312"/>
          <w:b w:val="0"/>
          <w:bCs/>
          <w:color w:val="auto"/>
          <w:sz w:val="32"/>
          <w:szCs w:val="32"/>
          <w:lang w:val="en-US" w:eastAsia="zh-CN"/>
        </w:rPr>
        <w:t>从严治党主体责任和“一岗双责”，严格执行局党组班子带头下基层调研、纪委书记讲党课，重要时间节点、重大节日廉政提醒谈话等制度，推动广大党员干部自觉把铁的纪律转化为日常习惯和行为准绳。定期开展党员干部思想状况调查分析，加强网络意识形态管控，切实将意识形态主动权牢牢掌握在自己手中。深化党务公开，局党组始终把党务公开工作作为履行全面从严治党政治责任的重要内容，坚持党对司法行政工作的绝对领导，践行新时代党的建设总要求，“党务公开+司法行政”模式不断得到深化和拓展。严格执行“提出-审核-审批-实施-反馈-归档”的公开程序，按照“谁承办、谁提出”“谁公开、谁审批”“谁审批、谁负责”的要求，细化完善操作办法和公开流程。严格按照“应公开、尽公开”的原则，依法依规最大限度向党内、社会和群众公开，加大公开平台和阵地建设，通过召开会议、下发文件、定期通报、三务公开栏、党员活动室、机关局域网和设立文件查阅等形式进行党内公开。健全完善并严格执行党务公开保密审查、风险评估、信息发布、政策解读、舆论引导、应急处置等制度。截至目前，通过党务公开栏、会议通报等形式公开党务27件次。</w:t>
      </w:r>
    </w:p>
    <w:p>
      <w:pPr>
        <w:pStyle w:val="2"/>
        <w:ind w:left="0" w:leftChars="0" w:firstLine="640" w:firstLineChars="200"/>
        <w:rPr>
          <w:rFonts w:hint="eastAsia" w:ascii="仿宋_GB2312" w:hAnsi="仿宋_GB2312" w:eastAsia="仿宋_GB2312" w:cs="仿宋_GB2312"/>
          <w:b w:val="0"/>
          <w:bCs/>
          <w:color w:val="auto"/>
          <w:sz w:val="32"/>
          <w:szCs w:val="32"/>
          <w:lang w:val="en-US" w:eastAsia="zh-CN"/>
        </w:rPr>
      </w:pPr>
      <w:r>
        <w:rPr>
          <w:rFonts w:hint="eastAsia" w:ascii="方正楷体_GBK" w:hAnsi="方正楷体_GBK" w:eastAsia="方正楷体_GBK" w:cs="方正楷体_GBK"/>
          <w:b w:val="0"/>
          <w:bCs/>
          <w:color w:val="auto"/>
          <w:sz w:val="32"/>
          <w:szCs w:val="32"/>
          <w:lang w:val="en-US" w:eastAsia="zh-CN"/>
        </w:rPr>
        <w:t>二是全面提升专业能力建设水平。</w:t>
      </w:r>
      <w:r>
        <w:rPr>
          <w:rFonts w:hint="eastAsia" w:ascii="仿宋_GB2312" w:hAnsi="仿宋_GB2312" w:eastAsia="仿宋_GB2312" w:cs="仿宋_GB2312"/>
          <w:b w:val="0"/>
          <w:bCs/>
          <w:color w:val="auto"/>
          <w:sz w:val="32"/>
          <w:szCs w:val="32"/>
          <w:lang w:val="en-US" w:eastAsia="zh-CN"/>
        </w:rPr>
        <w:t>聚焦“一个统抓、五大职能”，不断提高法治素养和履职能力。持续深化依法治市实践，全面推进法治建设，构建规范高效、协调顺畅的法治建设体系，起草制定了依法治市委员会工作规则和委员会办公室工作细则。举办了“学习贯彻习近平法治思想，提高领导干部法治思维”专题培训班。推进社区矫正工作专业化、法治化建设，市局社区矫正管理科正式更名为社区矫正执法支队，为统筹协调各方资源力量参与社区矫正工作起到了积极促进作用。全面推进严格规范公正文明执法，助推法治政府建设。围绕破解基层治理“小马拉大车”突出问题和执法“没有温度”问题，积极谋划部署，确保“破解难题”大行动有序、高效推进。完成行政执法事项清单编制工作，市本级39个部门和12个旗县区共编制行政执法事项76623项，其中，市本级执法部门6514项，旗县区执法部门60961项，苏木乡镇街道9148项。着力提升行政执法队伍能力素质，积极组织本地区本系统执法业务和技能培训。年初以来，全市共组织培训568场次42259人次。按照“一地一策”组织旗县区梳理编制苏木乡镇（街道）行政执法事项清单，做到“一个苏木乡镇街道一张执法事项清单”。出台《苏木乡镇街道综合行政执法事项指导目录（2024版）》，进一步加强对苏木乡镇（街道）行政执法工作的监督指导。创新行政执法方式，指导督促行政执法部门建立和完善包容审慎“从轻”“减轻”“不予”处罚和不予行政强制措施四张清单。全面发挥合法性审查的把关作用，审查修改规范性文件、重大行政决策、合同协议及一般性文件等涉法文件93件。出台《赤峰市行政规范性文件合法性审核三项工作指引》，有效规范了全市合法性审核工作。推动法治领域务实合作，以“资源共享、责任共担、发展共赢”为目标，深化与市直有关单位的法治交流合作，先后与市直多家单位签订《法治领域建设务实合作备忘录》，努力形成法治领域建设合力。</w:t>
      </w:r>
    </w:p>
    <w:p>
      <w:pPr>
        <w:pStyle w:val="2"/>
        <w:ind w:left="0" w:leftChars="0" w:firstLine="640" w:firstLineChars="200"/>
        <w:rPr>
          <w:rFonts w:hint="eastAsia" w:ascii="仿宋_GB2312" w:hAnsi="仿宋_GB2312" w:eastAsia="仿宋_GB2312" w:cs="仿宋_GB2312"/>
          <w:b w:val="0"/>
          <w:bCs/>
          <w:color w:val="auto"/>
          <w:sz w:val="32"/>
          <w:szCs w:val="32"/>
          <w:lang w:val="en-US" w:eastAsia="zh-CN"/>
        </w:rPr>
      </w:pPr>
      <w:r>
        <w:rPr>
          <w:rFonts w:hint="eastAsia" w:ascii="方正楷体_GBK" w:hAnsi="方正楷体_GBK" w:eastAsia="方正楷体_GBK" w:cs="方正楷体_GBK"/>
          <w:b w:val="0"/>
          <w:bCs/>
          <w:color w:val="auto"/>
          <w:sz w:val="32"/>
          <w:szCs w:val="32"/>
          <w:lang w:val="en-US" w:eastAsia="zh-CN"/>
        </w:rPr>
        <w:t>三是全面提升公共法律服务供给水平。</w:t>
      </w:r>
      <w:r>
        <w:rPr>
          <w:rFonts w:hint="eastAsia" w:ascii="仿宋_GB2312" w:hAnsi="仿宋_GB2312" w:eastAsia="仿宋_GB2312" w:cs="仿宋_GB2312"/>
          <w:b w:val="0"/>
          <w:bCs/>
          <w:color w:val="auto"/>
          <w:sz w:val="32"/>
          <w:szCs w:val="32"/>
          <w:lang w:val="en-US" w:eastAsia="zh-CN"/>
        </w:rPr>
        <w:t>持续推进公共法律服务体系标准化建设，制定出台《赤峰市公共法律服务中心国家级社会管理和公共服务综合标准化试点创建工作推进方案》《赤峰市嘎查村（社区）公共法律服务工作规程》，建立村嘎查法律顾问微信群996个，覆盖率达100%。推动公证行业“高效办成一件事”，落实《“公证减证便民提速”活动方案》等具体举措。切实提高仲裁公信力，制定了《仲裁案卷评查标准（试行）》《赤峰仲裁委员会委托鉴定工作管理办法（试行）》《赤峰仲裁委员会仲裁收费办法（修订）》等规章制度，仲裁公信力大幅提升。规范司法鉴定执业行为，组织开展了司法鉴定机构诚信等级评估工作，2家司法鉴定机构被评为A级，2家评为B级。健全法律援助基础网络建设，依托乡镇司法所、机关单位等建立法律援助工作站383个，依托村居法务室、学校等建立法律援助联络点2436个。推进法律援助“市域通办”，上半年，全市累计受理“市域通办”案件164件。出台《法律援助案件质量评查规范》，在今年4月份组织的自治区法律援助案件质量评查活动中，赤峰市合格率为100%，案件质量位居自治区前列。赤峰市公共法律服务中心被司法部表彰为“全国公共法律服务工作先进集体”。加强行政复议应诉工作规范化建设，建立常态化府院联动机制，举办了首届行政复议行政审判行政检察监督同堂培训班。落实行政机关负责人出庭应诉有关要求，2024年1-10月行政机关负责人出庭应诉率为100%。加强行政复议调解和解，今年1-9月调解和解204件，调解和解率17.80%，同比2023年提高8个百分点，调解和解案件大幅上升。充分发挥行政复议监督纠错功能，今年1-9月全市两级行政复议机构审结行政复议案件707件，直接纠错案件117件，纠错率16.55%，2023年全年纠错率为21.64%，截至目前，较去年纠错率降低5个百分点。深化“八五”普法规划实施，印发2024年普法工作计划和“谁执法谁普法”普法责任清单，推动各单位落实普法责任制。开展了“美好生活·民法典相伴”等系列宣传活动，全市累计开展各类普法宣传活动4000余场次。加大“1+N”法律明白人培育力度，全市累计培养“法律明白人”7850人。高标准推动法治文化阵地（基地）“三年提升工程”，组织召开了法治文化阵地建设现场会。加强律师行业规范化建设，制定《赤峰市律师事务所规范化管理常态化检查工作方案》，开展律师违法犯罪行为同步党纪处理、行政处罚、行业处分专项行动和律师行业整顿法律服务市场秩序专项行动。</w:t>
      </w:r>
    </w:p>
    <w:p>
      <w:pPr>
        <w:pStyle w:val="2"/>
        <w:ind w:left="0" w:leftChars="0" w:firstLine="640" w:firstLineChars="200"/>
        <w:rPr>
          <w:rFonts w:hint="eastAsia" w:ascii="仿宋_GB2312" w:hAnsi="仿宋_GB2312" w:eastAsia="仿宋_GB2312" w:cs="仿宋_GB2312"/>
          <w:b w:val="0"/>
          <w:bCs/>
          <w:color w:val="auto"/>
          <w:sz w:val="32"/>
          <w:szCs w:val="32"/>
          <w:lang w:val="en-US" w:eastAsia="zh-CN"/>
        </w:rPr>
      </w:pPr>
      <w:r>
        <w:rPr>
          <w:rFonts w:hint="eastAsia" w:ascii="方正楷体_GBK" w:hAnsi="方正楷体_GBK" w:eastAsia="方正楷体_GBK" w:cs="方正楷体_GBK"/>
          <w:b w:val="0"/>
          <w:bCs/>
          <w:color w:val="auto"/>
          <w:sz w:val="32"/>
          <w:szCs w:val="32"/>
          <w:lang w:val="en-US" w:eastAsia="zh-CN"/>
        </w:rPr>
        <w:t>四是全面加强基层基础建设。</w:t>
      </w:r>
      <w:r>
        <w:rPr>
          <w:rFonts w:hint="eastAsia" w:ascii="仿宋_GB2312" w:hAnsi="仿宋_GB2312" w:eastAsia="仿宋_GB2312" w:cs="仿宋_GB2312"/>
          <w:b w:val="0"/>
          <w:bCs/>
          <w:color w:val="auto"/>
          <w:sz w:val="32"/>
          <w:szCs w:val="32"/>
          <w:lang w:val="en-US" w:eastAsia="zh-CN"/>
        </w:rPr>
        <w:t>扎实开展司法所规范化建设“三年”行动，以“七化”建设为抓手，持续推进“数字司法所”建设，经自治区司法厅评定，3个司法所被评定为示范司法所、29个司法所被评定为一级司法所，赤峰市“数字司法所”建设，入选2024年全国政法智能化建设智慧司法创新案例。强化与政法口和党委政府相关部门、单位的沟通协调，完善“四所一庭”联动机制实施，印发《关于加强基层公安派出所和司法所“两所三融”工作实施方案》，进一步整合资源，凝聚衔接联动工作合力。持续推进智慧司法建设，扎实开展智慧矫正中心创建，全面推广智慧矫正一体化管理平台及社区矫正规范化法律文书应用，积极开展“社区矫正”业务上线运行，确保社区矫正调查评估、入矫业务实现线上单轨制流转，提高了基层工作效率和科学化水平。赤峰市司法局申报的《数字化AI赋能，开创“智慧矫正”工作新篇章》获评第二届《法治时代》创新论坛“2024年社区矫正工作创新案例”。</w:t>
      </w:r>
    </w:p>
    <w:p>
      <w:pPr>
        <w:pStyle w:val="2"/>
        <w:ind w:left="0" w:leftChars="0" w:firstLine="640" w:firstLineChars="200"/>
        <w:rPr>
          <w:rFonts w:hint="eastAsia" w:ascii="仿宋_GB2312" w:hAnsi="仿宋_GB2312" w:eastAsia="仿宋_GB2312" w:cs="仿宋_GB2312"/>
          <w:b w:val="0"/>
          <w:bCs/>
          <w:color w:val="auto"/>
          <w:sz w:val="32"/>
          <w:szCs w:val="32"/>
          <w:lang w:val="en-US" w:eastAsia="zh-CN"/>
        </w:rPr>
      </w:pPr>
      <w:r>
        <w:rPr>
          <w:rFonts w:hint="eastAsia" w:ascii="方正楷体_GBK" w:hAnsi="方正楷体_GBK" w:eastAsia="方正楷体_GBK" w:cs="方正楷体_GBK"/>
          <w:b w:val="0"/>
          <w:bCs/>
          <w:color w:val="auto"/>
          <w:sz w:val="32"/>
          <w:szCs w:val="32"/>
          <w:lang w:val="en-US" w:eastAsia="zh-CN"/>
        </w:rPr>
        <w:t>五是全面提升服务中心大局能力。</w:t>
      </w:r>
      <w:r>
        <w:rPr>
          <w:rFonts w:hint="eastAsia" w:ascii="仿宋_GB2312" w:hAnsi="仿宋_GB2312" w:eastAsia="仿宋_GB2312" w:cs="仿宋_GB2312"/>
          <w:b w:val="0"/>
          <w:bCs/>
          <w:color w:val="auto"/>
          <w:sz w:val="32"/>
          <w:szCs w:val="32"/>
          <w:lang w:val="en-US" w:eastAsia="zh-CN"/>
        </w:rPr>
        <w:t>聚焦创优法治化营商环境，统筹做好诚信工程建设，牵头制定《赤峰市诚信建设工程实施方案》。开展了政府失信行为集中整治，督促办理“蒙企通”平台反映问题2件，现已办结。集中开展不平等对待企业规范性文件专项清理和涉企行政执法专项监督，梳理涉企行政执法专项监督工作问题62个，制定了整改措施，明确了整改时限。在市本级和旗县区15个重点执法领域26个执法部门创新开展了全流程“伴随式”执法监督。常态化开展“百千万”系列活动，截至目前，已累计组织指导企业依法合规经营183次、开展普法讲座57场、调处企业矛盾纠纷28个、为121家民营企业开展“法治体检”、发放推送法律政策资料1562份。探索实施了律师服务民营企业“234”工作法，精准对接为企业和市场主体提供服务。聚焦服务乡村振兴，常态化开展万名律师进乡村活动，累计开展各类法律服务917次，讲授乡村振兴法治课261场，接待法律咨询479件次。坚持主动创稳，对在册社区矫正对象和安置帮教对象进行了“十个有没有”排查活动，切实做好重要时间节点社区矫正和安置帮教维稳安保工作。推动调解工作提质增效，深入开展了“高质量调解年”矛盾纠纷排查化解专项行动。年初以来，全市人民调解组织累计排查化解各类矛盾纠纷12752件，调解成功12635件，成功率99%，涉案金额9.68亿元，有力促进了社会和谐稳定。</w:t>
      </w:r>
    </w:p>
    <w:p>
      <w:pPr>
        <w:pStyle w:val="2"/>
        <w:ind w:left="0" w:leftChars="0" w:firstLine="640" w:firstLineChars="200"/>
        <w:rPr>
          <w:rFonts w:hint="eastAsia" w:ascii="仿宋_GB2312" w:hAnsi="仿宋_GB2312" w:eastAsia="仿宋_GB2312" w:cs="仿宋_GB2312"/>
          <w:b w:val="0"/>
          <w:bCs/>
          <w:color w:val="auto"/>
          <w:sz w:val="32"/>
          <w:szCs w:val="32"/>
          <w:lang w:val="en-US" w:eastAsia="zh-CN"/>
        </w:rPr>
      </w:pPr>
      <w:r>
        <w:rPr>
          <w:rFonts w:hint="eastAsia" w:ascii="方正楷体_GBK" w:hAnsi="方正楷体_GBK" w:eastAsia="方正楷体_GBK" w:cs="方正楷体_GBK"/>
          <w:b w:val="0"/>
          <w:bCs/>
          <w:color w:val="auto"/>
          <w:sz w:val="32"/>
          <w:szCs w:val="32"/>
          <w:lang w:val="en-US" w:eastAsia="zh-CN"/>
        </w:rPr>
        <w:t>六是全面加强司法行政队伍建设。</w:t>
      </w:r>
      <w:r>
        <w:rPr>
          <w:rFonts w:hint="eastAsia" w:ascii="仿宋_GB2312" w:hAnsi="仿宋_GB2312" w:eastAsia="仿宋_GB2312" w:cs="仿宋_GB2312"/>
          <w:b w:val="0"/>
          <w:bCs/>
          <w:color w:val="auto"/>
          <w:sz w:val="32"/>
          <w:szCs w:val="32"/>
          <w:lang w:val="en-US" w:eastAsia="zh-CN"/>
        </w:rPr>
        <w:t>做深做实“大培训”活动，突出重点、借势借力，举办机关干部大讲堂5期，开展了全市司法行政系统业务演讲大比武活动。积极组织参加各类培训28个，进一步提升了干部政治理论修养和业务工作水平。</w:t>
      </w:r>
    </w:p>
    <w:p>
      <w:pPr>
        <w:pStyle w:val="2"/>
        <w:ind w:left="0" w:leftChars="0"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val="0"/>
          <w:bCs/>
          <w:color w:val="auto"/>
          <w:sz w:val="32"/>
          <w:szCs w:val="32"/>
          <w:lang w:val="en-US" w:eastAsia="zh-CN"/>
        </w:rPr>
        <w:t xml:space="preserve"> </w:t>
      </w:r>
      <w:r>
        <w:rPr>
          <w:rFonts w:hint="default" w:ascii="方正楷体_GBK" w:hAnsi="方正楷体_GBK" w:eastAsia="方正楷体_GBK" w:cs="方正楷体_GBK"/>
          <w:b w:val="0"/>
          <w:bCs/>
          <w:color w:val="auto"/>
          <w:sz w:val="32"/>
          <w:szCs w:val="32"/>
          <w:lang w:val="en" w:eastAsia="zh-CN"/>
        </w:rPr>
        <w:t>七</w:t>
      </w:r>
      <w:r>
        <w:rPr>
          <w:rFonts w:hint="eastAsia" w:ascii="方正楷体_GBK" w:hAnsi="方正楷体_GBK" w:eastAsia="方正楷体_GBK" w:cs="方正楷体_GBK"/>
          <w:b w:val="0"/>
          <w:bCs/>
          <w:color w:val="auto"/>
          <w:sz w:val="32"/>
          <w:szCs w:val="32"/>
          <w:lang w:val="en-US" w:eastAsia="zh-CN"/>
        </w:rPr>
        <w:t>是全面提升戒毒所工作质效。</w:t>
      </w:r>
      <w:r>
        <w:rPr>
          <w:rFonts w:hint="eastAsia" w:ascii="仿宋_GB2312" w:hAnsi="仿宋_GB2312" w:eastAsia="仿宋_GB2312" w:cs="仿宋_GB2312"/>
          <w:b w:val="0"/>
          <w:bCs/>
          <w:color w:val="auto"/>
          <w:sz w:val="32"/>
          <w:szCs w:val="32"/>
          <w:lang w:val="en-US" w:eastAsia="zh-CN"/>
        </w:rPr>
        <w:t>2024年，赤峰市强制隔离戒毒所党委团结带领广大民警职工，多点发力、多线作战，积极应对形势变化，主动破解发展难题，参与社区矫正工作、落实“一体两翼”推动戒毒社会化延伸、场所日常业务工作齐头并进，成效明显，充分彰显了司法行政戒毒机关新作为、新担当，展现了戒毒人民警察新形象、新素质，为平安法治赤峰建设作出了积极贡献。</w:t>
      </w:r>
    </w:p>
    <w:p>
      <w:pPr>
        <w:pStyle w:val="2"/>
        <w:rPr>
          <w:rFonts w:hint="eastAsia" w:ascii="仿宋_GB2312" w:hAnsi="仿宋_GB2312" w:eastAsia="仿宋_GB2312" w:cs="仿宋_GB2312"/>
          <w:color w:val="auto"/>
          <w:sz w:val="32"/>
          <w:szCs w:val="32"/>
          <w:lang w:eastAsia="zh-CN"/>
        </w:rPr>
      </w:pPr>
    </w:p>
    <w:p>
      <w:pPr>
        <w:pStyle w:val="2"/>
        <w:rPr>
          <w:rFonts w:hint="eastAsia" w:ascii="仿宋_GB2312" w:hAnsi="仿宋_GB2312" w:eastAsia="仿宋_GB2312" w:cs="仿宋_GB2312"/>
          <w:color w:val="auto"/>
          <w:sz w:val="32"/>
          <w:szCs w:val="32"/>
          <w:lang w:eastAsia="zh-CN"/>
        </w:rPr>
      </w:pPr>
    </w:p>
    <w:p>
      <w:pPr>
        <w:pStyle w:val="2"/>
        <w:rPr>
          <w:rFonts w:hint="eastAsia" w:ascii="仿宋_GB2312" w:hAnsi="仿宋_GB2312" w:eastAsia="仿宋_GB2312" w:cs="仿宋_GB2312"/>
          <w:color w:val="auto"/>
          <w:sz w:val="32"/>
          <w:szCs w:val="32"/>
          <w:lang w:eastAsia="zh-CN"/>
        </w:rPr>
      </w:pPr>
    </w:p>
    <w:p>
      <w:pPr>
        <w:pStyle w:val="2"/>
        <w:rPr>
          <w:rFonts w:hint="eastAsia" w:ascii="仿宋_GB2312" w:hAnsi="仿宋_GB2312" w:eastAsia="仿宋_GB2312" w:cs="仿宋_GB2312"/>
          <w:color w:val="auto"/>
          <w:sz w:val="32"/>
          <w:szCs w:val="32"/>
          <w:lang w:eastAsia="zh-CN"/>
        </w:rPr>
      </w:pPr>
    </w:p>
    <w:p>
      <w:pPr>
        <w:pStyle w:val="2"/>
        <w:ind w:left="0" w:leftChars="0" w:firstLine="0" w:firstLineChars="0"/>
        <w:rPr>
          <w:rFonts w:hint="eastAsia" w:ascii="仿宋_GB2312" w:hAnsi="仿宋_GB2312" w:eastAsia="仿宋_GB2312" w:cs="仿宋_GB2312"/>
          <w:color w:val="auto"/>
          <w:sz w:val="32"/>
          <w:szCs w:val="32"/>
          <w:lang w:eastAsia="zh-CN"/>
        </w:rPr>
      </w:pP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leftChars="0"/>
        <w:jc w:val="center"/>
        <w:textAlignment w:val="auto"/>
        <w:rPr>
          <w:rFonts w:hint="eastAsia" w:ascii="方正小标宋简体" w:hAnsi="方正小标宋简体" w:eastAsia="方正小标宋简体" w:cs="方正小标宋简体"/>
          <w:b w:val="0"/>
          <w:bCs w:val="0"/>
          <w:color w:val="auto"/>
          <w:kern w:val="0"/>
          <w:sz w:val="36"/>
          <w:szCs w:val="36"/>
        </w:rPr>
      </w:pPr>
      <w:r>
        <w:rPr>
          <w:rFonts w:hint="eastAsia" w:ascii="方正小标宋简体" w:hAnsi="方正小标宋简体" w:eastAsia="方正小标宋简体" w:cs="方正小标宋简体"/>
          <w:b w:val="0"/>
          <w:bCs w:val="0"/>
          <w:color w:val="auto"/>
          <w:kern w:val="0"/>
          <w:sz w:val="36"/>
          <w:szCs w:val="36"/>
        </w:rPr>
        <w:t>第二部分  部门决算情况说明</w:t>
      </w:r>
    </w:p>
    <w:p>
      <w:pPr>
        <w:rPr>
          <w:rFonts w:hint="eastAsia"/>
        </w:rPr>
      </w:pPr>
    </w:p>
    <w:p>
      <w:pPr>
        <w:keepNext w:val="0"/>
        <w:keepLines w:val="0"/>
        <w:pageBreakBefore w:val="0"/>
        <w:widowControl/>
        <w:numPr>
          <w:ilvl w:val="0"/>
          <w:numId w:val="2"/>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收入支出决算总体情况说明</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赤峰市司法局（部门）202</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年度收入、支出决算总计</w:t>
      </w:r>
      <w:r>
        <w:rPr>
          <w:rFonts w:hint="eastAsia" w:ascii="仿宋_GB2312" w:hAnsi="仿宋_GB2312" w:eastAsia="仿宋_GB2312" w:cs="仿宋_GB2312"/>
          <w:color w:val="auto"/>
          <w:kern w:val="0"/>
          <w:sz w:val="32"/>
          <w:szCs w:val="32"/>
          <w:lang w:val="en-US" w:eastAsia="zh-CN"/>
        </w:rPr>
        <w:t>4328.25</w:t>
      </w:r>
      <w:r>
        <w:rPr>
          <w:rFonts w:hint="eastAsia" w:ascii="仿宋_GB2312" w:hAnsi="仿宋_GB2312" w:eastAsia="仿宋_GB2312" w:cs="仿宋_GB2312"/>
          <w:color w:val="auto"/>
          <w:kern w:val="0"/>
          <w:sz w:val="32"/>
          <w:szCs w:val="32"/>
        </w:rPr>
        <w:t xml:space="preserve">万元。与年初预算相比，收、支总计各增加 </w:t>
      </w:r>
      <w:r>
        <w:rPr>
          <w:rFonts w:hint="eastAsia" w:ascii="仿宋_GB2312" w:hAnsi="仿宋_GB2312" w:eastAsia="仿宋_GB2312" w:cs="仿宋_GB2312"/>
          <w:color w:val="auto"/>
          <w:kern w:val="0"/>
          <w:sz w:val="32"/>
          <w:szCs w:val="32"/>
          <w:lang w:val="en-US" w:eastAsia="zh-CN"/>
        </w:rPr>
        <w:t>222.87</w:t>
      </w:r>
      <w:r>
        <w:rPr>
          <w:rFonts w:hint="eastAsia" w:ascii="仿宋_GB2312" w:hAnsi="仿宋_GB2312" w:eastAsia="仿宋_GB2312" w:cs="仿宋_GB2312"/>
          <w:color w:val="auto"/>
          <w:kern w:val="0"/>
          <w:sz w:val="32"/>
          <w:szCs w:val="32"/>
        </w:rPr>
        <w:t xml:space="preserve">万元，增长 </w:t>
      </w:r>
      <w:r>
        <w:rPr>
          <w:rFonts w:hint="eastAsia" w:ascii="仿宋_GB2312" w:hAnsi="仿宋_GB2312" w:eastAsia="仿宋_GB2312" w:cs="仿宋_GB2312"/>
          <w:color w:val="auto"/>
          <w:kern w:val="0"/>
          <w:sz w:val="32"/>
          <w:szCs w:val="32"/>
          <w:lang w:val="en-US" w:eastAsia="zh-CN"/>
        </w:rPr>
        <w:t>5.43</w:t>
      </w:r>
      <w:r>
        <w:rPr>
          <w:rFonts w:hint="eastAsia" w:ascii="仿宋_GB2312" w:hAnsi="仿宋_GB2312" w:eastAsia="仿宋_GB2312" w:cs="仿宋_GB2312"/>
          <w:color w:val="auto"/>
          <w:kern w:val="0"/>
          <w:sz w:val="32"/>
          <w:szCs w:val="32"/>
        </w:rPr>
        <w:t>%，变动原因：</w:t>
      </w:r>
      <w:r>
        <w:rPr>
          <w:rFonts w:hint="eastAsia" w:ascii="仿宋_GB2312" w:hAnsi="仿宋_GB2312" w:eastAsia="仿宋_GB2312" w:cs="仿宋_GB2312"/>
          <w:color w:val="auto"/>
          <w:kern w:val="0"/>
          <w:sz w:val="32"/>
          <w:szCs w:val="32"/>
          <w:lang w:eastAsia="zh-CN"/>
        </w:rPr>
        <w:t>一是</w:t>
      </w:r>
      <w:r>
        <w:rPr>
          <w:rFonts w:hint="eastAsia" w:ascii="仿宋_GB2312" w:hAnsi="仿宋_GB2312" w:eastAsia="仿宋_GB2312" w:cs="仿宋_GB2312"/>
          <w:color w:val="auto"/>
          <w:kern w:val="0"/>
          <w:sz w:val="32"/>
          <w:szCs w:val="32"/>
        </w:rPr>
        <w:t>赤峰市司法强制隔离戒毒所场所迁建工程项目由赤峰市城市建设投资（集团）有限公司拨来的土地置换款作为其他收入入账。</w:t>
      </w:r>
      <w:r>
        <w:rPr>
          <w:rFonts w:hint="eastAsia" w:ascii="仿宋_GB2312" w:hAnsi="仿宋_GB2312" w:eastAsia="仿宋_GB2312" w:cs="仿宋_GB2312"/>
          <w:color w:val="auto"/>
          <w:kern w:val="0"/>
          <w:sz w:val="32"/>
          <w:szCs w:val="32"/>
          <w:lang w:eastAsia="zh-CN"/>
        </w:rPr>
        <w:t>二是</w:t>
      </w:r>
      <w:r>
        <w:rPr>
          <w:rFonts w:hint="eastAsia" w:ascii="仿宋_GB2312" w:hAnsi="仿宋_GB2312" w:eastAsia="仿宋_GB2312" w:cs="仿宋_GB2312"/>
          <w:color w:val="auto"/>
          <w:kern w:val="0"/>
          <w:sz w:val="32"/>
          <w:szCs w:val="32"/>
        </w:rPr>
        <w:t>2024年年度收入包括</w:t>
      </w:r>
      <w:r>
        <w:rPr>
          <w:rFonts w:hint="default" w:ascii="仿宋_GB2312" w:hAnsi="仿宋_GB2312" w:eastAsia="仿宋_GB2312" w:cs="仿宋_GB2312"/>
          <w:color w:val="auto"/>
          <w:kern w:val="0"/>
          <w:sz w:val="32"/>
          <w:szCs w:val="32"/>
          <w:lang w:val="en"/>
        </w:rPr>
        <w:t>赤峰市司法局本级和赤峰市强制隔离戒毒所的</w:t>
      </w:r>
      <w:r>
        <w:rPr>
          <w:rFonts w:hint="eastAsia" w:ascii="仿宋_GB2312" w:hAnsi="仿宋_GB2312" w:eastAsia="仿宋_GB2312" w:cs="仿宋_GB2312"/>
          <w:color w:val="auto"/>
          <w:kern w:val="0"/>
          <w:sz w:val="32"/>
          <w:szCs w:val="32"/>
        </w:rPr>
        <w:t>年初结转结余。与上年决算相比，收、支总计各减少</w:t>
      </w:r>
      <w:r>
        <w:rPr>
          <w:rFonts w:hint="eastAsia" w:ascii="仿宋_GB2312" w:hAnsi="仿宋_GB2312" w:eastAsia="仿宋_GB2312" w:cs="仿宋_GB2312"/>
          <w:color w:val="auto"/>
          <w:kern w:val="0"/>
          <w:sz w:val="32"/>
          <w:szCs w:val="32"/>
          <w:lang w:val="en-US" w:eastAsia="zh-CN"/>
        </w:rPr>
        <w:t>461.39</w:t>
      </w:r>
      <w:r>
        <w:rPr>
          <w:rFonts w:hint="eastAsia" w:ascii="仿宋_GB2312" w:hAnsi="仿宋_GB2312" w:eastAsia="仿宋_GB2312" w:cs="仿宋_GB2312"/>
          <w:color w:val="auto"/>
          <w:kern w:val="0"/>
          <w:sz w:val="32"/>
          <w:szCs w:val="32"/>
        </w:rPr>
        <w:t>万元，减少</w:t>
      </w:r>
      <w:r>
        <w:rPr>
          <w:rFonts w:hint="eastAsia" w:ascii="仿宋_GB2312" w:hAnsi="仿宋_GB2312" w:eastAsia="仿宋_GB2312" w:cs="仿宋_GB2312"/>
          <w:color w:val="auto"/>
          <w:kern w:val="0"/>
          <w:sz w:val="32"/>
          <w:szCs w:val="32"/>
          <w:lang w:val="en-US" w:eastAsia="zh-CN"/>
        </w:rPr>
        <w:t>9.63</w:t>
      </w:r>
      <w:r>
        <w:rPr>
          <w:rFonts w:hint="eastAsia" w:ascii="仿宋_GB2312" w:hAnsi="仿宋_GB2312" w:eastAsia="仿宋_GB2312" w:cs="仿宋_GB2312"/>
          <w:color w:val="auto"/>
          <w:kern w:val="0"/>
          <w:sz w:val="32"/>
          <w:szCs w:val="32"/>
        </w:rPr>
        <w:t>%。其中：</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楷体" w:hAnsi="楷体" w:eastAsia="楷体" w:cs="楷体"/>
          <w:b w:val="0"/>
          <w:bCs w:val="0"/>
          <w:color w:val="auto"/>
          <w:kern w:val="0"/>
          <w:sz w:val="32"/>
          <w:szCs w:val="32"/>
        </w:rPr>
      </w:pPr>
      <w:r>
        <w:rPr>
          <w:rFonts w:hint="eastAsia" w:ascii="楷体" w:hAnsi="楷体" w:eastAsia="楷体" w:cs="楷体"/>
          <w:b w:val="0"/>
          <w:bCs w:val="0"/>
          <w:color w:val="auto"/>
          <w:kern w:val="0"/>
          <w:sz w:val="32"/>
          <w:szCs w:val="32"/>
        </w:rPr>
        <w:t xml:space="preserve">（一）收入决算总计 </w:t>
      </w:r>
      <w:r>
        <w:rPr>
          <w:rFonts w:hint="eastAsia" w:ascii="楷体" w:hAnsi="楷体" w:eastAsia="楷体" w:cs="楷体"/>
          <w:b w:val="0"/>
          <w:bCs w:val="0"/>
          <w:color w:val="auto"/>
          <w:kern w:val="0"/>
          <w:sz w:val="32"/>
          <w:szCs w:val="32"/>
          <w:lang w:val="en-US" w:eastAsia="zh-CN"/>
        </w:rPr>
        <w:t>4328.25</w:t>
      </w:r>
      <w:r>
        <w:rPr>
          <w:rFonts w:hint="eastAsia" w:ascii="楷体" w:hAnsi="楷体" w:eastAsia="楷体" w:cs="楷体"/>
          <w:b w:val="0"/>
          <w:bCs w:val="0"/>
          <w:color w:val="auto"/>
          <w:kern w:val="0"/>
          <w:sz w:val="32"/>
          <w:szCs w:val="32"/>
        </w:rPr>
        <w:t>万元。包括：</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1.</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lang w:eastAsia="zh-CN"/>
        </w:rPr>
        <w:t xml:space="preserve">本年收入决算合计 </w:t>
      </w:r>
      <w:r>
        <w:rPr>
          <w:rFonts w:hint="eastAsia" w:ascii="仿宋_GB2312" w:hAnsi="仿宋_GB2312" w:eastAsia="仿宋_GB2312" w:cs="仿宋_GB2312"/>
          <w:color w:val="auto"/>
          <w:kern w:val="0"/>
          <w:sz w:val="32"/>
          <w:szCs w:val="32"/>
          <w:lang w:val="en-US" w:eastAsia="zh-CN"/>
        </w:rPr>
        <w:t>4328.25</w:t>
      </w:r>
      <w:r>
        <w:rPr>
          <w:rFonts w:hint="eastAsia" w:ascii="仿宋_GB2312" w:hAnsi="仿宋_GB2312" w:eastAsia="仿宋_GB2312" w:cs="仿宋_GB2312"/>
          <w:color w:val="auto"/>
          <w:kern w:val="0"/>
          <w:sz w:val="32"/>
          <w:szCs w:val="32"/>
          <w:lang w:eastAsia="zh-CN"/>
        </w:rPr>
        <w:t>万元。与上年决算相比，减少</w:t>
      </w:r>
      <w:r>
        <w:rPr>
          <w:rFonts w:hint="eastAsia" w:ascii="仿宋_GB2312" w:hAnsi="仿宋_GB2312" w:eastAsia="仿宋_GB2312" w:cs="仿宋_GB2312"/>
          <w:color w:val="auto"/>
          <w:kern w:val="0"/>
          <w:sz w:val="32"/>
          <w:szCs w:val="32"/>
          <w:lang w:val="en-US" w:eastAsia="zh-CN"/>
        </w:rPr>
        <w:t>222.87</w:t>
      </w:r>
      <w:r>
        <w:rPr>
          <w:rFonts w:hint="eastAsia" w:ascii="仿宋_GB2312" w:hAnsi="仿宋_GB2312" w:eastAsia="仿宋_GB2312" w:cs="仿宋_GB2312"/>
          <w:color w:val="auto"/>
          <w:kern w:val="0"/>
          <w:sz w:val="32"/>
          <w:szCs w:val="32"/>
          <w:lang w:eastAsia="zh-CN"/>
        </w:rPr>
        <w:t>万元，减少</w:t>
      </w:r>
      <w:r>
        <w:rPr>
          <w:rFonts w:hint="eastAsia" w:ascii="仿宋_GB2312" w:hAnsi="仿宋_GB2312" w:eastAsia="仿宋_GB2312" w:cs="仿宋_GB2312"/>
          <w:color w:val="auto"/>
          <w:kern w:val="0"/>
          <w:sz w:val="32"/>
          <w:szCs w:val="32"/>
          <w:lang w:val="en-US" w:eastAsia="zh-CN"/>
        </w:rPr>
        <w:t>5.43</w:t>
      </w:r>
      <w:r>
        <w:rPr>
          <w:rFonts w:hint="eastAsia" w:ascii="仿宋_GB2312" w:hAnsi="仿宋_GB2312" w:eastAsia="仿宋_GB2312" w:cs="仿宋_GB2312"/>
          <w:color w:val="auto"/>
          <w:kern w:val="0"/>
          <w:sz w:val="32"/>
          <w:szCs w:val="32"/>
          <w:lang w:eastAsia="zh-CN"/>
        </w:rPr>
        <w:t>%，变动原因：一是赤峰市司法强制隔离戒毒所场所迁建工程项目由赤峰市城市建设投资（集团）有限公司拨来的土地置换款作为其他收入入账。二是2024年年度收入包括赤峰市司法局本级和赤峰市强制隔离戒毒所的年初结转结余。</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2.</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使用非财政拨款结余和专用结余 0.00万元。与上年决算相比，增加 0.00万元，增长</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%。变动原因：不存在此项内容</w:t>
      </w:r>
      <w:r>
        <w:rPr>
          <w:rFonts w:hint="eastAsia" w:ascii="仿宋_GB2312" w:hAnsi="仿宋_GB2312" w:eastAsia="仿宋_GB2312" w:cs="仿宋_GB2312"/>
          <w:color w:val="auto"/>
          <w:kern w:val="0"/>
          <w:sz w:val="32"/>
          <w:szCs w:val="32"/>
          <w:lang w:eastAsia="zh-CN"/>
        </w:rPr>
        <w:t>。</w:t>
      </w:r>
      <w:bookmarkStart w:id="1" w:name="OLE_LINK1"/>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 年初结转和结余 321.22万元。与上年决算相比，减少70.61万元，减少18.02%，变动原因：主要为一是赤峰市司法局（本级）本年较上年减少非公党建经费和模范机关先进单位表彰款两项其他收入；二是上一年非财政拨款中支出了赤峰市司法强制隔离戒毒所场所迁建工程项目的工程款。</w:t>
      </w:r>
      <w:bookmarkEnd w:id="1"/>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楷体" w:hAnsi="楷体" w:eastAsia="楷体" w:cs="楷体"/>
          <w:b w:val="0"/>
          <w:bCs w:val="0"/>
          <w:color w:val="auto"/>
          <w:kern w:val="0"/>
          <w:sz w:val="32"/>
          <w:szCs w:val="32"/>
        </w:rPr>
      </w:pPr>
      <w:r>
        <w:rPr>
          <w:rFonts w:hint="eastAsia" w:ascii="楷体" w:hAnsi="楷体" w:eastAsia="楷体" w:cs="楷体"/>
          <w:b w:val="0"/>
          <w:bCs w:val="0"/>
          <w:color w:val="auto"/>
          <w:kern w:val="0"/>
          <w:sz w:val="32"/>
          <w:szCs w:val="32"/>
        </w:rPr>
        <w:t>（二）支出决算总计</w:t>
      </w:r>
      <w:r>
        <w:rPr>
          <w:rFonts w:hint="eastAsia" w:ascii="楷体" w:hAnsi="楷体" w:eastAsia="楷体" w:cs="楷体"/>
          <w:b w:val="0"/>
          <w:bCs w:val="0"/>
          <w:color w:val="auto"/>
          <w:kern w:val="0"/>
          <w:sz w:val="32"/>
          <w:szCs w:val="32"/>
          <w:lang w:val="en-US" w:eastAsia="zh-CN"/>
        </w:rPr>
        <w:t>4328.25</w:t>
      </w:r>
      <w:r>
        <w:rPr>
          <w:rFonts w:hint="eastAsia" w:ascii="楷体" w:hAnsi="楷体" w:eastAsia="楷体" w:cs="楷体"/>
          <w:b w:val="0"/>
          <w:bCs w:val="0"/>
          <w:color w:val="auto"/>
          <w:kern w:val="0"/>
          <w:sz w:val="32"/>
          <w:szCs w:val="32"/>
        </w:rPr>
        <w:t>万元。包括：</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1.</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 xml:space="preserve">本年支出决算合计 </w:t>
      </w:r>
      <w:r>
        <w:rPr>
          <w:rFonts w:hint="eastAsia" w:ascii="仿宋_GB2312" w:hAnsi="仿宋_GB2312" w:eastAsia="仿宋_GB2312" w:cs="仿宋_GB2312"/>
          <w:color w:val="auto"/>
          <w:kern w:val="0"/>
          <w:sz w:val="32"/>
          <w:szCs w:val="32"/>
          <w:lang w:val="en-US" w:eastAsia="zh-CN"/>
        </w:rPr>
        <w:t>3666.16</w:t>
      </w:r>
      <w:r>
        <w:rPr>
          <w:rFonts w:hint="eastAsia" w:ascii="仿宋_GB2312" w:hAnsi="仿宋_GB2312" w:eastAsia="仿宋_GB2312" w:cs="仿宋_GB2312"/>
          <w:color w:val="auto"/>
          <w:kern w:val="0"/>
          <w:sz w:val="32"/>
          <w:szCs w:val="32"/>
        </w:rPr>
        <w:t>万元。与上年决算相比，减少</w:t>
      </w:r>
      <w:r>
        <w:rPr>
          <w:rFonts w:hint="eastAsia" w:ascii="仿宋_GB2312" w:hAnsi="仿宋_GB2312" w:eastAsia="仿宋_GB2312" w:cs="仿宋_GB2312"/>
          <w:color w:val="auto"/>
          <w:kern w:val="0"/>
          <w:sz w:val="32"/>
          <w:szCs w:val="32"/>
          <w:lang w:val="en-US" w:eastAsia="zh-CN"/>
        </w:rPr>
        <w:t>791.07</w:t>
      </w:r>
      <w:r>
        <w:rPr>
          <w:rFonts w:hint="eastAsia" w:ascii="仿宋_GB2312" w:hAnsi="仿宋_GB2312" w:eastAsia="仿宋_GB2312" w:cs="仿宋_GB2312"/>
          <w:color w:val="auto"/>
          <w:kern w:val="0"/>
          <w:sz w:val="32"/>
          <w:szCs w:val="32"/>
        </w:rPr>
        <w:t>万元，减少</w:t>
      </w:r>
      <w:r>
        <w:rPr>
          <w:rFonts w:hint="eastAsia" w:ascii="仿宋_GB2312" w:hAnsi="仿宋_GB2312" w:eastAsia="仿宋_GB2312" w:cs="仿宋_GB2312"/>
          <w:color w:val="auto"/>
          <w:kern w:val="0"/>
          <w:sz w:val="32"/>
          <w:szCs w:val="32"/>
          <w:lang w:val="en-US" w:eastAsia="zh-CN"/>
        </w:rPr>
        <w:t>17.75</w:t>
      </w:r>
      <w:r>
        <w:rPr>
          <w:rFonts w:hint="eastAsia" w:ascii="仿宋_GB2312" w:hAnsi="仿宋_GB2312" w:eastAsia="仿宋_GB2312" w:cs="仿宋_GB2312"/>
          <w:color w:val="auto"/>
          <w:kern w:val="0"/>
          <w:sz w:val="32"/>
          <w:szCs w:val="32"/>
        </w:rPr>
        <w:t>%，变动原因：</w:t>
      </w:r>
      <w:r>
        <w:rPr>
          <w:rFonts w:hint="eastAsia" w:ascii="仿宋_GB2312" w:hAnsi="仿宋_GB2312" w:eastAsia="仿宋_GB2312" w:cs="仿宋_GB2312"/>
          <w:color w:val="auto"/>
          <w:kern w:val="0"/>
          <w:sz w:val="32"/>
          <w:szCs w:val="32"/>
          <w:lang w:eastAsia="zh-CN"/>
        </w:rPr>
        <w:t>一是严格落实“过紧日子”相关工作要求，通过压缩“三公”经费，节约用水、电及办公用品，使机关运行经费等基本支出较上年有所减少；二是赤峰市司法局（本级）由于政府购买法律服务、信息化建设等项目支出尚未到合同约定支付期限，尚未完成支付，导致项目支出较上年有所减少；三是赤峰市司法强制隔离戒毒所场所迁建工程项目场所建设资金支出比去年决算减少。</w:t>
      </w:r>
      <w:r>
        <w:rPr>
          <w:rFonts w:hint="eastAsia" w:ascii="仿宋_GB2312" w:hAnsi="仿宋_GB2312" w:eastAsia="仿宋_GB2312" w:cs="仿宋_GB2312"/>
          <w:color w:val="auto"/>
          <w:kern w:val="0"/>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结余分配 0.00万元</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结余分配事项：</w:t>
      </w:r>
      <w:r>
        <w:rPr>
          <w:rFonts w:hint="eastAsia" w:ascii="仿宋_GB2312" w:hAnsi="仿宋_GB2312" w:eastAsia="仿宋_GB2312" w:cs="仿宋_GB2312"/>
          <w:color w:val="auto"/>
          <w:kern w:val="0"/>
          <w:sz w:val="32"/>
          <w:szCs w:val="32"/>
          <w:lang w:eastAsia="zh-CN"/>
        </w:rPr>
        <w:t>无</w:t>
      </w:r>
      <w:r>
        <w:rPr>
          <w:rFonts w:hint="eastAsia" w:ascii="仿宋_GB2312" w:hAnsi="仿宋_GB2312" w:eastAsia="仿宋_GB2312" w:cs="仿宋_GB2312"/>
          <w:color w:val="auto"/>
          <w:kern w:val="0"/>
          <w:sz w:val="32"/>
          <w:szCs w:val="32"/>
        </w:rPr>
        <w:t>。与上年决算相比，增加 0.00万元，增长</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%。变动原因：不存在此项内容</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3.</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 xml:space="preserve">年末结转和结余 </w:t>
      </w:r>
      <w:r>
        <w:rPr>
          <w:rFonts w:hint="eastAsia" w:ascii="仿宋_GB2312" w:hAnsi="仿宋_GB2312" w:eastAsia="仿宋_GB2312" w:cs="仿宋_GB2312"/>
          <w:color w:val="auto"/>
          <w:kern w:val="0"/>
          <w:sz w:val="32"/>
          <w:szCs w:val="32"/>
          <w:lang w:val="en-US" w:eastAsia="zh-CN"/>
        </w:rPr>
        <w:t>662.09</w:t>
      </w:r>
      <w:r>
        <w:rPr>
          <w:rFonts w:hint="eastAsia" w:ascii="仿宋_GB2312" w:hAnsi="仿宋_GB2312" w:eastAsia="仿宋_GB2312" w:cs="仿宋_GB2312"/>
          <w:color w:val="auto"/>
          <w:kern w:val="0"/>
          <w:sz w:val="32"/>
          <w:szCs w:val="32"/>
        </w:rPr>
        <w:t>万元。结转和结余事项：该结余构成为</w:t>
      </w:r>
      <w:r>
        <w:rPr>
          <w:rFonts w:hint="eastAsia" w:ascii="仿宋_GB2312" w:hAnsi="仿宋_GB2312" w:eastAsia="仿宋_GB2312" w:cs="仿宋_GB2312"/>
          <w:color w:val="auto"/>
          <w:kern w:val="0"/>
          <w:sz w:val="32"/>
          <w:szCs w:val="32"/>
          <w:lang w:eastAsia="zh-CN"/>
        </w:rPr>
        <w:t>赤峰市司法局（本级）结转</w:t>
      </w:r>
      <w:r>
        <w:rPr>
          <w:rFonts w:hint="eastAsia" w:ascii="仿宋_GB2312" w:hAnsi="仿宋_GB2312" w:eastAsia="仿宋_GB2312" w:cs="仿宋_GB2312"/>
          <w:color w:val="auto"/>
          <w:kern w:val="0"/>
          <w:sz w:val="32"/>
          <w:szCs w:val="32"/>
          <w:lang w:val="en-US" w:eastAsia="zh-CN"/>
        </w:rPr>
        <w:t>结余</w:t>
      </w:r>
      <w:r>
        <w:rPr>
          <w:rFonts w:hint="eastAsia" w:ascii="仿宋_GB2312" w:hAnsi="仿宋_GB2312" w:eastAsia="仿宋_GB2312" w:cs="仿宋_GB2312"/>
          <w:color w:val="auto"/>
          <w:kern w:val="0"/>
          <w:sz w:val="32"/>
          <w:szCs w:val="32"/>
        </w:rPr>
        <w:t>国家统一法律职业资格考试考试费、党建经费及课题资助经费</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sz w:val="32"/>
          <w:szCs w:val="32"/>
          <w:lang w:val="en-US" w:eastAsia="zh-CN"/>
        </w:rPr>
        <w:t>赤峰市强制隔离戒毒所结转结余</w:t>
      </w:r>
      <w:r>
        <w:rPr>
          <w:rFonts w:hint="eastAsia" w:ascii="仿宋_GB2312" w:hAnsi="仿宋_GB2312" w:eastAsia="仿宋_GB2312" w:cs="仿宋_GB2312"/>
          <w:color w:val="auto"/>
          <w:sz w:val="32"/>
          <w:szCs w:val="32"/>
          <w:lang w:eastAsia="zh-CN"/>
        </w:rPr>
        <w:t>原基建项目和三产倒闭等往来款项、自治区戒毒局拨入慰问金及戒毒人员调遣费生活费及场所迁建项目结转结余</w:t>
      </w:r>
      <w:r>
        <w:rPr>
          <w:rFonts w:hint="eastAsia" w:ascii="仿宋_GB2312" w:hAnsi="仿宋_GB2312" w:eastAsia="仿宋_GB2312" w:cs="仿宋_GB2312"/>
          <w:color w:val="auto"/>
          <w:kern w:val="0"/>
          <w:sz w:val="32"/>
          <w:szCs w:val="32"/>
        </w:rPr>
        <w:t>。与上年决算相比，</w:t>
      </w:r>
      <w:r>
        <w:rPr>
          <w:rFonts w:hint="eastAsia" w:ascii="仿宋_GB2312" w:hAnsi="仿宋_GB2312" w:eastAsia="仿宋_GB2312" w:cs="仿宋_GB2312"/>
          <w:color w:val="auto"/>
          <w:kern w:val="0"/>
          <w:sz w:val="32"/>
          <w:szCs w:val="32"/>
          <w:lang w:eastAsia="zh-CN"/>
        </w:rPr>
        <w:t>增加</w:t>
      </w:r>
      <w:r>
        <w:rPr>
          <w:rFonts w:hint="eastAsia" w:ascii="仿宋_GB2312" w:hAnsi="仿宋_GB2312" w:eastAsia="仿宋_GB2312" w:cs="仿宋_GB2312"/>
          <w:color w:val="auto"/>
          <w:kern w:val="0"/>
          <w:sz w:val="32"/>
          <w:szCs w:val="32"/>
          <w:lang w:val="en-US" w:eastAsia="zh-CN"/>
        </w:rPr>
        <w:t>329.67</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eastAsia="zh-CN"/>
        </w:rPr>
        <w:t>增加</w:t>
      </w:r>
      <w:r>
        <w:rPr>
          <w:rFonts w:hint="eastAsia" w:ascii="仿宋_GB2312" w:hAnsi="仿宋_GB2312" w:eastAsia="仿宋_GB2312" w:cs="仿宋_GB2312"/>
          <w:color w:val="auto"/>
          <w:kern w:val="0"/>
          <w:sz w:val="32"/>
          <w:szCs w:val="32"/>
          <w:lang w:val="en-US" w:eastAsia="zh-CN"/>
        </w:rPr>
        <w:t>99.17</w:t>
      </w:r>
      <w:r>
        <w:rPr>
          <w:rFonts w:hint="eastAsia" w:ascii="仿宋_GB2312" w:hAnsi="仿宋_GB2312" w:eastAsia="仿宋_GB2312" w:cs="仿宋_GB2312"/>
          <w:color w:val="auto"/>
          <w:kern w:val="0"/>
          <w:sz w:val="32"/>
          <w:szCs w:val="32"/>
        </w:rPr>
        <w:t>%，变动原因：</w:t>
      </w:r>
      <w:r>
        <w:rPr>
          <w:rFonts w:hint="eastAsia" w:ascii="仿宋_GB2312" w:hAnsi="仿宋_GB2312" w:eastAsia="仿宋_GB2312" w:cs="仿宋_GB2312"/>
          <w:color w:val="auto"/>
          <w:kern w:val="0"/>
          <w:sz w:val="32"/>
          <w:szCs w:val="32"/>
          <w:lang w:eastAsia="zh-CN"/>
        </w:rPr>
        <w:t>主要为</w:t>
      </w:r>
      <w:r>
        <w:rPr>
          <w:rFonts w:hint="eastAsia" w:ascii="仿宋_GB2312" w:hAnsi="仿宋_GB2312" w:eastAsia="仿宋_GB2312" w:cs="仿宋_GB2312"/>
          <w:color w:val="auto"/>
          <w:kern w:val="0"/>
          <w:sz w:val="32"/>
          <w:szCs w:val="32"/>
          <w:lang w:val="en-US" w:eastAsia="zh-CN"/>
        </w:rPr>
        <w:t>赤峰市司法强制隔离戒毒所场所迁建工程项目由赤峰市城市建设投资（集团）有限公司拨来的土地置换款作为其他收入入账的金额增加。</w:t>
      </w:r>
    </w:p>
    <w:p>
      <w:pPr>
        <w:keepNext w:val="0"/>
        <w:keepLines w:val="0"/>
        <w:pageBreakBefore w:val="0"/>
        <w:widowControl/>
        <w:kinsoku/>
        <w:wordWrap/>
        <w:overflowPunct/>
        <w:topLinePunct w:val="0"/>
        <w:autoSpaceDE/>
        <w:autoSpaceDN/>
        <w:bidi w:val="0"/>
        <w:adjustRightInd/>
        <w:snapToGrid/>
        <w:spacing w:line="580" w:lineRule="exact"/>
        <w:ind w:left="0" w:leftChars="0"/>
        <w:jc w:val="both"/>
        <w:textAlignment w:val="auto"/>
        <w:rPr>
          <w:rFonts w:hint="eastAsia" w:ascii="黑体" w:hAnsi="黑体" w:eastAsia="黑体" w:cs="黑体"/>
          <w:b w:val="0"/>
          <w:bCs w:val="0"/>
          <w:color w:val="auto"/>
          <w:kern w:val="0"/>
          <w:sz w:val="32"/>
          <w:szCs w:val="32"/>
          <w:lang w:val="en-US" w:eastAsia="zh-CN"/>
        </w:rPr>
      </w:pPr>
      <w:r>
        <w:rPr>
          <w:rFonts w:ascii="Calibri" w:hAnsi="Calibri" w:eastAsia="Calibri" w:cs="Calibri"/>
          <w:b/>
          <w:bCs/>
          <w:color w:val="auto"/>
          <w:kern w:val="0"/>
          <w:sz w:val="27"/>
          <w:szCs w:val="27"/>
        </w:rPr>
        <w:t> </w:t>
      </w:r>
      <w:r>
        <w:rPr>
          <w:rFonts w:hint="eastAsia" w:ascii="Calibri" w:hAnsi="Calibri" w:cs="Calibri"/>
          <w:b/>
          <w:bCs/>
          <w:color w:val="auto"/>
          <w:kern w:val="0"/>
          <w:sz w:val="27"/>
          <w:szCs w:val="27"/>
          <w:lang w:val="en-US" w:eastAsia="zh-CN"/>
        </w:rPr>
        <w:t xml:space="preserve">    </w:t>
      </w:r>
      <w:r>
        <w:rPr>
          <w:rFonts w:hint="eastAsia" w:ascii="黑体" w:hAnsi="黑体" w:eastAsia="黑体" w:cs="黑体"/>
          <w:b w:val="0"/>
          <w:bCs w:val="0"/>
          <w:color w:val="auto"/>
          <w:kern w:val="0"/>
          <w:sz w:val="32"/>
          <w:szCs w:val="32"/>
          <w:lang w:val="en-US" w:eastAsia="zh-CN"/>
        </w:rPr>
        <w:t>二、收入决算情况说明</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赤峰市司法局（部门） 202</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 xml:space="preserve">年度本年收入决算合计 </w:t>
      </w:r>
      <w:r>
        <w:rPr>
          <w:rFonts w:hint="eastAsia" w:ascii="仿宋_GB2312" w:hAnsi="仿宋_GB2312" w:eastAsia="仿宋_GB2312" w:cs="仿宋_GB2312"/>
          <w:color w:val="auto"/>
          <w:kern w:val="0"/>
          <w:sz w:val="32"/>
          <w:szCs w:val="32"/>
          <w:lang w:val="en-US" w:eastAsia="zh-CN"/>
        </w:rPr>
        <w:t>4007.03</w:t>
      </w:r>
      <w:r>
        <w:rPr>
          <w:rFonts w:hint="eastAsia" w:ascii="仿宋_GB2312" w:hAnsi="仿宋_GB2312" w:eastAsia="仿宋_GB2312" w:cs="仿宋_GB2312"/>
          <w:color w:val="auto"/>
          <w:kern w:val="0"/>
          <w:sz w:val="32"/>
          <w:szCs w:val="32"/>
        </w:rPr>
        <w:t>万元，其中：</w:t>
      </w:r>
    </w:p>
    <w:p>
      <w:pPr>
        <w:keepNext w:val="0"/>
        <w:keepLines w:val="0"/>
        <w:pageBreakBefore w:val="0"/>
        <w:widowControl/>
        <w:kinsoku/>
        <w:wordWrap/>
        <w:overflowPunct/>
        <w:topLinePunct w:val="0"/>
        <w:autoSpaceDE/>
        <w:autoSpaceDN/>
        <w:bidi w:val="0"/>
        <w:adjustRightInd/>
        <w:snapToGrid/>
        <w:spacing w:line="580" w:lineRule="exact"/>
        <w:ind w:left="0" w:leftChars="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本年一般公共预算财政拨款收入 </w:t>
      </w:r>
      <w:r>
        <w:rPr>
          <w:rFonts w:hint="eastAsia" w:ascii="仿宋_GB2312" w:hAnsi="仿宋_GB2312" w:eastAsia="仿宋_GB2312" w:cs="仿宋_GB2312"/>
          <w:color w:val="auto"/>
          <w:kern w:val="0"/>
          <w:sz w:val="32"/>
          <w:szCs w:val="32"/>
          <w:lang w:val="en-US" w:eastAsia="zh-CN"/>
        </w:rPr>
        <w:t>3441.03</w:t>
      </w:r>
      <w:r>
        <w:rPr>
          <w:rFonts w:hint="eastAsia" w:ascii="仿宋_GB2312" w:hAnsi="仿宋_GB2312" w:eastAsia="仿宋_GB2312" w:cs="仿宋_GB2312"/>
          <w:color w:val="auto"/>
          <w:kern w:val="0"/>
          <w:sz w:val="32"/>
          <w:szCs w:val="32"/>
        </w:rPr>
        <w:t xml:space="preserve">万元，占 </w:t>
      </w:r>
      <w:r>
        <w:rPr>
          <w:rFonts w:hint="eastAsia" w:ascii="仿宋_GB2312" w:hAnsi="仿宋_GB2312" w:eastAsia="仿宋_GB2312" w:cs="仿宋_GB2312"/>
          <w:color w:val="auto"/>
          <w:kern w:val="0"/>
          <w:sz w:val="32"/>
          <w:szCs w:val="32"/>
          <w:lang w:val="en-US" w:eastAsia="zh-CN"/>
        </w:rPr>
        <w:t>85.87</w:t>
      </w:r>
      <w:r>
        <w:rPr>
          <w:rFonts w:hint="eastAsia" w:ascii="仿宋_GB2312" w:hAnsi="仿宋_GB2312" w:eastAsia="仿宋_GB2312" w:cs="仿宋_GB2312"/>
          <w:color w:val="auto"/>
          <w:kern w:val="0"/>
          <w:sz w:val="32"/>
          <w:szCs w:val="32"/>
        </w:rPr>
        <w:t>%；</w:t>
      </w:r>
    </w:p>
    <w:p>
      <w:pPr>
        <w:keepNext w:val="0"/>
        <w:keepLines w:val="0"/>
        <w:pageBreakBefore w:val="0"/>
        <w:widowControl/>
        <w:kinsoku/>
        <w:wordWrap/>
        <w:overflowPunct/>
        <w:topLinePunct w:val="0"/>
        <w:autoSpaceDE/>
        <w:autoSpaceDN/>
        <w:bidi w:val="0"/>
        <w:adjustRightInd/>
        <w:snapToGrid/>
        <w:spacing w:line="580" w:lineRule="exact"/>
        <w:ind w:left="0" w:leftChars="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本年政府性基金预算财政拨款收入 0.00万元，占 0.00%；</w:t>
      </w:r>
    </w:p>
    <w:p>
      <w:pPr>
        <w:keepNext w:val="0"/>
        <w:keepLines w:val="0"/>
        <w:pageBreakBefore w:val="0"/>
        <w:widowControl/>
        <w:kinsoku/>
        <w:wordWrap/>
        <w:overflowPunct/>
        <w:topLinePunct w:val="0"/>
        <w:autoSpaceDE/>
        <w:autoSpaceDN/>
        <w:bidi w:val="0"/>
        <w:adjustRightInd/>
        <w:snapToGrid/>
        <w:spacing w:line="580" w:lineRule="exact"/>
        <w:ind w:left="0" w:leftChars="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本年国有资本经营预算财政拨款收入 0.00万元，占 0.00%；</w:t>
      </w:r>
    </w:p>
    <w:p>
      <w:pPr>
        <w:keepNext w:val="0"/>
        <w:keepLines w:val="0"/>
        <w:pageBreakBefore w:val="0"/>
        <w:widowControl/>
        <w:kinsoku/>
        <w:wordWrap/>
        <w:overflowPunct/>
        <w:topLinePunct w:val="0"/>
        <w:autoSpaceDE/>
        <w:autoSpaceDN/>
        <w:bidi w:val="0"/>
        <w:adjustRightInd/>
        <w:snapToGrid/>
        <w:spacing w:line="580" w:lineRule="exact"/>
        <w:ind w:left="0" w:leftChars="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本年上级补助收入 0.00万元，占 0.00%；</w:t>
      </w:r>
    </w:p>
    <w:p>
      <w:pPr>
        <w:keepNext w:val="0"/>
        <w:keepLines w:val="0"/>
        <w:pageBreakBefore w:val="0"/>
        <w:widowControl/>
        <w:kinsoku/>
        <w:wordWrap/>
        <w:overflowPunct/>
        <w:topLinePunct w:val="0"/>
        <w:autoSpaceDE/>
        <w:autoSpaceDN/>
        <w:bidi w:val="0"/>
        <w:adjustRightInd/>
        <w:snapToGrid/>
        <w:spacing w:line="580" w:lineRule="exact"/>
        <w:ind w:left="0" w:leftChars="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本年事业收入 0.00万元，占 0.00%；</w:t>
      </w:r>
    </w:p>
    <w:p>
      <w:pPr>
        <w:keepNext w:val="0"/>
        <w:keepLines w:val="0"/>
        <w:pageBreakBefore w:val="0"/>
        <w:widowControl/>
        <w:kinsoku/>
        <w:wordWrap/>
        <w:overflowPunct/>
        <w:topLinePunct w:val="0"/>
        <w:autoSpaceDE/>
        <w:autoSpaceDN/>
        <w:bidi w:val="0"/>
        <w:adjustRightInd/>
        <w:snapToGrid/>
        <w:spacing w:line="580" w:lineRule="exact"/>
        <w:ind w:left="0" w:leftChars="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本年经营收入 0.00万元，占 0.00%；</w:t>
      </w:r>
    </w:p>
    <w:p>
      <w:pPr>
        <w:keepNext w:val="0"/>
        <w:keepLines w:val="0"/>
        <w:pageBreakBefore w:val="0"/>
        <w:widowControl/>
        <w:kinsoku/>
        <w:wordWrap/>
        <w:overflowPunct/>
        <w:topLinePunct w:val="0"/>
        <w:autoSpaceDE/>
        <w:autoSpaceDN/>
        <w:bidi w:val="0"/>
        <w:adjustRightInd/>
        <w:snapToGrid/>
        <w:spacing w:line="580" w:lineRule="exact"/>
        <w:ind w:left="0" w:leftChars="0" w:firstLine="497"/>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本年附属单位上缴收入 0.00万元，占 0.00%；</w:t>
      </w:r>
    </w:p>
    <w:p>
      <w:pPr>
        <w:keepNext w:val="0"/>
        <w:keepLines w:val="0"/>
        <w:pageBreakBefore w:val="0"/>
        <w:widowControl/>
        <w:kinsoku/>
        <w:wordWrap/>
        <w:overflowPunct/>
        <w:topLinePunct w:val="0"/>
        <w:autoSpaceDE/>
        <w:autoSpaceDN/>
        <w:bidi w:val="0"/>
        <w:adjustRightInd/>
        <w:snapToGrid/>
        <w:spacing w:line="580" w:lineRule="exact"/>
        <w:ind w:left="0" w:leftChars="0" w:firstLine="497"/>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本年其他收入</w:t>
      </w:r>
      <w:r>
        <w:rPr>
          <w:rFonts w:hint="eastAsia" w:ascii="仿宋_GB2312" w:hAnsi="仿宋_GB2312" w:eastAsia="仿宋_GB2312" w:cs="仿宋_GB2312"/>
          <w:color w:val="auto"/>
          <w:kern w:val="0"/>
          <w:sz w:val="32"/>
          <w:szCs w:val="32"/>
          <w:lang w:val="en-US" w:eastAsia="zh-CN"/>
        </w:rPr>
        <w:t>566</w:t>
      </w:r>
      <w:r>
        <w:rPr>
          <w:rFonts w:hint="eastAsia" w:ascii="仿宋_GB2312" w:hAnsi="仿宋_GB2312" w:eastAsia="仿宋_GB2312" w:cs="仿宋_GB2312"/>
          <w:color w:val="auto"/>
          <w:kern w:val="0"/>
          <w:sz w:val="32"/>
          <w:szCs w:val="32"/>
        </w:rPr>
        <w:t xml:space="preserve">万元，占 </w:t>
      </w:r>
      <w:r>
        <w:rPr>
          <w:rFonts w:hint="eastAsia" w:ascii="仿宋_GB2312" w:hAnsi="仿宋_GB2312" w:eastAsia="仿宋_GB2312" w:cs="仿宋_GB2312"/>
          <w:color w:val="auto"/>
          <w:kern w:val="0"/>
          <w:sz w:val="32"/>
          <w:szCs w:val="32"/>
          <w:lang w:val="en-US" w:eastAsia="zh-CN"/>
        </w:rPr>
        <w:t>14.13</w:t>
      </w:r>
      <w:r>
        <w:rPr>
          <w:rFonts w:hint="eastAsia" w:ascii="仿宋_GB2312" w:hAnsi="仿宋_GB2312" w:eastAsia="仿宋_GB2312" w:cs="仿宋_GB2312"/>
          <w:color w:val="auto"/>
          <w:kern w:val="0"/>
          <w:sz w:val="32"/>
          <w:szCs w:val="32"/>
        </w:rPr>
        <w:t>%。</w:t>
      </w:r>
    </w:p>
    <w:p>
      <w:pPr>
        <w:pStyle w:val="2"/>
        <w:rPr>
          <w:rFonts w:hint="eastAsia" w:ascii="仿宋_GB2312" w:hAnsi="仿宋_GB2312" w:eastAsia="仿宋_GB2312" w:cs="仿宋_GB2312"/>
          <w:color w:val="auto"/>
          <w:kern w:val="0"/>
          <w:sz w:val="32"/>
          <w:szCs w:val="32"/>
        </w:rPr>
      </w:pPr>
    </w:p>
    <w:p>
      <w:pPr>
        <w:pStyle w:val="2"/>
        <w:rPr>
          <w:rFonts w:hint="eastAsia" w:ascii="仿宋_GB2312" w:hAnsi="仿宋_GB2312" w:eastAsia="仿宋_GB2312" w:cs="仿宋_GB2312"/>
          <w:color w:val="auto"/>
          <w:kern w:val="0"/>
          <w:sz w:val="32"/>
          <w:szCs w:val="32"/>
        </w:rPr>
      </w:pPr>
    </w:p>
    <w:p>
      <w:pPr>
        <w:pStyle w:val="2"/>
        <w:rPr>
          <w:rFonts w:hint="eastAsia" w:ascii="仿宋_GB2312" w:hAnsi="仿宋_GB2312" w:eastAsia="仿宋_GB2312" w:cs="仿宋_GB2312"/>
          <w:color w:val="auto"/>
          <w:kern w:val="0"/>
          <w:sz w:val="32"/>
          <w:szCs w:val="32"/>
        </w:rPr>
      </w:pPr>
    </w:p>
    <w:p>
      <w:pPr>
        <w:pStyle w:val="2"/>
        <w:rPr>
          <w:rFonts w:hint="eastAsia" w:ascii="仿宋_GB2312" w:hAnsi="仿宋_GB2312" w:eastAsia="仿宋_GB2312" w:cs="仿宋_GB2312"/>
          <w:color w:val="auto"/>
          <w:kern w:val="0"/>
          <w:sz w:val="32"/>
          <w:szCs w:val="32"/>
        </w:rPr>
      </w:pPr>
    </w:p>
    <w:p>
      <w:pPr>
        <w:pStyle w:val="2"/>
        <w:rPr>
          <w:rFonts w:hint="eastAsia" w:ascii="仿宋_GB2312" w:hAnsi="仿宋_GB2312" w:eastAsia="仿宋_GB2312" w:cs="仿宋_GB2312"/>
          <w:color w:val="auto"/>
          <w:kern w:val="0"/>
          <w:sz w:val="32"/>
          <w:szCs w:val="32"/>
        </w:rPr>
      </w:pPr>
    </w:p>
    <w:p>
      <w:pPr>
        <w:pStyle w:val="2"/>
        <w:rPr>
          <w:rFonts w:hint="eastAsia"/>
        </w:rPr>
      </w:pPr>
      <w:r>
        <w:rPr>
          <w:rFonts w:hint="eastAsia" w:ascii="fang_song_gb2312" w:hAnsi="fang_song_gb2312" w:eastAsia="fang_song_gb2312" w:cs="fang_song_gb2312"/>
          <w:color w:val="auto"/>
          <w:kern w:val="0"/>
          <w:sz w:val="27"/>
          <w:szCs w:val="27"/>
          <w:lang w:eastAsia="zh-CN"/>
        </w:rPr>
        <w:drawing>
          <wp:anchor distT="0" distB="0" distL="114300" distR="114300" simplePos="0" relativeHeight="251659264" behindDoc="0" locked="0" layoutInCell="1" allowOverlap="1">
            <wp:simplePos x="0" y="0"/>
            <wp:positionH relativeFrom="column">
              <wp:posOffset>248285</wp:posOffset>
            </wp:positionH>
            <wp:positionV relativeFrom="paragraph">
              <wp:posOffset>405765</wp:posOffset>
            </wp:positionV>
            <wp:extent cx="5080000" cy="3371850"/>
            <wp:effectExtent l="4445" t="4445" r="20955" b="14605"/>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pPr>
        <w:pStyle w:val="2"/>
        <w:ind w:left="0" w:leftChars="0" w:firstLine="0" w:firstLineChars="0"/>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keepNext w:val="0"/>
        <w:keepLines w:val="0"/>
        <w:pageBreakBefore w:val="0"/>
        <w:widowControl/>
        <w:kinsoku/>
        <w:wordWrap/>
        <w:overflowPunct/>
        <w:topLinePunct w:val="0"/>
        <w:autoSpaceDE/>
        <w:autoSpaceDN/>
        <w:bidi w:val="0"/>
        <w:adjustRightInd/>
        <w:snapToGrid/>
        <w:spacing w:line="580" w:lineRule="exact"/>
        <w:ind w:left="0" w:leftChars="0"/>
        <w:jc w:val="center"/>
        <w:textAlignment w:val="auto"/>
        <w:rPr>
          <w:rFonts w:ascii="Times New Roman" w:hAnsi="Times New Roman" w:eastAsia="Times New Roman" w:cs="Times New Roman"/>
          <w:color w:val="auto"/>
          <w:kern w:val="0"/>
          <w:sz w:val="24"/>
        </w:rPr>
      </w:pPr>
    </w:p>
    <w:p>
      <w:pPr>
        <w:keepNext w:val="0"/>
        <w:keepLines w:val="0"/>
        <w:pageBreakBefore w:val="0"/>
        <w:widowControl/>
        <w:kinsoku/>
        <w:wordWrap/>
        <w:overflowPunct/>
        <w:topLinePunct w:val="0"/>
        <w:autoSpaceDE/>
        <w:autoSpaceDN/>
        <w:bidi w:val="0"/>
        <w:adjustRightInd/>
        <w:snapToGrid/>
        <w:spacing w:line="580" w:lineRule="exact"/>
        <w:ind w:left="0" w:leftChars="0"/>
        <w:jc w:val="center"/>
        <w:textAlignment w:val="auto"/>
        <w:rPr>
          <w:rFonts w:hint="eastAsia" w:ascii="仿宋_GB2312" w:hAnsi="仿宋_GB2312" w:eastAsia="仿宋_GB2312" w:cs="仿宋_GB2312"/>
          <w:color w:val="auto"/>
          <w:kern w:val="0"/>
          <w:sz w:val="32"/>
          <w:szCs w:val="32"/>
        </w:rPr>
      </w:pPr>
    </w:p>
    <w:p>
      <w:pPr>
        <w:keepNext w:val="0"/>
        <w:keepLines w:val="0"/>
        <w:pageBreakBefore w:val="0"/>
        <w:widowControl/>
        <w:kinsoku/>
        <w:wordWrap/>
        <w:overflowPunct/>
        <w:topLinePunct w:val="0"/>
        <w:autoSpaceDE/>
        <w:autoSpaceDN/>
        <w:bidi w:val="0"/>
        <w:adjustRightInd/>
        <w:snapToGrid/>
        <w:spacing w:line="580" w:lineRule="exact"/>
        <w:ind w:left="0" w:leftChars="0"/>
        <w:jc w:val="center"/>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图1.收入决算图</w:t>
      </w:r>
    </w:p>
    <w:p>
      <w:pPr>
        <w:pStyle w:val="2"/>
        <w:rPr>
          <w:rFonts w:hint="eastAsia"/>
        </w:rPr>
      </w:pP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三、支出决算情况说明</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赤峰市司法局（部门） 202</w:t>
      </w:r>
      <w:r>
        <w:rPr>
          <w:rFonts w:hint="eastAsia" w:ascii="仿宋_GB2312" w:hAnsi="仿宋_GB2312" w:eastAsia="仿宋_GB2312" w:cs="仿宋_GB2312"/>
          <w:color w:val="auto"/>
          <w:kern w:val="0"/>
          <w:sz w:val="32"/>
          <w:szCs w:val="32"/>
          <w:u w:val="none"/>
          <w:lang w:val="en-US" w:eastAsia="zh-CN"/>
        </w:rPr>
        <w:t>4</w:t>
      </w:r>
      <w:r>
        <w:rPr>
          <w:rFonts w:hint="eastAsia" w:ascii="仿宋_GB2312" w:hAnsi="仿宋_GB2312" w:eastAsia="仿宋_GB2312" w:cs="仿宋_GB2312"/>
          <w:color w:val="auto"/>
          <w:kern w:val="0"/>
          <w:sz w:val="32"/>
          <w:szCs w:val="32"/>
          <w:u w:val="none"/>
        </w:rPr>
        <w:t xml:space="preserve">年度本年支出决算合计 </w:t>
      </w:r>
      <w:r>
        <w:rPr>
          <w:rFonts w:hint="eastAsia" w:ascii="仿宋_GB2312" w:hAnsi="仿宋_GB2312" w:eastAsia="仿宋_GB2312" w:cs="仿宋_GB2312"/>
          <w:color w:val="auto"/>
          <w:kern w:val="0"/>
          <w:sz w:val="32"/>
          <w:szCs w:val="32"/>
          <w:u w:val="none"/>
          <w:lang w:val="en-US" w:eastAsia="zh-CN"/>
        </w:rPr>
        <w:t>3666.16</w:t>
      </w:r>
      <w:r>
        <w:rPr>
          <w:rFonts w:hint="eastAsia" w:ascii="仿宋_GB2312" w:hAnsi="仿宋_GB2312" w:eastAsia="仿宋_GB2312" w:cs="仿宋_GB2312"/>
          <w:color w:val="auto"/>
          <w:kern w:val="0"/>
          <w:sz w:val="32"/>
          <w:szCs w:val="32"/>
          <w:u w:val="none"/>
        </w:rPr>
        <w:t>万元，其中：</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 xml:space="preserve">本年基本支出 </w:t>
      </w:r>
      <w:r>
        <w:rPr>
          <w:rFonts w:hint="eastAsia" w:ascii="仿宋_GB2312" w:hAnsi="仿宋_GB2312" w:eastAsia="仿宋_GB2312" w:cs="仿宋_GB2312"/>
          <w:color w:val="auto"/>
          <w:kern w:val="0"/>
          <w:sz w:val="32"/>
          <w:szCs w:val="32"/>
          <w:u w:val="none"/>
          <w:lang w:val="en-US" w:eastAsia="zh-CN"/>
        </w:rPr>
        <w:t>2809.28</w:t>
      </w:r>
      <w:r>
        <w:rPr>
          <w:rFonts w:hint="eastAsia" w:ascii="仿宋_GB2312" w:hAnsi="仿宋_GB2312" w:eastAsia="仿宋_GB2312" w:cs="仿宋_GB2312"/>
          <w:color w:val="auto"/>
          <w:kern w:val="0"/>
          <w:sz w:val="32"/>
          <w:szCs w:val="32"/>
          <w:u w:val="none"/>
        </w:rPr>
        <w:t xml:space="preserve">万元，占 </w:t>
      </w:r>
      <w:r>
        <w:rPr>
          <w:rFonts w:hint="eastAsia" w:ascii="仿宋_GB2312" w:hAnsi="仿宋_GB2312" w:eastAsia="仿宋_GB2312" w:cs="仿宋_GB2312"/>
          <w:color w:val="auto"/>
          <w:kern w:val="0"/>
          <w:sz w:val="32"/>
          <w:szCs w:val="32"/>
          <w:u w:val="none"/>
          <w:lang w:val="en-US" w:eastAsia="zh-CN"/>
        </w:rPr>
        <w:t>76.63</w:t>
      </w:r>
      <w:r>
        <w:rPr>
          <w:rFonts w:hint="eastAsia" w:ascii="仿宋_GB2312" w:hAnsi="仿宋_GB2312" w:eastAsia="仿宋_GB2312" w:cs="仿宋_GB2312"/>
          <w:color w:val="auto"/>
          <w:kern w:val="0"/>
          <w:sz w:val="32"/>
          <w:szCs w:val="32"/>
          <w:u w:val="none"/>
        </w:rPr>
        <w:t>%；</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 xml:space="preserve">本年项目支出 </w:t>
      </w:r>
      <w:r>
        <w:rPr>
          <w:rFonts w:hint="eastAsia" w:ascii="仿宋_GB2312" w:hAnsi="仿宋_GB2312" w:eastAsia="仿宋_GB2312" w:cs="仿宋_GB2312"/>
          <w:color w:val="auto"/>
          <w:kern w:val="0"/>
          <w:sz w:val="32"/>
          <w:szCs w:val="32"/>
          <w:u w:val="none"/>
          <w:lang w:val="en-US" w:eastAsia="zh-CN"/>
        </w:rPr>
        <w:t>856.88</w:t>
      </w:r>
      <w:r>
        <w:rPr>
          <w:rFonts w:hint="eastAsia" w:ascii="仿宋_GB2312" w:hAnsi="仿宋_GB2312" w:eastAsia="仿宋_GB2312" w:cs="仿宋_GB2312"/>
          <w:color w:val="auto"/>
          <w:kern w:val="0"/>
          <w:sz w:val="32"/>
          <w:szCs w:val="32"/>
          <w:u w:val="none"/>
        </w:rPr>
        <w:t>万元，占</w:t>
      </w:r>
      <w:r>
        <w:rPr>
          <w:rFonts w:hint="eastAsia" w:ascii="仿宋_GB2312" w:hAnsi="仿宋_GB2312" w:eastAsia="仿宋_GB2312" w:cs="仿宋_GB2312"/>
          <w:color w:val="auto"/>
          <w:kern w:val="0"/>
          <w:sz w:val="32"/>
          <w:szCs w:val="32"/>
          <w:u w:val="none"/>
          <w:lang w:val="en-US" w:eastAsia="zh-CN"/>
        </w:rPr>
        <w:t>23.37</w:t>
      </w:r>
      <w:r>
        <w:rPr>
          <w:rFonts w:hint="eastAsia" w:ascii="仿宋_GB2312" w:hAnsi="仿宋_GB2312" w:eastAsia="仿宋_GB2312" w:cs="仿宋_GB2312"/>
          <w:color w:val="auto"/>
          <w:kern w:val="0"/>
          <w:sz w:val="32"/>
          <w:szCs w:val="32"/>
          <w:u w:val="none"/>
        </w:rPr>
        <w:t>%；</w:t>
      </w:r>
    </w:p>
    <w:p>
      <w:pPr>
        <w:keepNext w:val="0"/>
        <w:keepLines w:val="0"/>
        <w:pageBreakBefore w:val="0"/>
        <w:widowControl/>
        <w:kinsoku/>
        <w:wordWrap/>
        <w:overflowPunct/>
        <w:topLinePunct w:val="0"/>
        <w:autoSpaceDE/>
        <w:autoSpaceDN/>
        <w:bidi w:val="0"/>
        <w:adjustRightInd/>
        <w:snapToGrid/>
        <w:spacing w:line="580" w:lineRule="exact"/>
        <w:ind w:left="0" w:leftChars="0"/>
        <w:textAlignment w:val="auto"/>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 xml:space="preserve">    </w:t>
      </w:r>
      <w:r>
        <w:rPr>
          <w:rFonts w:hint="eastAsia" w:ascii="仿宋_GB2312" w:hAnsi="仿宋_GB2312" w:eastAsia="仿宋_GB2312" w:cs="仿宋_GB2312"/>
          <w:color w:val="auto"/>
          <w:kern w:val="0"/>
          <w:sz w:val="32"/>
          <w:szCs w:val="32"/>
          <w:u w:val="none"/>
          <w:lang w:val="en-US" w:eastAsia="zh-CN"/>
        </w:rPr>
        <w:t xml:space="preserve"> </w:t>
      </w:r>
      <w:r>
        <w:rPr>
          <w:rFonts w:hint="eastAsia" w:ascii="仿宋_GB2312" w:hAnsi="仿宋_GB2312" w:eastAsia="仿宋_GB2312" w:cs="仿宋_GB2312"/>
          <w:color w:val="auto"/>
          <w:kern w:val="0"/>
          <w:sz w:val="32"/>
          <w:szCs w:val="32"/>
          <w:u w:val="none"/>
        </w:rPr>
        <w:t>本年上缴上级支出 0.00万元，占 0.00%；</w:t>
      </w:r>
    </w:p>
    <w:p>
      <w:pPr>
        <w:keepNext w:val="0"/>
        <w:keepLines w:val="0"/>
        <w:pageBreakBefore w:val="0"/>
        <w:widowControl/>
        <w:kinsoku/>
        <w:wordWrap/>
        <w:overflowPunct/>
        <w:topLinePunct w:val="0"/>
        <w:autoSpaceDE/>
        <w:autoSpaceDN/>
        <w:bidi w:val="0"/>
        <w:adjustRightInd/>
        <w:snapToGrid/>
        <w:spacing w:line="580" w:lineRule="exact"/>
        <w:ind w:left="0" w:leftChars="0"/>
        <w:textAlignment w:val="auto"/>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 xml:space="preserve">    </w:t>
      </w:r>
      <w:r>
        <w:rPr>
          <w:rFonts w:hint="eastAsia" w:ascii="仿宋_GB2312" w:hAnsi="仿宋_GB2312" w:eastAsia="仿宋_GB2312" w:cs="仿宋_GB2312"/>
          <w:color w:val="auto"/>
          <w:kern w:val="0"/>
          <w:sz w:val="32"/>
          <w:szCs w:val="32"/>
          <w:u w:val="none"/>
          <w:lang w:val="en-US" w:eastAsia="zh-CN"/>
        </w:rPr>
        <w:t xml:space="preserve"> </w:t>
      </w:r>
      <w:r>
        <w:rPr>
          <w:rFonts w:hint="eastAsia" w:ascii="仿宋_GB2312" w:hAnsi="仿宋_GB2312" w:eastAsia="仿宋_GB2312" w:cs="仿宋_GB2312"/>
          <w:color w:val="auto"/>
          <w:kern w:val="0"/>
          <w:sz w:val="32"/>
          <w:szCs w:val="32"/>
          <w:u w:val="none"/>
        </w:rPr>
        <w:t>本年经营支出 0.00万元，占 0.00%；</w:t>
      </w:r>
    </w:p>
    <w:p>
      <w:pPr>
        <w:keepNext w:val="0"/>
        <w:keepLines w:val="0"/>
        <w:pageBreakBefore w:val="0"/>
        <w:widowControl/>
        <w:kinsoku/>
        <w:wordWrap/>
        <w:overflowPunct/>
        <w:topLinePunct w:val="0"/>
        <w:autoSpaceDE/>
        <w:autoSpaceDN/>
        <w:bidi w:val="0"/>
        <w:adjustRightInd/>
        <w:snapToGrid/>
        <w:spacing w:line="580" w:lineRule="exact"/>
        <w:ind w:left="0" w:leftChars="0"/>
        <w:textAlignment w:val="auto"/>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 xml:space="preserve">    </w:t>
      </w:r>
      <w:r>
        <w:rPr>
          <w:rFonts w:hint="eastAsia" w:ascii="仿宋_GB2312" w:hAnsi="仿宋_GB2312" w:eastAsia="仿宋_GB2312" w:cs="仿宋_GB2312"/>
          <w:color w:val="auto"/>
          <w:kern w:val="0"/>
          <w:sz w:val="32"/>
          <w:szCs w:val="32"/>
          <w:u w:val="none"/>
          <w:lang w:val="en-US" w:eastAsia="zh-CN"/>
        </w:rPr>
        <w:t xml:space="preserve"> </w:t>
      </w:r>
      <w:r>
        <w:rPr>
          <w:rFonts w:hint="eastAsia" w:ascii="仿宋_GB2312" w:hAnsi="仿宋_GB2312" w:eastAsia="仿宋_GB2312" w:cs="仿宋_GB2312"/>
          <w:color w:val="auto"/>
          <w:kern w:val="0"/>
          <w:sz w:val="32"/>
          <w:szCs w:val="32"/>
          <w:u w:val="none"/>
        </w:rPr>
        <w:t>本年对附属单位补助支出 0.00万元，占 0.00%。</w:t>
      </w:r>
    </w:p>
    <w:p>
      <w:pPr>
        <w:pStyle w:val="2"/>
        <w:rPr>
          <w:rFonts w:hint="eastAsia"/>
        </w:rPr>
      </w:pPr>
    </w:p>
    <w:p>
      <w:pPr>
        <w:pStyle w:val="2"/>
        <w:rPr>
          <w:rFonts w:hint="eastAsia" w:ascii="仿宋_GB2312" w:hAnsi="仿宋_GB2312" w:eastAsia="仿宋_GB2312" w:cs="仿宋_GB2312"/>
          <w:color w:val="auto"/>
          <w:kern w:val="0"/>
          <w:sz w:val="32"/>
          <w:szCs w:val="32"/>
          <w:u w:val="none"/>
        </w:rPr>
      </w:pPr>
    </w:p>
    <w:p>
      <w:pPr>
        <w:pStyle w:val="2"/>
        <w:rPr>
          <w:rFonts w:hint="eastAsia" w:ascii="仿宋_GB2312" w:hAnsi="仿宋_GB2312" w:eastAsia="仿宋_GB2312" w:cs="仿宋_GB2312"/>
          <w:color w:val="auto"/>
          <w:kern w:val="0"/>
          <w:sz w:val="32"/>
          <w:szCs w:val="32"/>
          <w:u w:val="none"/>
        </w:rPr>
      </w:pPr>
    </w:p>
    <w:p>
      <w:pPr>
        <w:pStyle w:val="2"/>
        <w:rPr>
          <w:rFonts w:hint="eastAsia" w:ascii="仿宋_GB2312" w:hAnsi="仿宋_GB2312" w:eastAsia="仿宋_GB2312" w:cs="仿宋_GB2312"/>
          <w:color w:val="auto"/>
          <w:kern w:val="0"/>
          <w:sz w:val="32"/>
          <w:szCs w:val="32"/>
          <w:u w:val="none"/>
        </w:rPr>
      </w:pPr>
    </w:p>
    <w:p>
      <w:pPr>
        <w:pStyle w:val="2"/>
        <w:rPr>
          <w:rFonts w:hint="eastAsia" w:ascii="仿宋_GB2312" w:hAnsi="仿宋_GB2312" w:eastAsia="仿宋_GB2312" w:cs="仿宋_GB2312"/>
          <w:color w:val="auto"/>
          <w:kern w:val="0"/>
          <w:sz w:val="32"/>
          <w:szCs w:val="32"/>
          <w:u w:val="none"/>
        </w:rPr>
      </w:pPr>
    </w:p>
    <w:p>
      <w:pPr>
        <w:pStyle w:val="2"/>
        <w:rPr>
          <w:rFonts w:hint="eastAsia" w:ascii="仿宋_GB2312" w:hAnsi="仿宋_GB2312" w:eastAsia="仿宋_GB2312" w:cs="仿宋_GB2312"/>
          <w:color w:val="auto"/>
          <w:kern w:val="0"/>
          <w:sz w:val="32"/>
          <w:szCs w:val="32"/>
          <w:u w:val="none"/>
        </w:rPr>
      </w:pPr>
    </w:p>
    <w:p>
      <w:pPr>
        <w:pStyle w:val="2"/>
        <w:rPr>
          <w:rFonts w:hint="eastAsia" w:ascii="仿宋_GB2312" w:hAnsi="仿宋_GB2312" w:eastAsia="仿宋_GB2312" w:cs="仿宋_GB2312"/>
          <w:color w:val="auto"/>
          <w:kern w:val="0"/>
          <w:sz w:val="32"/>
          <w:szCs w:val="32"/>
          <w:u w:val="none"/>
        </w:rPr>
      </w:pPr>
    </w:p>
    <w:p>
      <w:pPr>
        <w:pStyle w:val="2"/>
        <w:rPr>
          <w:rFonts w:hint="eastAsia" w:ascii="仿宋_GB2312" w:hAnsi="仿宋_GB2312" w:eastAsia="仿宋_GB2312" w:cs="仿宋_GB2312"/>
          <w:color w:val="auto"/>
          <w:kern w:val="0"/>
          <w:sz w:val="32"/>
          <w:szCs w:val="32"/>
          <w:u w:val="none"/>
        </w:rPr>
      </w:pPr>
    </w:p>
    <w:p>
      <w:pPr>
        <w:keepNext w:val="0"/>
        <w:keepLines w:val="0"/>
        <w:pageBreakBefore w:val="0"/>
        <w:widowControl/>
        <w:kinsoku/>
        <w:wordWrap/>
        <w:overflowPunct/>
        <w:topLinePunct w:val="0"/>
        <w:autoSpaceDE/>
        <w:autoSpaceDN/>
        <w:bidi w:val="0"/>
        <w:adjustRightInd/>
        <w:snapToGrid/>
        <w:spacing w:line="580" w:lineRule="exact"/>
        <w:ind w:left="0" w:leftChars="0"/>
        <w:jc w:val="center"/>
        <w:textAlignment w:val="auto"/>
        <w:rPr>
          <w:rFonts w:ascii="Times New Roman" w:hAnsi="Times New Roman" w:eastAsia="Times New Roman" w:cs="Times New Roman"/>
          <w:color w:val="auto"/>
          <w:kern w:val="0"/>
          <w:sz w:val="24"/>
        </w:rPr>
      </w:pPr>
      <w:r>
        <w:rPr>
          <w:rFonts w:hint="eastAsia" w:ascii="Times New Roman" w:hAnsi="Times New Roman" w:eastAsia="宋体" w:cs="Times New Roman"/>
          <w:color w:val="auto"/>
          <w:kern w:val="0"/>
          <w:sz w:val="24"/>
          <w:lang w:eastAsia="zh-CN"/>
        </w:rPr>
        <w:drawing>
          <wp:anchor distT="0" distB="0" distL="114300" distR="114300" simplePos="0" relativeHeight="251660288" behindDoc="0" locked="0" layoutInCell="1" allowOverlap="1">
            <wp:simplePos x="0" y="0"/>
            <wp:positionH relativeFrom="column">
              <wp:posOffset>295910</wp:posOffset>
            </wp:positionH>
            <wp:positionV relativeFrom="paragraph">
              <wp:posOffset>-3358515</wp:posOffset>
            </wp:positionV>
            <wp:extent cx="5080000" cy="3629660"/>
            <wp:effectExtent l="4445" t="4445" r="20955" b="23495"/>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keepNext w:val="0"/>
        <w:keepLines w:val="0"/>
        <w:pageBreakBefore w:val="0"/>
        <w:widowControl/>
        <w:kinsoku/>
        <w:wordWrap/>
        <w:overflowPunct/>
        <w:topLinePunct w:val="0"/>
        <w:autoSpaceDE/>
        <w:autoSpaceDN/>
        <w:bidi w:val="0"/>
        <w:adjustRightInd/>
        <w:snapToGrid/>
        <w:spacing w:line="580" w:lineRule="exact"/>
        <w:ind w:left="0" w:leftChars="0"/>
        <w:jc w:val="center"/>
        <w:textAlignment w:val="auto"/>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图2.支出决算图</w:t>
      </w:r>
    </w:p>
    <w:p>
      <w:pPr>
        <w:pStyle w:val="2"/>
        <w:rPr>
          <w:rFonts w:hint="eastAsia"/>
        </w:rPr>
      </w:pP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黑体"/>
          <w:b w:val="0"/>
          <w:bCs w:val="0"/>
          <w:color w:val="auto"/>
          <w:kern w:val="0"/>
          <w:sz w:val="32"/>
          <w:szCs w:val="32"/>
        </w:rPr>
      </w:pPr>
      <w:bookmarkStart w:id="2" w:name="OLE_LINK3"/>
      <w:r>
        <w:rPr>
          <w:rFonts w:hint="eastAsia" w:ascii="黑体" w:hAnsi="黑体" w:eastAsia="黑体" w:cs="黑体"/>
          <w:b w:val="0"/>
          <w:bCs w:val="0"/>
          <w:color w:val="auto"/>
          <w:kern w:val="0"/>
          <w:sz w:val="32"/>
          <w:szCs w:val="32"/>
          <w:lang w:val="en-US" w:eastAsia="zh-CN"/>
        </w:rPr>
        <w:t>四、</w:t>
      </w:r>
      <w:r>
        <w:rPr>
          <w:rFonts w:hint="eastAsia" w:ascii="黑体" w:hAnsi="黑体" w:eastAsia="黑体" w:cs="黑体"/>
          <w:b w:val="0"/>
          <w:bCs w:val="0"/>
          <w:color w:val="auto"/>
          <w:kern w:val="0"/>
          <w:sz w:val="32"/>
          <w:szCs w:val="32"/>
        </w:rPr>
        <w:t>财政拨款收入支出决算总体情况说明</w:t>
      </w:r>
      <w:bookmarkEnd w:id="2"/>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kern w:val="0"/>
          <w:sz w:val="32"/>
          <w:szCs w:val="32"/>
          <w:u w:val="none"/>
          <w:lang w:eastAsia="zh-CN"/>
        </w:rPr>
      </w:pPr>
      <w:r>
        <w:rPr>
          <w:rFonts w:hint="eastAsia" w:ascii="仿宋_GB2312" w:hAnsi="仿宋_GB2312" w:eastAsia="仿宋_GB2312" w:cs="仿宋_GB2312"/>
          <w:color w:val="auto"/>
          <w:kern w:val="0"/>
          <w:sz w:val="32"/>
          <w:szCs w:val="32"/>
          <w:u w:val="none"/>
        </w:rPr>
        <w:t>赤峰市司法局（部门） 202</w:t>
      </w:r>
      <w:r>
        <w:rPr>
          <w:rFonts w:hint="eastAsia" w:ascii="仿宋_GB2312" w:hAnsi="仿宋_GB2312" w:eastAsia="仿宋_GB2312" w:cs="仿宋_GB2312"/>
          <w:color w:val="auto"/>
          <w:kern w:val="0"/>
          <w:sz w:val="32"/>
          <w:szCs w:val="32"/>
          <w:u w:val="none"/>
          <w:lang w:val="en-US" w:eastAsia="zh-CN"/>
        </w:rPr>
        <w:t>4</w:t>
      </w:r>
      <w:r>
        <w:rPr>
          <w:rFonts w:hint="eastAsia" w:ascii="仿宋_GB2312" w:hAnsi="仿宋_GB2312" w:eastAsia="仿宋_GB2312" w:cs="仿宋_GB2312"/>
          <w:color w:val="auto"/>
          <w:kern w:val="0"/>
          <w:sz w:val="32"/>
          <w:szCs w:val="32"/>
          <w:u w:val="none"/>
        </w:rPr>
        <w:t xml:space="preserve">年度财政拨款收入、支出决算总计 </w:t>
      </w:r>
      <w:r>
        <w:rPr>
          <w:rFonts w:hint="eastAsia" w:ascii="仿宋_GB2312" w:hAnsi="仿宋_GB2312" w:eastAsia="仿宋_GB2312" w:cs="仿宋_GB2312"/>
          <w:color w:val="auto"/>
          <w:kern w:val="0"/>
          <w:sz w:val="32"/>
          <w:szCs w:val="32"/>
          <w:u w:val="none"/>
          <w:lang w:val="en-US" w:eastAsia="zh-CN"/>
        </w:rPr>
        <w:t>3508.09</w:t>
      </w:r>
      <w:r>
        <w:rPr>
          <w:rFonts w:hint="eastAsia" w:ascii="仿宋_GB2312" w:hAnsi="仿宋_GB2312" w:eastAsia="仿宋_GB2312" w:cs="仿宋_GB2312"/>
          <w:color w:val="auto"/>
          <w:kern w:val="0"/>
          <w:sz w:val="32"/>
          <w:szCs w:val="32"/>
          <w:u w:val="none"/>
        </w:rPr>
        <w:t>万元，与年初预算相比，收、支总计各</w:t>
      </w:r>
      <w:r>
        <w:rPr>
          <w:rFonts w:hint="eastAsia" w:ascii="仿宋_GB2312" w:hAnsi="仿宋_GB2312" w:eastAsia="仿宋_GB2312" w:cs="仿宋_GB2312"/>
          <w:color w:val="auto"/>
          <w:kern w:val="0"/>
          <w:sz w:val="32"/>
          <w:szCs w:val="32"/>
          <w:u w:val="none"/>
          <w:lang w:eastAsia="zh-CN"/>
        </w:rPr>
        <w:t>减少</w:t>
      </w:r>
      <w:r>
        <w:rPr>
          <w:rFonts w:hint="eastAsia" w:ascii="仿宋_GB2312" w:hAnsi="仿宋_GB2312" w:eastAsia="仿宋_GB2312" w:cs="仿宋_GB2312"/>
          <w:color w:val="auto"/>
          <w:kern w:val="0"/>
          <w:sz w:val="32"/>
          <w:szCs w:val="32"/>
          <w:u w:val="none"/>
          <w:lang w:val="en-US" w:eastAsia="zh-CN"/>
        </w:rPr>
        <w:t>597.29</w:t>
      </w:r>
      <w:r>
        <w:rPr>
          <w:rFonts w:hint="eastAsia" w:ascii="仿宋_GB2312" w:hAnsi="仿宋_GB2312" w:eastAsia="仿宋_GB2312" w:cs="仿宋_GB2312"/>
          <w:color w:val="auto"/>
          <w:kern w:val="0"/>
          <w:sz w:val="32"/>
          <w:szCs w:val="32"/>
          <w:u w:val="none"/>
        </w:rPr>
        <w:t>万元，</w:t>
      </w:r>
      <w:r>
        <w:rPr>
          <w:rFonts w:hint="eastAsia" w:ascii="仿宋_GB2312" w:hAnsi="仿宋_GB2312" w:eastAsia="仿宋_GB2312" w:cs="仿宋_GB2312"/>
          <w:color w:val="auto"/>
          <w:kern w:val="0"/>
          <w:sz w:val="32"/>
          <w:szCs w:val="32"/>
          <w:u w:val="none"/>
          <w:lang w:eastAsia="zh-CN"/>
        </w:rPr>
        <w:t>减少</w:t>
      </w:r>
      <w:r>
        <w:rPr>
          <w:rFonts w:hint="eastAsia" w:ascii="仿宋_GB2312" w:hAnsi="仿宋_GB2312" w:eastAsia="仿宋_GB2312" w:cs="仿宋_GB2312"/>
          <w:color w:val="auto"/>
          <w:kern w:val="0"/>
          <w:sz w:val="32"/>
          <w:szCs w:val="32"/>
          <w:u w:val="none"/>
          <w:lang w:val="en-US" w:eastAsia="zh-CN"/>
        </w:rPr>
        <w:t>14.55</w:t>
      </w:r>
      <w:r>
        <w:rPr>
          <w:rFonts w:hint="eastAsia" w:ascii="仿宋_GB2312" w:hAnsi="仿宋_GB2312" w:eastAsia="仿宋_GB2312" w:cs="仿宋_GB2312"/>
          <w:color w:val="auto"/>
          <w:kern w:val="0"/>
          <w:sz w:val="32"/>
          <w:szCs w:val="32"/>
          <w:u w:val="none"/>
        </w:rPr>
        <w:t>%，变动原因</w:t>
      </w:r>
      <w:r>
        <w:rPr>
          <w:rFonts w:hint="eastAsia" w:ascii="仿宋_GB2312" w:hAnsi="仿宋_GB2312" w:eastAsia="仿宋_GB2312" w:cs="仿宋_GB2312"/>
          <w:color w:val="auto"/>
          <w:kern w:val="0"/>
          <w:sz w:val="32"/>
          <w:szCs w:val="32"/>
          <w:u w:val="none"/>
          <w:lang w:eastAsia="zh-CN"/>
        </w:rPr>
        <w:t>主要为</w:t>
      </w:r>
      <w:r>
        <w:rPr>
          <w:rFonts w:hint="eastAsia" w:ascii="仿宋_GB2312" w:hAnsi="仿宋_GB2312" w:eastAsia="仿宋_GB2312" w:cs="仿宋_GB2312"/>
          <w:color w:val="auto"/>
          <w:kern w:val="0"/>
          <w:sz w:val="32"/>
          <w:szCs w:val="32"/>
          <w:u w:val="none"/>
        </w:rPr>
        <w:t>：一是严格落实“过紧日子”相关工作要求，通过压缩“三公”经费，节约用水用电</w:t>
      </w:r>
      <w:r>
        <w:rPr>
          <w:rFonts w:hint="eastAsia" w:ascii="仿宋_GB2312" w:hAnsi="仿宋_GB2312" w:eastAsia="仿宋_GB2312" w:cs="仿宋_GB2312"/>
          <w:color w:val="auto"/>
          <w:kern w:val="0"/>
          <w:sz w:val="32"/>
          <w:szCs w:val="32"/>
          <w:u w:val="none"/>
          <w:lang w:eastAsia="zh-CN"/>
        </w:rPr>
        <w:t>及节约</w:t>
      </w:r>
      <w:r>
        <w:rPr>
          <w:rFonts w:hint="eastAsia" w:ascii="仿宋_GB2312" w:hAnsi="仿宋_GB2312" w:eastAsia="仿宋_GB2312" w:cs="仿宋_GB2312"/>
          <w:color w:val="auto"/>
          <w:kern w:val="0"/>
          <w:sz w:val="32"/>
          <w:szCs w:val="32"/>
          <w:u w:val="none"/>
        </w:rPr>
        <w:t>办公用品</w:t>
      </w:r>
      <w:r>
        <w:rPr>
          <w:rFonts w:hint="eastAsia" w:ascii="仿宋_GB2312" w:hAnsi="仿宋_GB2312" w:eastAsia="仿宋_GB2312" w:cs="仿宋_GB2312"/>
          <w:color w:val="auto"/>
          <w:kern w:val="0"/>
          <w:sz w:val="32"/>
          <w:szCs w:val="32"/>
          <w:u w:val="none"/>
          <w:lang w:eastAsia="zh-CN"/>
        </w:rPr>
        <w:t>等方式</w:t>
      </w:r>
      <w:r>
        <w:rPr>
          <w:rFonts w:hint="eastAsia" w:ascii="仿宋_GB2312" w:hAnsi="仿宋_GB2312" w:eastAsia="仿宋_GB2312" w:cs="仿宋_GB2312"/>
          <w:color w:val="auto"/>
          <w:kern w:val="0"/>
          <w:sz w:val="32"/>
          <w:szCs w:val="32"/>
          <w:u w:val="none"/>
        </w:rPr>
        <w:t>，使机关运行经费等基本支出较年初预算有所减少；二是</w:t>
      </w:r>
      <w:r>
        <w:rPr>
          <w:rFonts w:hint="eastAsia" w:ascii="仿宋_GB2312" w:hAnsi="仿宋_GB2312" w:eastAsia="仿宋_GB2312" w:cs="仿宋_GB2312"/>
          <w:color w:val="auto"/>
          <w:kern w:val="0"/>
          <w:sz w:val="32"/>
          <w:szCs w:val="32"/>
          <w:u w:val="none"/>
          <w:lang w:eastAsia="zh-CN"/>
        </w:rPr>
        <w:t>赤峰市司法局（本级）</w:t>
      </w:r>
      <w:r>
        <w:rPr>
          <w:rFonts w:hint="eastAsia" w:ascii="仿宋_GB2312" w:hAnsi="仿宋_GB2312" w:eastAsia="仿宋_GB2312" w:cs="仿宋_GB2312"/>
          <w:color w:val="auto"/>
          <w:kern w:val="0"/>
          <w:sz w:val="32"/>
          <w:szCs w:val="32"/>
          <w:u w:val="none"/>
        </w:rPr>
        <w:t>由于政府购买法律服务、信息化建设等项目支出尚未到合同约定支付期限，尚未完成支付，导致项目支出较年初预算有所减少</w:t>
      </w:r>
      <w:r>
        <w:rPr>
          <w:rFonts w:hint="eastAsia" w:ascii="仿宋_GB2312" w:hAnsi="仿宋_GB2312" w:eastAsia="仿宋_GB2312" w:cs="仿宋_GB2312"/>
          <w:color w:val="auto"/>
          <w:kern w:val="0"/>
          <w:sz w:val="32"/>
          <w:szCs w:val="32"/>
          <w:u w:val="none"/>
          <w:lang w:eastAsia="zh-CN"/>
        </w:rPr>
        <w:t>；三是赤峰市强制隔离戒毒所</w:t>
      </w:r>
      <w:r>
        <w:rPr>
          <w:rFonts w:hint="eastAsia" w:ascii="仿宋_GB2312" w:hAnsi="仿宋_GB2312" w:eastAsia="仿宋_GB2312" w:cs="仿宋_GB2312"/>
          <w:color w:val="auto"/>
          <w:kern w:val="0"/>
          <w:sz w:val="32"/>
          <w:szCs w:val="32"/>
          <w:u w:val="none"/>
        </w:rPr>
        <w:t>由于工作模式的变更年初预算下达的被监管人员给养费在本年未支出</w:t>
      </w:r>
      <w:r>
        <w:rPr>
          <w:rFonts w:hint="eastAsia" w:ascii="仿宋_GB2312" w:hAnsi="仿宋_GB2312" w:eastAsia="仿宋_GB2312" w:cs="仿宋_GB2312"/>
          <w:color w:val="auto"/>
          <w:kern w:val="0"/>
          <w:sz w:val="32"/>
          <w:szCs w:val="32"/>
          <w:u w:val="none"/>
          <w:lang w:eastAsia="zh-CN"/>
        </w:rPr>
        <w:t>；四是赤峰市强制隔离戒毒所</w:t>
      </w:r>
      <w:r>
        <w:rPr>
          <w:rFonts w:hint="eastAsia" w:ascii="仿宋_GB2312" w:hAnsi="仿宋_GB2312" w:eastAsia="仿宋_GB2312" w:cs="仿宋_GB2312"/>
          <w:color w:val="auto"/>
          <w:kern w:val="0"/>
          <w:sz w:val="32"/>
          <w:szCs w:val="32"/>
          <w:u w:val="none"/>
        </w:rPr>
        <w:t>援疆补助费在本年未完全支出</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与上年决算相比，收、支总计各</w:t>
      </w:r>
      <w:r>
        <w:rPr>
          <w:rFonts w:hint="eastAsia" w:ascii="仿宋_GB2312" w:hAnsi="仿宋_GB2312" w:eastAsia="仿宋_GB2312" w:cs="仿宋_GB2312"/>
          <w:color w:val="auto"/>
          <w:kern w:val="0"/>
          <w:sz w:val="32"/>
          <w:szCs w:val="32"/>
          <w:u w:val="none"/>
          <w:lang w:eastAsia="zh-CN"/>
        </w:rPr>
        <w:t>减少</w:t>
      </w:r>
      <w:r>
        <w:rPr>
          <w:rFonts w:hint="eastAsia" w:ascii="仿宋_GB2312" w:hAnsi="仿宋_GB2312" w:eastAsia="仿宋_GB2312" w:cs="仿宋_GB2312"/>
          <w:color w:val="auto"/>
          <w:kern w:val="0"/>
          <w:sz w:val="32"/>
          <w:szCs w:val="32"/>
          <w:u w:val="none"/>
          <w:lang w:val="en-US" w:eastAsia="zh-CN"/>
        </w:rPr>
        <w:t>395.46</w:t>
      </w:r>
      <w:r>
        <w:rPr>
          <w:rFonts w:hint="eastAsia" w:ascii="仿宋_GB2312" w:hAnsi="仿宋_GB2312" w:eastAsia="仿宋_GB2312" w:cs="仿宋_GB2312"/>
          <w:color w:val="auto"/>
          <w:kern w:val="0"/>
          <w:sz w:val="32"/>
          <w:szCs w:val="32"/>
          <w:u w:val="none"/>
        </w:rPr>
        <w:t>万元，</w:t>
      </w:r>
      <w:r>
        <w:rPr>
          <w:rFonts w:hint="eastAsia" w:ascii="仿宋_GB2312" w:hAnsi="仿宋_GB2312" w:eastAsia="仿宋_GB2312" w:cs="仿宋_GB2312"/>
          <w:color w:val="auto"/>
          <w:kern w:val="0"/>
          <w:sz w:val="32"/>
          <w:szCs w:val="32"/>
          <w:u w:val="none"/>
          <w:lang w:eastAsia="zh-CN"/>
        </w:rPr>
        <w:t>减少</w:t>
      </w:r>
      <w:r>
        <w:rPr>
          <w:rFonts w:hint="eastAsia" w:ascii="仿宋_GB2312" w:hAnsi="仿宋_GB2312" w:eastAsia="仿宋_GB2312" w:cs="仿宋_GB2312"/>
          <w:color w:val="auto"/>
          <w:kern w:val="0"/>
          <w:sz w:val="32"/>
          <w:szCs w:val="32"/>
          <w:u w:val="none"/>
          <w:lang w:val="en-US" w:eastAsia="zh-CN"/>
        </w:rPr>
        <w:t>10.13</w:t>
      </w:r>
      <w:r>
        <w:rPr>
          <w:rFonts w:hint="eastAsia" w:ascii="仿宋_GB2312" w:hAnsi="仿宋_GB2312" w:eastAsia="仿宋_GB2312" w:cs="仿宋_GB2312"/>
          <w:color w:val="auto"/>
          <w:kern w:val="0"/>
          <w:sz w:val="32"/>
          <w:szCs w:val="32"/>
          <w:u w:val="none"/>
        </w:rPr>
        <w:t>%，变动原因主要为</w:t>
      </w:r>
      <w:r>
        <w:rPr>
          <w:rFonts w:hint="eastAsia" w:ascii="仿宋_GB2312" w:hAnsi="仿宋_GB2312" w:eastAsia="仿宋_GB2312" w:cs="仿宋_GB2312"/>
          <w:color w:val="auto"/>
          <w:kern w:val="0"/>
          <w:sz w:val="32"/>
          <w:szCs w:val="32"/>
          <w:u w:val="none"/>
          <w:lang w:eastAsia="zh-CN"/>
        </w:rPr>
        <w:t>：一是严格落实“过紧日子”相关工作要求，通过压缩“三公”经费，节约用水用电及节约办公用品等方式，使机关运行经费等基本支出较上年有所减少；二是由于赤峰市司法局（本级）政府购买法律服务、信息化建设等项目支出尚未到合同约定支付期限，尚未完成支付，导致项目支出较上年有所减少；三是赤峰市强制隔离戒毒所因为本年度在职人数较上年减少，人员经费较上年有所减少。</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五、一般公共预算财政拨款支出决算情况说明</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赤峰市司法局（部门） 202</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 xml:space="preserve">年度一般公共预算财政拨款支出决算 </w:t>
      </w:r>
      <w:r>
        <w:rPr>
          <w:rFonts w:hint="eastAsia" w:ascii="仿宋_GB2312" w:hAnsi="仿宋_GB2312" w:eastAsia="仿宋_GB2312" w:cs="仿宋_GB2312"/>
          <w:color w:val="auto"/>
          <w:kern w:val="0"/>
          <w:sz w:val="32"/>
          <w:szCs w:val="32"/>
          <w:lang w:val="en-US" w:eastAsia="zh-CN"/>
        </w:rPr>
        <w:t>3441.04</w:t>
      </w:r>
      <w:r>
        <w:rPr>
          <w:rFonts w:hint="eastAsia" w:ascii="仿宋_GB2312" w:hAnsi="仿宋_GB2312" w:eastAsia="仿宋_GB2312" w:cs="仿宋_GB2312"/>
          <w:color w:val="auto"/>
          <w:kern w:val="0"/>
          <w:sz w:val="32"/>
          <w:szCs w:val="32"/>
        </w:rPr>
        <w:t xml:space="preserve">万元。与年初预算 </w:t>
      </w:r>
      <w:r>
        <w:rPr>
          <w:rFonts w:hint="eastAsia" w:ascii="仿宋_GB2312" w:hAnsi="仿宋_GB2312" w:eastAsia="仿宋_GB2312" w:cs="仿宋_GB2312"/>
          <w:color w:val="auto"/>
          <w:kern w:val="0"/>
          <w:sz w:val="32"/>
          <w:szCs w:val="32"/>
          <w:lang w:val="en-US" w:eastAsia="zh-CN"/>
        </w:rPr>
        <w:t>4105.38</w:t>
      </w:r>
      <w:r>
        <w:rPr>
          <w:rFonts w:hint="eastAsia" w:ascii="仿宋_GB2312" w:hAnsi="仿宋_GB2312" w:eastAsia="仿宋_GB2312" w:cs="仿宋_GB2312"/>
          <w:color w:val="auto"/>
          <w:kern w:val="0"/>
          <w:sz w:val="32"/>
          <w:szCs w:val="32"/>
        </w:rPr>
        <w:t>万元相比，完成年初预算的</w:t>
      </w:r>
      <w:r>
        <w:rPr>
          <w:rFonts w:hint="eastAsia" w:ascii="仿宋_GB2312" w:hAnsi="仿宋_GB2312" w:eastAsia="仿宋_GB2312" w:cs="仿宋_GB2312"/>
          <w:color w:val="auto"/>
          <w:kern w:val="0"/>
          <w:sz w:val="32"/>
          <w:szCs w:val="32"/>
          <w:lang w:val="en-US" w:eastAsia="zh-CN"/>
        </w:rPr>
        <w:t>83.82</w:t>
      </w:r>
      <w:r>
        <w:rPr>
          <w:rFonts w:hint="eastAsia" w:ascii="仿宋_GB2312" w:hAnsi="仿宋_GB2312" w:eastAsia="仿宋_GB2312" w:cs="仿宋_GB2312"/>
          <w:color w:val="auto"/>
          <w:kern w:val="0"/>
          <w:sz w:val="32"/>
          <w:szCs w:val="32"/>
        </w:rPr>
        <w:t>%。其中：</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楷体" w:hAnsi="楷体" w:eastAsia="楷体" w:cs="楷体"/>
          <w:b w:val="0"/>
          <w:bCs w:val="0"/>
          <w:color w:val="auto"/>
          <w:kern w:val="0"/>
          <w:sz w:val="32"/>
          <w:szCs w:val="32"/>
        </w:rPr>
      </w:pPr>
      <w:r>
        <w:rPr>
          <w:rFonts w:hint="eastAsia" w:ascii="楷体" w:hAnsi="楷体" w:eastAsia="楷体" w:cs="楷体"/>
          <w:b w:val="0"/>
          <w:bCs w:val="0"/>
          <w:color w:val="auto"/>
          <w:kern w:val="0"/>
          <w:sz w:val="32"/>
          <w:szCs w:val="32"/>
        </w:rPr>
        <w:t>（一）一般公共服务（类）</w:t>
      </w:r>
    </w:p>
    <w:p>
      <w:pPr>
        <w:keepNext w:val="0"/>
        <w:keepLines w:val="0"/>
        <w:pageBreakBefore w:val="0"/>
        <w:widowControl/>
        <w:kinsoku/>
        <w:wordWrap/>
        <w:overflowPunct/>
        <w:topLinePunct w:val="0"/>
        <w:autoSpaceDE/>
        <w:autoSpaceDN/>
        <w:bidi w:val="0"/>
        <w:adjustRightInd/>
        <w:snapToGrid/>
        <w:spacing w:line="580" w:lineRule="exact"/>
        <w:ind w:left="0" w:leftChars="0"/>
        <w:jc w:val="both"/>
        <w:textAlignment w:val="auto"/>
        <w:rPr>
          <w:rFonts w:hint="eastAsia" w:ascii="仿宋_GB2312" w:hAnsi="仿宋_GB2312" w:eastAsia="仿宋_GB2312" w:cs="仿宋_GB2312"/>
          <w:color w:val="auto"/>
          <w:kern w:val="0"/>
          <w:sz w:val="32"/>
          <w:szCs w:val="32"/>
          <w:lang w:val="en-US" w:eastAsia="zh-CN"/>
        </w:rPr>
      </w:pPr>
      <w:r>
        <w:rPr>
          <w:rFonts w:ascii="fang_song_gb2312" w:hAnsi="fang_song_gb2312" w:eastAsia="fang_song_gb2312" w:cs="fang_song_gb2312"/>
          <w:color w:val="auto"/>
          <w:kern w:val="0"/>
          <w:sz w:val="27"/>
          <w:szCs w:val="27"/>
        </w:rPr>
        <w:t> </w:t>
      </w:r>
      <w:r>
        <w:rPr>
          <w:rFonts w:hint="eastAsia" w:ascii="fang_song_gb2312" w:hAnsi="fang_song_gb2312" w:eastAsia="fang_song_gb2312" w:cs="fang_song_gb2312"/>
          <w:color w:val="auto"/>
          <w:kern w:val="0"/>
          <w:sz w:val="27"/>
          <w:szCs w:val="27"/>
          <w:lang w:val="en-US" w:eastAsia="zh-CN"/>
        </w:rPr>
        <w:t xml:space="preserve">    </w:t>
      </w:r>
      <w:r>
        <w:rPr>
          <w:rFonts w:hint="eastAsia" w:ascii="仿宋_GB2312" w:hAnsi="仿宋_GB2312" w:eastAsia="仿宋_GB2312" w:cs="仿宋_GB2312"/>
          <w:color w:val="auto"/>
          <w:kern w:val="0"/>
          <w:sz w:val="32"/>
          <w:szCs w:val="32"/>
          <w:lang w:val="en-US" w:eastAsia="zh-CN"/>
        </w:rPr>
        <w:t>一般公共服务类决算数为 52.75万元，与年初预算相比减少3.59万元。其中：</w:t>
      </w:r>
    </w:p>
    <w:p>
      <w:pPr>
        <w:keepNext w:val="0"/>
        <w:keepLines w:val="0"/>
        <w:pageBreakBefore w:val="0"/>
        <w:widowControl/>
        <w:numPr>
          <w:ilvl w:val="0"/>
          <w:numId w:val="3"/>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其他共产党事务支出（款）其他共产党事务支出（项）。年初预算3.83万元，支出决算3.83万元。决算数与年初预算数无差异。</w:t>
      </w:r>
    </w:p>
    <w:p>
      <w:pPr>
        <w:keepNext w:val="0"/>
        <w:keepLines w:val="0"/>
        <w:pageBreakBefore w:val="0"/>
        <w:widowControl/>
        <w:numPr>
          <w:ilvl w:val="0"/>
          <w:numId w:val="3"/>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楷体" w:hAnsi="楷体" w:eastAsia="楷体" w:cs="楷体"/>
          <w:b w:val="0"/>
          <w:bCs w:val="0"/>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其他一般公共服务支出（款）其他一般公共服务支出（项）。年初预算</w:t>
      </w:r>
      <w:r>
        <w:rPr>
          <w:rFonts w:hint="default" w:ascii="仿宋_GB2312" w:hAnsi="仿宋_GB2312" w:eastAsia="仿宋_GB2312" w:cs="仿宋_GB2312"/>
          <w:color w:val="auto"/>
          <w:kern w:val="0"/>
          <w:sz w:val="32"/>
          <w:szCs w:val="32"/>
          <w:highlight w:val="none"/>
          <w:lang w:val="en" w:eastAsia="zh-CN"/>
        </w:rPr>
        <w:t>52.51</w:t>
      </w:r>
      <w:r>
        <w:rPr>
          <w:rFonts w:hint="eastAsia" w:ascii="仿宋_GB2312" w:hAnsi="仿宋_GB2312" w:eastAsia="仿宋_GB2312" w:cs="仿宋_GB2312"/>
          <w:color w:val="auto"/>
          <w:kern w:val="0"/>
          <w:sz w:val="32"/>
          <w:szCs w:val="32"/>
          <w:highlight w:val="none"/>
          <w:lang w:val="en-US" w:eastAsia="zh-CN"/>
        </w:rPr>
        <w:t>万元，支出决算</w:t>
      </w:r>
      <w:r>
        <w:rPr>
          <w:rFonts w:hint="default" w:ascii="仿宋_GB2312" w:hAnsi="仿宋_GB2312" w:eastAsia="仿宋_GB2312" w:cs="仿宋_GB2312"/>
          <w:color w:val="auto"/>
          <w:kern w:val="0"/>
          <w:sz w:val="32"/>
          <w:szCs w:val="32"/>
          <w:highlight w:val="none"/>
          <w:lang w:val="en" w:eastAsia="zh-CN"/>
        </w:rPr>
        <w:t>48.92</w:t>
      </w:r>
      <w:r>
        <w:rPr>
          <w:rFonts w:hint="eastAsia" w:ascii="仿宋_GB2312" w:hAnsi="仿宋_GB2312" w:eastAsia="仿宋_GB2312" w:cs="仿宋_GB2312"/>
          <w:color w:val="auto"/>
          <w:kern w:val="0"/>
          <w:sz w:val="32"/>
          <w:szCs w:val="32"/>
          <w:highlight w:val="none"/>
          <w:lang w:val="en-US" w:eastAsia="zh-CN"/>
        </w:rPr>
        <w:t>万元。决算数与年初预算数的差异原因：赤峰市强制隔离戒毒所本年信创资金购买30台电脑未全额支出。</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楷体" w:hAnsi="楷体" w:eastAsia="楷体" w:cs="楷体"/>
          <w:b w:val="0"/>
          <w:bCs w:val="0"/>
          <w:color w:val="auto"/>
          <w:kern w:val="0"/>
          <w:sz w:val="32"/>
          <w:szCs w:val="32"/>
        </w:rPr>
      </w:pPr>
      <w:r>
        <w:rPr>
          <w:rFonts w:hint="eastAsia" w:ascii="楷体" w:hAnsi="楷体" w:eastAsia="楷体" w:cs="楷体"/>
          <w:b w:val="0"/>
          <w:bCs w:val="0"/>
          <w:color w:val="auto"/>
          <w:kern w:val="0"/>
          <w:sz w:val="32"/>
          <w:szCs w:val="32"/>
        </w:rPr>
        <w:t>（二）公共安全（类）</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公共安全类决算数为</w:t>
      </w:r>
      <w:r>
        <w:rPr>
          <w:rFonts w:hint="eastAsia" w:ascii="仿宋_GB2312" w:hAnsi="仿宋_GB2312" w:eastAsia="仿宋_GB2312" w:cs="仿宋_GB2312"/>
          <w:color w:val="auto"/>
          <w:kern w:val="0"/>
          <w:sz w:val="32"/>
          <w:szCs w:val="32"/>
          <w:lang w:val="en-US" w:eastAsia="zh-CN"/>
        </w:rPr>
        <w:t>2631.87</w:t>
      </w:r>
      <w:r>
        <w:rPr>
          <w:rFonts w:hint="eastAsia" w:ascii="仿宋_GB2312" w:hAnsi="仿宋_GB2312" w:eastAsia="仿宋_GB2312" w:cs="仿宋_GB2312"/>
          <w:color w:val="auto"/>
          <w:kern w:val="0"/>
          <w:sz w:val="32"/>
          <w:szCs w:val="32"/>
        </w:rPr>
        <w:t>万元，与年初预算相比减少</w:t>
      </w:r>
      <w:r>
        <w:rPr>
          <w:rFonts w:hint="eastAsia" w:ascii="仿宋_GB2312" w:hAnsi="仿宋_GB2312" w:eastAsia="仿宋_GB2312" w:cs="仿宋_GB2312"/>
          <w:color w:val="auto"/>
          <w:kern w:val="0"/>
          <w:sz w:val="32"/>
          <w:szCs w:val="32"/>
          <w:lang w:val="en-US" w:eastAsia="zh-CN"/>
        </w:rPr>
        <w:t>696.29</w:t>
      </w:r>
      <w:r>
        <w:rPr>
          <w:rFonts w:hint="eastAsia" w:ascii="仿宋_GB2312" w:hAnsi="仿宋_GB2312" w:eastAsia="仿宋_GB2312" w:cs="仿宋_GB2312"/>
          <w:color w:val="auto"/>
          <w:kern w:val="0"/>
          <w:sz w:val="32"/>
          <w:szCs w:val="32"/>
        </w:rPr>
        <w:t>万元。其中：</w:t>
      </w:r>
    </w:p>
    <w:p>
      <w:pPr>
        <w:keepNext w:val="0"/>
        <w:keepLines w:val="0"/>
        <w:pageBreakBefore w:val="0"/>
        <w:widowControl/>
        <w:numPr>
          <w:ilvl w:val="0"/>
          <w:numId w:val="4"/>
        </w:numP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eastAsia="zh-CN"/>
        </w:rPr>
        <w:t>司法</w:t>
      </w:r>
      <w:r>
        <w:rPr>
          <w:rFonts w:hint="eastAsia" w:ascii="仿宋_GB2312" w:hAnsi="仿宋_GB2312" w:eastAsia="仿宋_GB2312" w:cs="仿宋_GB2312"/>
          <w:color w:val="auto"/>
          <w:kern w:val="2"/>
          <w:sz w:val="32"/>
          <w:szCs w:val="32"/>
        </w:rPr>
        <w:t>（款）行政运行（项）。年初预算</w:t>
      </w:r>
      <w:r>
        <w:rPr>
          <w:rFonts w:hint="eastAsia" w:ascii="仿宋_GB2312" w:hAnsi="仿宋_GB2312" w:eastAsia="仿宋_GB2312" w:cs="仿宋_GB2312"/>
          <w:color w:val="auto"/>
          <w:kern w:val="2"/>
          <w:sz w:val="32"/>
          <w:szCs w:val="32"/>
          <w:lang w:val="en-US" w:eastAsia="zh-CN"/>
        </w:rPr>
        <w:t>1093.77</w:t>
      </w:r>
      <w:r>
        <w:rPr>
          <w:rFonts w:hint="eastAsia" w:ascii="仿宋_GB2312" w:hAnsi="仿宋_GB2312" w:eastAsia="仿宋_GB2312" w:cs="仿宋_GB2312"/>
          <w:color w:val="auto"/>
          <w:kern w:val="2"/>
          <w:sz w:val="32"/>
          <w:szCs w:val="32"/>
        </w:rPr>
        <w:t>万元，支出决算</w:t>
      </w:r>
      <w:r>
        <w:rPr>
          <w:rFonts w:hint="eastAsia" w:ascii="仿宋_GB2312" w:hAnsi="仿宋_GB2312" w:eastAsia="仿宋_GB2312" w:cs="仿宋_GB2312"/>
          <w:color w:val="auto"/>
          <w:kern w:val="2"/>
          <w:sz w:val="32"/>
          <w:szCs w:val="32"/>
          <w:lang w:val="en-US" w:eastAsia="zh-CN"/>
        </w:rPr>
        <w:t>1030.41</w:t>
      </w:r>
      <w:r>
        <w:rPr>
          <w:rFonts w:hint="eastAsia" w:ascii="仿宋_GB2312" w:hAnsi="仿宋_GB2312" w:eastAsia="仿宋_GB2312" w:cs="仿宋_GB2312"/>
          <w:color w:val="auto"/>
          <w:kern w:val="2"/>
          <w:sz w:val="32"/>
          <w:szCs w:val="32"/>
        </w:rPr>
        <w:t>万元，完成年初预算的</w:t>
      </w:r>
      <w:r>
        <w:rPr>
          <w:rFonts w:hint="eastAsia" w:ascii="仿宋_GB2312" w:hAnsi="仿宋_GB2312" w:eastAsia="仿宋_GB2312" w:cs="仿宋_GB2312"/>
          <w:color w:val="auto"/>
          <w:kern w:val="2"/>
          <w:sz w:val="32"/>
          <w:szCs w:val="32"/>
          <w:lang w:val="en-US" w:eastAsia="zh-CN"/>
        </w:rPr>
        <w:t>94.21</w:t>
      </w:r>
      <w:r>
        <w:rPr>
          <w:rFonts w:hint="eastAsia" w:ascii="仿宋_GB2312" w:hAnsi="仿宋_GB2312" w:eastAsia="仿宋_GB2312" w:cs="仿宋_GB2312"/>
          <w:color w:val="auto"/>
          <w:kern w:val="2"/>
          <w:sz w:val="32"/>
          <w:szCs w:val="32"/>
        </w:rPr>
        <w:t>%。决算数与年初预算数的差异原因</w:t>
      </w:r>
      <w:r>
        <w:rPr>
          <w:rFonts w:hint="eastAsia" w:ascii="仿宋_GB2312" w:hAnsi="仿宋_GB2312" w:eastAsia="仿宋_GB2312" w:cs="仿宋_GB2312"/>
          <w:color w:val="auto"/>
          <w:kern w:val="2"/>
          <w:sz w:val="32"/>
          <w:szCs w:val="32"/>
          <w:lang w:eastAsia="zh-CN"/>
        </w:rPr>
        <w:t>：严格落实“过紧日子”相关工作要求，通过压缩“三公”经费，节约用水用电及办公用品等减少开支，使机关运行经费等基本支出较年初预算有所减少。</w:t>
      </w:r>
    </w:p>
    <w:p>
      <w:pPr>
        <w:keepNext w:val="0"/>
        <w:keepLines w:val="0"/>
        <w:pageBreakBefore w:val="0"/>
        <w:widowControl/>
        <w:numPr>
          <w:ilvl w:val="0"/>
          <w:numId w:val="4"/>
        </w:numP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eastAsia="zh-CN"/>
        </w:rPr>
        <w:t>司法</w:t>
      </w:r>
      <w:r>
        <w:rPr>
          <w:rFonts w:hint="eastAsia" w:ascii="仿宋_GB2312" w:hAnsi="仿宋_GB2312" w:eastAsia="仿宋_GB2312" w:cs="仿宋_GB2312"/>
          <w:color w:val="auto"/>
          <w:kern w:val="2"/>
          <w:sz w:val="32"/>
          <w:szCs w:val="32"/>
        </w:rPr>
        <w:t>（款）</w:t>
      </w:r>
      <w:r>
        <w:rPr>
          <w:rFonts w:hint="eastAsia" w:ascii="仿宋_GB2312" w:hAnsi="仿宋_GB2312" w:eastAsia="仿宋_GB2312" w:cs="仿宋_GB2312"/>
          <w:color w:val="auto"/>
          <w:kern w:val="2"/>
          <w:sz w:val="32"/>
          <w:szCs w:val="32"/>
          <w:lang w:eastAsia="zh-CN"/>
        </w:rPr>
        <w:t>一般行政管理事务</w:t>
      </w:r>
      <w:r>
        <w:rPr>
          <w:rFonts w:hint="eastAsia" w:ascii="仿宋_GB2312" w:hAnsi="仿宋_GB2312" w:eastAsia="仿宋_GB2312" w:cs="仿宋_GB2312"/>
          <w:color w:val="auto"/>
          <w:kern w:val="2"/>
          <w:sz w:val="32"/>
          <w:szCs w:val="32"/>
        </w:rPr>
        <w:t>（项）。年初预算</w:t>
      </w:r>
      <w:r>
        <w:rPr>
          <w:rFonts w:hint="eastAsia" w:ascii="仿宋_GB2312" w:hAnsi="仿宋_GB2312" w:eastAsia="仿宋_GB2312" w:cs="仿宋_GB2312"/>
          <w:color w:val="auto"/>
          <w:kern w:val="2"/>
          <w:sz w:val="32"/>
          <w:szCs w:val="32"/>
          <w:lang w:val="en-US" w:eastAsia="zh-CN"/>
        </w:rPr>
        <w:t>6.54</w:t>
      </w:r>
      <w:r>
        <w:rPr>
          <w:rFonts w:hint="eastAsia" w:ascii="仿宋_GB2312" w:hAnsi="仿宋_GB2312" w:eastAsia="仿宋_GB2312" w:cs="仿宋_GB2312"/>
          <w:color w:val="auto"/>
          <w:kern w:val="2"/>
          <w:sz w:val="32"/>
          <w:szCs w:val="32"/>
        </w:rPr>
        <w:t>万元，支出决算</w:t>
      </w:r>
      <w:r>
        <w:rPr>
          <w:rFonts w:hint="eastAsia" w:ascii="仿宋_GB2312" w:hAnsi="仿宋_GB2312" w:eastAsia="仿宋_GB2312" w:cs="仿宋_GB2312"/>
          <w:color w:val="auto"/>
          <w:kern w:val="2"/>
          <w:sz w:val="32"/>
          <w:szCs w:val="32"/>
          <w:lang w:val="en-US" w:eastAsia="zh-CN"/>
        </w:rPr>
        <w:t>6.65</w:t>
      </w:r>
      <w:r>
        <w:rPr>
          <w:rFonts w:hint="eastAsia" w:ascii="仿宋_GB2312" w:hAnsi="仿宋_GB2312" w:eastAsia="仿宋_GB2312" w:cs="仿宋_GB2312"/>
          <w:color w:val="auto"/>
          <w:kern w:val="2"/>
          <w:sz w:val="32"/>
          <w:szCs w:val="32"/>
        </w:rPr>
        <w:t>万元，完成年初预算的</w:t>
      </w:r>
      <w:r>
        <w:rPr>
          <w:rFonts w:hint="eastAsia" w:ascii="仿宋_GB2312" w:hAnsi="仿宋_GB2312" w:eastAsia="仿宋_GB2312" w:cs="仿宋_GB2312"/>
          <w:color w:val="auto"/>
          <w:kern w:val="2"/>
          <w:sz w:val="32"/>
          <w:szCs w:val="32"/>
          <w:lang w:val="en-US" w:eastAsia="zh-CN"/>
        </w:rPr>
        <w:t>100</w:t>
      </w:r>
      <w:r>
        <w:rPr>
          <w:rFonts w:hint="eastAsia" w:ascii="仿宋_GB2312" w:hAnsi="仿宋_GB2312" w:eastAsia="仿宋_GB2312" w:cs="仿宋_GB2312"/>
          <w:color w:val="auto"/>
          <w:kern w:val="2"/>
          <w:sz w:val="32"/>
          <w:szCs w:val="32"/>
        </w:rPr>
        <w:t>%。决算数与年初预算数</w:t>
      </w:r>
      <w:r>
        <w:rPr>
          <w:rFonts w:hint="eastAsia" w:ascii="仿宋_GB2312" w:hAnsi="仿宋_GB2312" w:eastAsia="仿宋_GB2312" w:cs="仿宋_GB2312"/>
          <w:color w:val="auto"/>
          <w:kern w:val="2"/>
          <w:sz w:val="32"/>
          <w:szCs w:val="32"/>
          <w:lang w:eastAsia="zh-CN"/>
        </w:rPr>
        <w:t>无差异</w:t>
      </w:r>
      <w:r>
        <w:rPr>
          <w:rFonts w:hint="eastAsia" w:ascii="仿宋_GB2312" w:hAnsi="仿宋_GB2312" w:eastAsia="仿宋_GB2312" w:cs="仿宋_GB2312"/>
          <w:color w:val="auto"/>
          <w:kern w:val="2"/>
          <w:sz w:val="32"/>
          <w:szCs w:val="32"/>
        </w:rPr>
        <w:t>。</w:t>
      </w:r>
    </w:p>
    <w:p>
      <w:pPr>
        <w:keepNext w:val="0"/>
        <w:keepLines w:val="0"/>
        <w:pageBreakBefore w:val="0"/>
        <w:widowControl/>
        <w:numPr>
          <w:ilvl w:val="0"/>
          <w:numId w:val="4"/>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32"/>
          <w:highlight w:val="none"/>
          <w:lang w:eastAsia="zh-CN"/>
        </w:rPr>
      </w:pPr>
      <w:r>
        <w:rPr>
          <w:rFonts w:hint="eastAsia" w:ascii="仿宋_GB2312" w:hAnsi="仿宋_GB2312" w:eastAsia="仿宋_GB2312" w:cs="仿宋_GB2312"/>
          <w:color w:val="auto"/>
          <w:kern w:val="2"/>
          <w:sz w:val="32"/>
          <w:szCs w:val="32"/>
          <w:highlight w:val="none"/>
          <w:lang w:eastAsia="zh-CN"/>
        </w:rPr>
        <w:t>司法</w:t>
      </w:r>
      <w:r>
        <w:rPr>
          <w:rFonts w:hint="eastAsia" w:ascii="仿宋_GB2312" w:hAnsi="仿宋_GB2312" w:eastAsia="仿宋_GB2312" w:cs="仿宋_GB2312"/>
          <w:color w:val="auto"/>
          <w:kern w:val="2"/>
          <w:sz w:val="32"/>
          <w:szCs w:val="32"/>
          <w:highlight w:val="none"/>
        </w:rPr>
        <w:t>（款）</w:t>
      </w:r>
      <w:r>
        <w:rPr>
          <w:rFonts w:hint="eastAsia" w:ascii="仿宋_GB2312" w:hAnsi="仿宋_GB2312" w:eastAsia="仿宋_GB2312" w:cs="仿宋_GB2312"/>
          <w:color w:val="auto"/>
          <w:kern w:val="2"/>
          <w:sz w:val="32"/>
          <w:szCs w:val="32"/>
          <w:highlight w:val="none"/>
          <w:lang w:eastAsia="zh-CN"/>
        </w:rPr>
        <w:t>基层司法业务</w:t>
      </w:r>
      <w:r>
        <w:rPr>
          <w:rFonts w:hint="eastAsia" w:ascii="仿宋_GB2312" w:hAnsi="仿宋_GB2312" w:eastAsia="仿宋_GB2312" w:cs="仿宋_GB2312"/>
          <w:color w:val="auto"/>
          <w:kern w:val="2"/>
          <w:sz w:val="32"/>
          <w:szCs w:val="32"/>
          <w:highlight w:val="none"/>
        </w:rPr>
        <w:t>（项）。年初预算</w:t>
      </w:r>
      <w:r>
        <w:rPr>
          <w:rFonts w:hint="eastAsia" w:ascii="仿宋_GB2312" w:hAnsi="仿宋_GB2312" w:eastAsia="仿宋_GB2312" w:cs="仿宋_GB2312"/>
          <w:color w:val="auto"/>
          <w:kern w:val="2"/>
          <w:sz w:val="32"/>
          <w:szCs w:val="32"/>
          <w:highlight w:val="none"/>
          <w:lang w:val="en-US" w:eastAsia="zh-CN"/>
        </w:rPr>
        <w:t>58</w:t>
      </w:r>
      <w:r>
        <w:rPr>
          <w:rFonts w:hint="eastAsia" w:ascii="仿宋_GB2312" w:hAnsi="仿宋_GB2312" w:eastAsia="仿宋_GB2312" w:cs="仿宋_GB2312"/>
          <w:color w:val="auto"/>
          <w:kern w:val="2"/>
          <w:sz w:val="32"/>
          <w:szCs w:val="32"/>
          <w:highlight w:val="none"/>
        </w:rPr>
        <w:t>万元，支出决算</w:t>
      </w:r>
      <w:r>
        <w:rPr>
          <w:rFonts w:hint="eastAsia" w:ascii="仿宋_GB2312" w:hAnsi="仿宋_GB2312" w:eastAsia="仿宋_GB2312" w:cs="仿宋_GB2312"/>
          <w:color w:val="auto"/>
          <w:kern w:val="2"/>
          <w:sz w:val="32"/>
          <w:szCs w:val="32"/>
          <w:highlight w:val="none"/>
          <w:lang w:val="en-US" w:eastAsia="zh-CN"/>
        </w:rPr>
        <w:t>37.41</w:t>
      </w:r>
      <w:r>
        <w:rPr>
          <w:rFonts w:hint="eastAsia" w:ascii="仿宋_GB2312" w:hAnsi="仿宋_GB2312" w:eastAsia="仿宋_GB2312" w:cs="仿宋_GB2312"/>
          <w:color w:val="auto"/>
          <w:kern w:val="2"/>
          <w:sz w:val="32"/>
          <w:szCs w:val="32"/>
          <w:highlight w:val="none"/>
        </w:rPr>
        <w:t>万元，完成年初预算的</w:t>
      </w:r>
      <w:r>
        <w:rPr>
          <w:rFonts w:hint="eastAsia" w:ascii="仿宋_GB2312" w:hAnsi="仿宋_GB2312" w:eastAsia="仿宋_GB2312" w:cs="仿宋_GB2312"/>
          <w:color w:val="auto"/>
          <w:kern w:val="2"/>
          <w:sz w:val="32"/>
          <w:szCs w:val="32"/>
          <w:highlight w:val="none"/>
          <w:lang w:val="en-US" w:eastAsia="zh-CN"/>
        </w:rPr>
        <w:t>64.5</w:t>
      </w:r>
      <w:r>
        <w:rPr>
          <w:rFonts w:hint="eastAsia" w:ascii="仿宋_GB2312" w:hAnsi="仿宋_GB2312" w:eastAsia="仿宋_GB2312" w:cs="仿宋_GB2312"/>
          <w:color w:val="auto"/>
          <w:kern w:val="2"/>
          <w:sz w:val="32"/>
          <w:szCs w:val="32"/>
          <w:highlight w:val="none"/>
        </w:rPr>
        <w:t>%。决算数与年初预算数的差异原因：</w:t>
      </w:r>
      <w:r>
        <w:rPr>
          <w:rFonts w:hint="eastAsia" w:ascii="仿宋_GB2312" w:hAnsi="仿宋_GB2312" w:eastAsia="仿宋_GB2312" w:cs="仿宋_GB2312"/>
          <w:color w:val="auto"/>
          <w:kern w:val="2"/>
          <w:sz w:val="32"/>
          <w:szCs w:val="32"/>
          <w:highlight w:val="none"/>
          <w:lang w:eastAsia="zh-CN"/>
        </w:rPr>
        <w:t>本年度人民调解案件和人民监督员履职评议情况尚未审核完成，故本年度未发放人民调解案件补贴和人民监督员履职评议费等相关费用。</w:t>
      </w:r>
    </w:p>
    <w:p>
      <w:pPr>
        <w:keepNext w:val="0"/>
        <w:keepLines w:val="0"/>
        <w:pageBreakBefore w:val="0"/>
        <w:widowControl/>
        <w:numPr>
          <w:ilvl w:val="0"/>
          <w:numId w:val="4"/>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32"/>
          <w:highlight w:val="none"/>
          <w:lang w:eastAsia="zh-CN"/>
        </w:rPr>
      </w:pPr>
      <w:r>
        <w:rPr>
          <w:rFonts w:hint="eastAsia" w:ascii="仿宋_GB2312" w:hAnsi="仿宋_GB2312" w:eastAsia="仿宋_GB2312" w:cs="仿宋_GB2312"/>
          <w:color w:val="auto"/>
          <w:kern w:val="2"/>
          <w:sz w:val="32"/>
          <w:szCs w:val="32"/>
          <w:highlight w:val="none"/>
          <w:lang w:eastAsia="zh-CN"/>
        </w:rPr>
        <w:t>司法</w:t>
      </w:r>
      <w:r>
        <w:rPr>
          <w:rFonts w:hint="eastAsia" w:ascii="仿宋_GB2312" w:hAnsi="仿宋_GB2312" w:eastAsia="仿宋_GB2312" w:cs="仿宋_GB2312"/>
          <w:color w:val="auto"/>
          <w:kern w:val="2"/>
          <w:sz w:val="32"/>
          <w:szCs w:val="32"/>
          <w:highlight w:val="none"/>
        </w:rPr>
        <w:t>（款）</w:t>
      </w:r>
      <w:r>
        <w:rPr>
          <w:rFonts w:hint="eastAsia" w:ascii="仿宋_GB2312" w:hAnsi="仿宋_GB2312" w:eastAsia="仿宋_GB2312" w:cs="仿宋_GB2312"/>
          <w:color w:val="auto"/>
          <w:kern w:val="2"/>
          <w:sz w:val="32"/>
          <w:szCs w:val="32"/>
          <w:highlight w:val="none"/>
          <w:lang w:eastAsia="zh-CN"/>
        </w:rPr>
        <w:t>普法宣传</w:t>
      </w:r>
      <w:r>
        <w:rPr>
          <w:rFonts w:hint="eastAsia" w:ascii="仿宋_GB2312" w:hAnsi="仿宋_GB2312" w:eastAsia="仿宋_GB2312" w:cs="仿宋_GB2312"/>
          <w:color w:val="auto"/>
          <w:kern w:val="2"/>
          <w:sz w:val="32"/>
          <w:szCs w:val="32"/>
          <w:highlight w:val="none"/>
        </w:rPr>
        <w:t>（项）。年初预算</w:t>
      </w:r>
      <w:r>
        <w:rPr>
          <w:rFonts w:hint="eastAsia" w:ascii="仿宋_GB2312" w:hAnsi="仿宋_GB2312" w:eastAsia="仿宋_GB2312" w:cs="仿宋_GB2312"/>
          <w:color w:val="auto"/>
          <w:kern w:val="2"/>
          <w:sz w:val="32"/>
          <w:szCs w:val="32"/>
          <w:highlight w:val="none"/>
          <w:lang w:val="en-US" w:eastAsia="zh-CN"/>
        </w:rPr>
        <w:t>63.93</w:t>
      </w:r>
      <w:r>
        <w:rPr>
          <w:rFonts w:hint="eastAsia" w:ascii="仿宋_GB2312" w:hAnsi="仿宋_GB2312" w:eastAsia="仿宋_GB2312" w:cs="仿宋_GB2312"/>
          <w:color w:val="auto"/>
          <w:kern w:val="2"/>
          <w:sz w:val="32"/>
          <w:szCs w:val="32"/>
          <w:highlight w:val="none"/>
        </w:rPr>
        <w:t>万元，支出决算</w:t>
      </w:r>
      <w:r>
        <w:rPr>
          <w:rFonts w:hint="eastAsia" w:ascii="仿宋_GB2312" w:hAnsi="仿宋_GB2312" w:eastAsia="仿宋_GB2312" w:cs="仿宋_GB2312"/>
          <w:color w:val="auto"/>
          <w:kern w:val="2"/>
          <w:sz w:val="32"/>
          <w:szCs w:val="32"/>
          <w:highlight w:val="none"/>
          <w:lang w:val="en-US" w:eastAsia="zh-CN"/>
        </w:rPr>
        <w:t>29.86</w:t>
      </w:r>
      <w:r>
        <w:rPr>
          <w:rFonts w:hint="eastAsia" w:ascii="仿宋_GB2312" w:hAnsi="仿宋_GB2312" w:eastAsia="仿宋_GB2312" w:cs="仿宋_GB2312"/>
          <w:color w:val="auto"/>
          <w:kern w:val="2"/>
          <w:sz w:val="32"/>
          <w:szCs w:val="32"/>
          <w:highlight w:val="none"/>
        </w:rPr>
        <w:t>万元，完成年初预算的</w:t>
      </w:r>
      <w:r>
        <w:rPr>
          <w:rFonts w:hint="eastAsia" w:ascii="仿宋_GB2312" w:hAnsi="仿宋_GB2312" w:eastAsia="仿宋_GB2312" w:cs="仿宋_GB2312"/>
          <w:color w:val="auto"/>
          <w:kern w:val="2"/>
          <w:sz w:val="32"/>
          <w:szCs w:val="32"/>
          <w:highlight w:val="none"/>
          <w:lang w:val="en-US" w:eastAsia="zh-CN"/>
        </w:rPr>
        <w:t>46.71</w:t>
      </w:r>
      <w:r>
        <w:rPr>
          <w:rFonts w:hint="eastAsia" w:ascii="仿宋_GB2312" w:hAnsi="仿宋_GB2312" w:eastAsia="仿宋_GB2312" w:cs="仿宋_GB2312"/>
          <w:color w:val="auto"/>
          <w:kern w:val="2"/>
          <w:sz w:val="32"/>
          <w:szCs w:val="32"/>
          <w:highlight w:val="none"/>
        </w:rPr>
        <w:t>%。决算数与年初预算数的差异原因：</w:t>
      </w:r>
      <w:r>
        <w:rPr>
          <w:rFonts w:hint="eastAsia" w:ascii="仿宋_GB2312" w:hAnsi="仿宋_GB2312" w:eastAsia="仿宋_GB2312" w:cs="仿宋_GB2312"/>
          <w:color w:val="auto"/>
          <w:kern w:val="2"/>
          <w:sz w:val="32"/>
          <w:szCs w:val="32"/>
          <w:highlight w:val="none"/>
          <w:lang w:eastAsia="zh-CN"/>
        </w:rPr>
        <w:t>本年一是本年使用了上年结转普法宣传经费项目指标；二是部分普法等媒体宣传费尚未到合同约定付款期，故本年未完成支付。</w:t>
      </w:r>
    </w:p>
    <w:p>
      <w:pPr>
        <w:keepNext w:val="0"/>
        <w:keepLines w:val="0"/>
        <w:pageBreakBefore w:val="0"/>
        <w:widowControl/>
        <w:numPr>
          <w:ilvl w:val="0"/>
          <w:numId w:val="4"/>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lang w:eastAsia="zh-CN"/>
        </w:rPr>
        <w:t>司法</w:t>
      </w:r>
      <w:r>
        <w:rPr>
          <w:rFonts w:hint="eastAsia" w:ascii="仿宋_GB2312" w:hAnsi="仿宋_GB2312" w:eastAsia="仿宋_GB2312" w:cs="仿宋_GB2312"/>
          <w:color w:val="auto"/>
          <w:kern w:val="2"/>
          <w:sz w:val="32"/>
          <w:szCs w:val="32"/>
          <w:highlight w:val="none"/>
        </w:rPr>
        <w:t>（款）</w:t>
      </w:r>
      <w:r>
        <w:rPr>
          <w:rFonts w:hint="eastAsia" w:ascii="仿宋_GB2312" w:hAnsi="仿宋_GB2312" w:eastAsia="仿宋_GB2312" w:cs="仿宋_GB2312"/>
          <w:color w:val="auto"/>
          <w:kern w:val="2"/>
          <w:sz w:val="32"/>
          <w:szCs w:val="32"/>
          <w:highlight w:val="none"/>
          <w:lang w:eastAsia="zh-CN"/>
        </w:rPr>
        <w:t>公共法律服务</w:t>
      </w:r>
      <w:r>
        <w:rPr>
          <w:rFonts w:hint="eastAsia" w:ascii="仿宋_GB2312" w:hAnsi="仿宋_GB2312" w:eastAsia="仿宋_GB2312" w:cs="仿宋_GB2312"/>
          <w:color w:val="auto"/>
          <w:kern w:val="2"/>
          <w:sz w:val="32"/>
          <w:szCs w:val="32"/>
          <w:highlight w:val="none"/>
        </w:rPr>
        <w:t>（项）。年初预算</w:t>
      </w:r>
      <w:r>
        <w:rPr>
          <w:rFonts w:hint="eastAsia" w:ascii="仿宋_GB2312" w:hAnsi="仿宋_GB2312" w:eastAsia="仿宋_GB2312" w:cs="仿宋_GB2312"/>
          <w:color w:val="auto"/>
          <w:kern w:val="2"/>
          <w:sz w:val="32"/>
          <w:szCs w:val="32"/>
          <w:highlight w:val="none"/>
          <w:lang w:val="en-US" w:eastAsia="zh-CN"/>
        </w:rPr>
        <w:t>199.32</w:t>
      </w:r>
      <w:r>
        <w:rPr>
          <w:rFonts w:hint="eastAsia" w:ascii="仿宋_GB2312" w:hAnsi="仿宋_GB2312" w:eastAsia="仿宋_GB2312" w:cs="仿宋_GB2312"/>
          <w:color w:val="auto"/>
          <w:kern w:val="2"/>
          <w:sz w:val="32"/>
          <w:szCs w:val="32"/>
          <w:highlight w:val="none"/>
        </w:rPr>
        <w:t>万元，支出决算</w:t>
      </w:r>
      <w:r>
        <w:rPr>
          <w:rFonts w:hint="eastAsia" w:ascii="仿宋_GB2312" w:hAnsi="仿宋_GB2312" w:eastAsia="仿宋_GB2312" w:cs="仿宋_GB2312"/>
          <w:color w:val="auto"/>
          <w:kern w:val="2"/>
          <w:sz w:val="32"/>
          <w:szCs w:val="32"/>
          <w:highlight w:val="none"/>
          <w:lang w:val="en-US" w:eastAsia="zh-CN"/>
        </w:rPr>
        <w:t>91.97</w:t>
      </w:r>
      <w:r>
        <w:rPr>
          <w:rFonts w:hint="eastAsia" w:ascii="仿宋_GB2312" w:hAnsi="仿宋_GB2312" w:eastAsia="仿宋_GB2312" w:cs="仿宋_GB2312"/>
          <w:color w:val="auto"/>
          <w:kern w:val="2"/>
          <w:sz w:val="32"/>
          <w:szCs w:val="32"/>
          <w:highlight w:val="none"/>
        </w:rPr>
        <w:t>万元，完成年初预算的</w:t>
      </w:r>
      <w:r>
        <w:rPr>
          <w:rFonts w:hint="eastAsia" w:ascii="仿宋_GB2312" w:hAnsi="仿宋_GB2312" w:eastAsia="仿宋_GB2312" w:cs="仿宋_GB2312"/>
          <w:color w:val="auto"/>
          <w:kern w:val="2"/>
          <w:sz w:val="32"/>
          <w:szCs w:val="32"/>
          <w:highlight w:val="none"/>
          <w:lang w:val="en-US" w:eastAsia="zh-CN"/>
        </w:rPr>
        <w:t>46.14</w:t>
      </w:r>
      <w:r>
        <w:rPr>
          <w:rFonts w:hint="eastAsia" w:ascii="仿宋_GB2312" w:hAnsi="仿宋_GB2312" w:eastAsia="仿宋_GB2312" w:cs="仿宋_GB2312"/>
          <w:color w:val="auto"/>
          <w:kern w:val="2"/>
          <w:sz w:val="32"/>
          <w:szCs w:val="32"/>
          <w:highlight w:val="none"/>
        </w:rPr>
        <w:t>%。决算数与年初预算数的差异原因：</w:t>
      </w:r>
      <w:r>
        <w:rPr>
          <w:rFonts w:hint="eastAsia" w:ascii="仿宋_GB2312" w:hAnsi="仿宋_GB2312" w:eastAsia="仿宋_GB2312" w:cs="仿宋_GB2312"/>
          <w:color w:val="auto"/>
          <w:kern w:val="2"/>
          <w:sz w:val="32"/>
          <w:szCs w:val="32"/>
          <w:highlight w:val="none"/>
          <w:lang w:eastAsia="zh-CN"/>
        </w:rPr>
        <w:t>本年一是支出上年结转政府购买法律服务项目服务费、公共法律服务工作经费项目指标；二是政府购买法律服务项目尚未到合同支付期，故本年未支付当年政府购买法律服务项目服务费。</w:t>
      </w:r>
    </w:p>
    <w:p>
      <w:pPr>
        <w:keepNext w:val="0"/>
        <w:keepLines w:val="0"/>
        <w:pageBreakBefore w:val="0"/>
        <w:widowControl/>
        <w:numPr>
          <w:ilvl w:val="0"/>
          <w:numId w:val="4"/>
        </w:numP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司法（款）社区矫正（项）。年初预算</w:t>
      </w:r>
      <w:r>
        <w:rPr>
          <w:rFonts w:hint="eastAsia" w:ascii="仿宋_GB2312" w:hAnsi="仿宋_GB2312" w:eastAsia="仿宋_GB2312" w:cs="仿宋_GB2312"/>
          <w:color w:val="auto"/>
          <w:kern w:val="2"/>
          <w:sz w:val="32"/>
          <w:szCs w:val="32"/>
          <w:lang w:val="en-US" w:eastAsia="zh-CN"/>
        </w:rPr>
        <w:t>18.22</w:t>
      </w:r>
      <w:r>
        <w:rPr>
          <w:rFonts w:hint="eastAsia" w:ascii="仿宋_GB2312" w:hAnsi="仿宋_GB2312" w:eastAsia="仿宋_GB2312" w:cs="仿宋_GB2312"/>
          <w:color w:val="auto"/>
          <w:kern w:val="2"/>
          <w:sz w:val="32"/>
          <w:szCs w:val="32"/>
        </w:rPr>
        <w:t>万元，支出决算</w:t>
      </w:r>
      <w:r>
        <w:rPr>
          <w:rFonts w:hint="eastAsia" w:ascii="仿宋_GB2312" w:hAnsi="仿宋_GB2312" w:eastAsia="仿宋_GB2312" w:cs="仿宋_GB2312"/>
          <w:color w:val="auto"/>
          <w:kern w:val="2"/>
          <w:sz w:val="32"/>
          <w:szCs w:val="32"/>
          <w:lang w:val="en-US" w:eastAsia="zh-CN"/>
        </w:rPr>
        <w:t>7.92</w:t>
      </w:r>
      <w:r>
        <w:rPr>
          <w:rFonts w:hint="eastAsia" w:ascii="仿宋_GB2312" w:hAnsi="仿宋_GB2312" w:eastAsia="仿宋_GB2312" w:cs="仿宋_GB2312"/>
          <w:color w:val="auto"/>
          <w:kern w:val="2"/>
          <w:sz w:val="32"/>
          <w:szCs w:val="32"/>
        </w:rPr>
        <w:t>万元，完成年初预算的</w:t>
      </w:r>
      <w:r>
        <w:rPr>
          <w:rFonts w:hint="eastAsia" w:ascii="仿宋_GB2312" w:hAnsi="仿宋_GB2312" w:eastAsia="仿宋_GB2312" w:cs="仿宋_GB2312"/>
          <w:color w:val="auto"/>
          <w:kern w:val="2"/>
          <w:sz w:val="32"/>
          <w:szCs w:val="32"/>
          <w:lang w:val="en-US" w:eastAsia="zh-CN"/>
        </w:rPr>
        <w:t>43.47</w:t>
      </w:r>
      <w:r>
        <w:rPr>
          <w:rFonts w:hint="eastAsia" w:ascii="仿宋_GB2312" w:hAnsi="仿宋_GB2312" w:eastAsia="仿宋_GB2312" w:cs="仿宋_GB2312"/>
          <w:color w:val="auto"/>
          <w:kern w:val="2"/>
          <w:sz w:val="32"/>
          <w:szCs w:val="32"/>
        </w:rPr>
        <w:t>%。</w:t>
      </w:r>
      <w:r>
        <w:rPr>
          <w:rFonts w:hint="eastAsia" w:ascii="仿宋_GB2312" w:hAnsi="仿宋_GB2312" w:eastAsia="仿宋_GB2312" w:cs="仿宋_GB2312"/>
          <w:color w:val="auto"/>
          <w:kern w:val="2"/>
          <w:sz w:val="32"/>
          <w:szCs w:val="32"/>
          <w:highlight w:val="none"/>
        </w:rPr>
        <w:t>决算数与年初预算数的差异原因：</w:t>
      </w:r>
      <w:r>
        <w:rPr>
          <w:rFonts w:hint="eastAsia" w:ascii="仿宋_GB2312" w:hAnsi="仿宋_GB2312" w:eastAsia="仿宋_GB2312" w:cs="仿宋_GB2312"/>
          <w:color w:val="auto"/>
          <w:kern w:val="2"/>
          <w:sz w:val="32"/>
          <w:szCs w:val="32"/>
          <w:highlight w:val="none"/>
          <w:lang w:eastAsia="zh-CN"/>
        </w:rPr>
        <w:t>本年使用了上年结转社区矫正项目指标。</w:t>
      </w:r>
    </w:p>
    <w:p>
      <w:pPr>
        <w:keepNext w:val="0"/>
        <w:keepLines w:val="0"/>
        <w:pageBreakBefore w:val="0"/>
        <w:widowControl/>
        <w:numPr>
          <w:ilvl w:val="0"/>
          <w:numId w:val="4"/>
        </w:numP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司法（款）法治建设（项）。年初预算</w:t>
      </w:r>
      <w:r>
        <w:rPr>
          <w:rFonts w:hint="eastAsia" w:ascii="仿宋_GB2312" w:hAnsi="仿宋_GB2312" w:eastAsia="仿宋_GB2312" w:cs="仿宋_GB2312"/>
          <w:color w:val="auto"/>
          <w:kern w:val="2"/>
          <w:sz w:val="32"/>
          <w:szCs w:val="32"/>
          <w:lang w:val="en-US" w:eastAsia="zh-CN"/>
        </w:rPr>
        <w:t>46.19</w:t>
      </w:r>
      <w:r>
        <w:rPr>
          <w:rFonts w:hint="eastAsia" w:ascii="仿宋_GB2312" w:hAnsi="仿宋_GB2312" w:eastAsia="仿宋_GB2312" w:cs="仿宋_GB2312"/>
          <w:color w:val="auto"/>
          <w:kern w:val="2"/>
          <w:sz w:val="32"/>
          <w:szCs w:val="32"/>
        </w:rPr>
        <w:t>万元，支出决算</w:t>
      </w:r>
      <w:r>
        <w:rPr>
          <w:rFonts w:hint="eastAsia" w:ascii="仿宋_GB2312" w:hAnsi="仿宋_GB2312" w:eastAsia="仿宋_GB2312" w:cs="仿宋_GB2312"/>
          <w:color w:val="auto"/>
          <w:kern w:val="2"/>
          <w:sz w:val="32"/>
          <w:szCs w:val="32"/>
          <w:lang w:val="en-US" w:eastAsia="zh-CN"/>
        </w:rPr>
        <w:t>36.48</w:t>
      </w:r>
      <w:r>
        <w:rPr>
          <w:rFonts w:hint="eastAsia" w:ascii="仿宋_GB2312" w:hAnsi="仿宋_GB2312" w:eastAsia="仿宋_GB2312" w:cs="仿宋_GB2312"/>
          <w:color w:val="auto"/>
          <w:kern w:val="2"/>
          <w:sz w:val="32"/>
          <w:szCs w:val="32"/>
        </w:rPr>
        <w:t>万元，完成年初预算的</w:t>
      </w:r>
      <w:r>
        <w:rPr>
          <w:rFonts w:hint="eastAsia" w:ascii="仿宋_GB2312" w:hAnsi="仿宋_GB2312" w:eastAsia="仿宋_GB2312" w:cs="仿宋_GB2312"/>
          <w:color w:val="auto"/>
          <w:kern w:val="2"/>
          <w:sz w:val="32"/>
          <w:szCs w:val="32"/>
          <w:lang w:val="en-US" w:eastAsia="zh-CN"/>
        </w:rPr>
        <w:t>78.98</w:t>
      </w:r>
      <w:r>
        <w:rPr>
          <w:rFonts w:hint="eastAsia" w:ascii="仿宋_GB2312" w:hAnsi="仿宋_GB2312" w:eastAsia="仿宋_GB2312" w:cs="仿宋_GB2312"/>
          <w:color w:val="auto"/>
          <w:kern w:val="2"/>
          <w:sz w:val="32"/>
          <w:szCs w:val="32"/>
        </w:rPr>
        <w:t>%。决算数与年初预算数的差异原因：本年支出上年结转</w:t>
      </w:r>
      <w:r>
        <w:rPr>
          <w:rFonts w:hint="eastAsia" w:ascii="仿宋_GB2312" w:hAnsi="仿宋_GB2312" w:eastAsia="仿宋_GB2312" w:cs="仿宋_GB2312"/>
          <w:color w:val="auto"/>
          <w:kern w:val="2"/>
          <w:sz w:val="32"/>
          <w:szCs w:val="32"/>
          <w:lang w:eastAsia="zh-CN"/>
        </w:rPr>
        <w:t>法治建设</w:t>
      </w:r>
      <w:r>
        <w:rPr>
          <w:rFonts w:hint="eastAsia" w:ascii="仿宋_GB2312" w:hAnsi="仿宋_GB2312" w:eastAsia="仿宋_GB2312" w:cs="仿宋_GB2312"/>
          <w:color w:val="auto"/>
          <w:kern w:val="2"/>
          <w:sz w:val="32"/>
          <w:szCs w:val="32"/>
        </w:rPr>
        <w:t>经费项目指标。</w:t>
      </w:r>
    </w:p>
    <w:p>
      <w:pPr>
        <w:keepNext w:val="0"/>
        <w:keepLines w:val="0"/>
        <w:pageBreakBefore w:val="0"/>
        <w:widowControl/>
        <w:numPr>
          <w:ilvl w:val="0"/>
          <w:numId w:val="4"/>
        </w:numP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eastAsia="zh-CN"/>
        </w:rPr>
        <w:t>司法</w:t>
      </w:r>
      <w:r>
        <w:rPr>
          <w:rFonts w:hint="eastAsia" w:ascii="仿宋_GB2312" w:hAnsi="仿宋_GB2312" w:eastAsia="仿宋_GB2312" w:cs="仿宋_GB2312"/>
          <w:color w:val="auto"/>
          <w:kern w:val="2"/>
          <w:sz w:val="32"/>
          <w:szCs w:val="32"/>
        </w:rPr>
        <w:t>（款）</w:t>
      </w:r>
      <w:r>
        <w:rPr>
          <w:rFonts w:hint="eastAsia" w:ascii="仿宋_GB2312" w:hAnsi="仿宋_GB2312" w:eastAsia="仿宋_GB2312" w:cs="仿宋_GB2312"/>
          <w:color w:val="auto"/>
          <w:kern w:val="2"/>
          <w:sz w:val="32"/>
          <w:szCs w:val="32"/>
          <w:lang w:eastAsia="zh-CN"/>
        </w:rPr>
        <w:t>信息化建设</w:t>
      </w:r>
      <w:r>
        <w:rPr>
          <w:rFonts w:hint="eastAsia" w:ascii="仿宋_GB2312" w:hAnsi="仿宋_GB2312" w:eastAsia="仿宋_GB2312" w:cs="仿宋_GB2312"/>
          <w:color w:val="auto"/>
          <w:kern w:val="2"/>
          <w:sz w:val="32"/>
          <w:szCs w:val="32"/>
        </w:rPr>
        <w:t>（项）。年初预算</w:t>
      </w:r>
      <w:r>
        <w:rPr>
          <w:rFonts w:hint="eastAsia" w:ascii="仿宋_GB2312" w:hAnsi="仿宋_GB2312" w:eastAsia="仿宋_GB2312" w:cs="仿宋_GB2312"/>
          <w:color w:val="auto"/>
          <w:kern w:val="2"/>
          <w:sz w:val="32"/>
          <w:szCs w:val="32"/>
          <w:lang w:val="en-US" w:eastAsia="zh-CN"/>
        </w:rPr>
        <w:t>82.18</w:t>
      </w:r>
      <w:r>
        <w:rPr>
          <w:rFonts w:hint="eastAsia" w:ascii="仿宋_GB2312" w:hAnsi="仿宋_GB2312" w:eastAsia="仿宋_GB2312" w:cs="仿宋_GB2312"/>
          <w:color w:val="auto"/>
          <w:kern w:val="2"/>
          <w:sz w:val="32"/>
          <w:szCs w:val="32"/>
        </w:rPr>
        <w:t>万元，支出决算</w:t>
      </w:r>
      <w:r>
        <w:rPr>
          <w:rFonts w:hint="eastAsia" w:ascii="仿宋_GB2312" w:hAnsi="仿宋_GB2312" w:eastAsia="仿宋_GB2312" w:cs="仿宋_GB2312"/>
          <w:color w:val="auto"/>
          <w:kern w:val="2"/>
          <w:sz w:val="32"/>
          <w:szCs w:val="32"/>
          <w:lang w:val="en-US" w:eastAsia="zh-CN"/>
        </w:rPr>
        <w:t>9.42</w:t>
      </w:r>
      <w:r>
        <w:rPr>
          <w:rFonts w:hint="eastAsia" w:ascii="仿宋_GB2312" w:hAnsi="仿宋_GB2312" w:eastAsia="仿宋_GB2312" w:cs="仿宋_GB2312"/>
          <w:color w:val="auto"/>
          <w:kern w:val="2"/>
          <w:sz w:val="32"/>
          <w:szCs w:val="32"/>
        </w:rPr>
        <w:t>万元，完成年初预算的</w:t>
      </w:r>
      <w:r>
        <w:rPr>
          <w:rFonts w:hint="eastAsia" w:ascii="仿宋_GB2312" w:hAnsi="仿宋_GB2312" w:eastAsia="仿宋_GB2312" w:cs="仿宋_GB2312"/>
          <w:color w:val="auto"/>
          <w:kern w:val="2"/>
          <w:sz w:val="32"/>
          <w:szCs w:val="32"/>
          <w:lang w:val="en-US" w:eastAsia="zh-CN"/>
        </w:rPr>
        <w:t>11.46</w:t>
      </w:r>
      <w:r>
        <w:rPr>
          <w:rFonts w:hint="eastAsia" w:ascii="仿宋_GB2312" w:hAnsi="仿宋_GB2312" w:eastAsia="仿宋_GB2312" w:cs="仿宋_GB2312"/>
          <w:color w:val="auto"/>
          <w:kern w:val="2"/>
          <w:sz w:val="32"/>
          <w:szCs w:val="32"/>
        </w:rPr>
        <w:t>%。决算数与年初预算数的差异原因：</w:t>
      </w:r>
      <w:r>
        <w:rPr>
          <w:rFonts w:hint="eastAsia" w:ascii="仿宋_GB2312" w:hAnsi="仿宋_GB2312" w:eastAsia="仿宋_GB2312" w:cs="仿宋_GB2312"/>
          <w:color w:val="auto"/>
          <w:kern w:val="2"/>
          <w:sz w:val="32"/>
          <w:szCs w:val="32"/>
          <w:lang w:eastAsia="zh-CN"/>
        </w:rPr>
        <w:t>一是部分信息化项目服务费</w:t>
      </w:r>
      <w:r>
        <w:rPr>
          <w:rFonts w:hint="eastAsia" w:ascii="仿宋_GB2312" w:hAnsi="仿宋_GB2312" w:eastAsia="仿宋_GB2312" w:cs="仿宋_GB2312"/>
          <w:color w:val="auto"/>
          <w:kern w:val="2"/>
          <w:sz w:val="32"/>
          <w:szCs w:val="32"/>
          <w:lang w:val="en-US" w:eastAsia="zh-CN"/>
        </w:rPr>
        <w:t>本年</w:t>
      </w:r>
      <w:r>
        <w:rPr>
          <w:rFonts w:hint="eastAsia" w:ascii="仿宋_GB2312" w:hAnsi="仿宋_GB2312" w:eastAsia="仿宋_GB2312" w:cs="仿宋_GB2312"/>
          <w:color w:val="auto"/>
          <w:kern w:val="2"/>
          <w:sz w:val="32"/>
          <w:szCs w:val="32"/>
          <w:lang w:eastAsia="zh-CN"/>
        </w:rPr>
        <w:t>未到合同期未支付完成；二是本年度使用上年度结转法治建设经费指标支付服务费</w:t>
      </w:r>
      <w:r>
        <w:rPr>
          <w:rFonts w:hint="eastAsia" w:ascii="仿宋_GB2312" w:hAnsi="仿宋_GB2312" w:eastAsia="仿宋_GB2312" w:cs="仿宋_GB2312"/>
          <w:color w:val="auto"/>
          <w:kern w:val="2"/>
          <w:sz w:val="32"/>
          <w:szCs w:val="32"/>
        </w:rPr>
        <w:t>。</w:t>
      </w:r>
    </w:p>
    <w:p>
      <w:pPr>
        <w:keepNext w:val="0"/>
        <w:keepLines w:val="0"/>
        <w:pageBreakBefore w:val="0"/>
        <w:widowControl/>
        <w:numPr>
          <w:ilvl w:val="0"/>
          <w:numId w:val="4"/>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eastAsia="zh-CN"/>
        </w:rPr>
        <w:t>司法</w:t>
      </w:r>
      <w:r>
        <w:rPr>
          <w:rFonts w:hint="eastAsia" w:ascii="仿宋_GB2312" w:hAnsi="仿宋_GB2312" w:eastAsia="仿宋_GB2312" w:cs="仿宋_GB2312"/>
          <w:color w:val="auto"/>
          <w:kern w:val="2"/>
          <w:sz w:val="32"/>
          <w:szCs w:val="32"/>
        </w:rPr>
        <w:t>（款）</w:t>
      </w:r>
      <w:r>
        <w:rPr>
          <w:rFonts w:hint="eastAsia" w:ascii="仿宋_GB2312" w:hAnsi="仿宋_GB2312" w:eastAsia="仿宋_GB2312" w:cs="仿宋_GB2312"/>
          <w:color w:val="auto"/>
          <w:kern w:val="2"/>
          <w:sz w:val="32"/>
          <w:szCs w:val="32"/>
          <w:lang w:eastAsia="zh-CN"/>
        </w:rPr>
        <w:t>事业</w:t>
      </w:r>
      <w:r>
        <w:rPr>
          <w:rFonts w:hint="eastAsia" w:ascii="仿宋_GB2312" w:hAnsi="仿宋_GB2312" w:eastAsia="仿宋_GB2312" w:cs="仿宋_GB2312"/>
          <w:color w:val="auto"/>
          <w:kern w:val="2"/>
          <w:sz w:val="32"/>
          <w:szCs w:val="32"/>
        </w:rPr>
        <w:t>运行（项）。年初预算</w:t>
      </w:r>
      <w:r>
        <w:rPr>
          <w:rFonts w:hint="eastAsia" w:ascii="仿宋_GB2312" w:hAnsi="仿宋_GB2312" w:eastAsia="仿宋_GB2312" w:cs="仿宋_GB2312"/>
          <w:color w:val="auto"/>
          <w:kern w:val="2"/>
          <w:sz w:val="32"/>
          <w:szCs w:val="32"/>
          <w:lang w:val="en-US" w:eastAsia="zh-CN"/>
        </w:rPr>
        <w:t>9.57</w:t>
      </w:r>
      <w:r>
        <w:rPr>
          <w:rFonts w:hint="eastAsia" w:ascii="仿宋_GB2312" w:hAnsi="仿宋_GB2312" w:eastAsia="仿宋_GB2312" w:cs="仿宋_GB2312"/>
          <w:color w:val="auto"/>
          <w:kern w:val="2"/>
          <w:sz w:val="32"/>
          <w:szCs w:val="32"/>
        </w:rPr>
        <w:t>万元，支出决算</w:t>
      </w:r>
      <w:r>
        <w:rPr>
          <w:rFonts w:hint="eastAsia" w:ascii="仿宋_GB2312" w:hAnsi="仿宋_GB2312" w:eastAsia="仿宋_GB2312" w:cs="仿宋_GB2312"/>
          <w:color w:val="auto"/>
          <w:kern w:val="2"/>
          <w:sz w:val="32"/>
          <w:szCs w:val="32"/>
          <w:lang w:val="en-US" w:eastAsia="zh-CN"/>
        </w:rPr>
        <w:t>8.91</w:t>
      </w:r>
      <w:r>
        <w:rPr>
          <w:rFonts w:hint="eastAsia" w:ascii="仿宋_GB2312" w:hAnsi="仿宋_GB2312" w:eastAsia="仿宋_GB2312" w:cs="仿宋_GB2312"/>
          <w:color w:val="auto"/>
          <w:kern w:val="2"/>
          <w:sz w:val="32"/>
          <w:szCs w:val="32"/>
        </w:rPr>
        <w:t>万元，完成年初预算的</w:t>
      </w:r>
      <w:r>
        <w:rPr>
          <w:rFonts w:hint="eastAsia" w:ascii="仿宋_GB2312" w:hAnsi="仿宋_GB2312" w:eastAsia="仿宋_GB2312" w:cs="仿宋_GB2312"/>
          <w:color w:val="auto"/>
          <w:kern w:val="2"/>
          <w:sz w:val="32"/>
          <w:szCs w:val="32"/>
          <w:lang w:val="en-US" w:eastAsia="zh-CN"/>
        </w:rPr>
        <w:t>93.1</w:t>
      </w:r>
      <w:r>
        <w:rPr>
          <w:rFonts w:hint="eastAsia" w:ascii="仿宋_GB2312" w:hAnsi="仿宋_GB2312" w:eastAsia="仿宋_GB2312" w:cs="仿宋_GB2312"/>
          <w:color w:val="auto"/>
          <w:kern w:val="2"/>
          <w:sz w:val="32"/>
          <w:szCs w:val="32"/>
        </w:rPr>
        <w:t>%。决算数与年初预算数</w:t>
      </w:r>
      <w:r>
        <w:rPr>
          <w:rFonts w:hint="eastAsia" w:ascii="仿宋_GB2312" w:hAnsi="仿宋_GB2312" w:eastAsia="仿宋_GB2312" w:cs="仿宋_GB2312"/>
          <w:color w:val="auto"/>
          <w:kern w:val="2"/>
          <w:sz w:val="32"/>
          <w:szCs w:val="32"/>
          <w:lang w:eastAsia="zh-CN"/>
        </w:rPr>
        <w:t>无较大差异</w:t>
      </w:r>
      <w:r>
        <w:rPr>
          <w:rFonts w:hint="eastAsia" w:ascii="仿宋_GB2312" w:hAnsi="仿宋_GB2312" w:eastAsia="仿宋_GB2312" w:cs="仿宋_GB2312"/>
          <w:color w:val="auto"/>
          <w:kern w:val="2"/>
          <w:sz w:val="32"/>
          <w:szCs w:val="32"/>
        </w:rPr>
        <w:t>。</w:t>
      </w:r>
    </w:p>
    <w:p>
      <w:pPr>
        <w:keepNext w:val="0"/>
        <w:keepLines w:val="0"/>
        <w:pageBreakBefore w:val="0"/>
        <w:widowControl/>
        <w:numPr>
          <w:ilvl w:val="0"/>
          <w:numId w:val="4"/>
        </w:numPr>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Times New Roman" w:cs="Times New Roman"/>
          <w:kern w:val="0"/>
          <w:sz w:val="32"/>
          <w:szCs w:val="32"/>
        </w:rPr>
      </w:pPr>
      <w:r>
        <w:rPr>
          <w:rFonts w:hint="eastAsia" w:ascii="仿宋_GB2312" w:hAnsi="仿宋_GB2312" w:eastAsia="仿宋_GB2312" w:cs="仿宋_GB2312"/>
          <w:color w:val="auto"/>
          <w:kern w:val="2"/>
          <w:sz w:val="32"/>
          <w:szCs w:val="32"/>
          <w:lang w:eastAsia="zh-CN"/>
        </w:rPr>
        <w:t>司法</w:t>
      </w:r>
      <w:r>
        <w:rPr>
          <w:rFonts w:hint="eastAsia" w:ascii="仿宋_GB2312" w:hAnsi="仿宋_GB2312" w:eastAsia="仿宋_GB2312" w:cs="仿宋_GB2312"/>
          <w:color w:val="auto"/>
          <w:kern w:val="2"/>
          <w:sz w:val="32"/>
          <w:szCs w:val="32"/>
        </w:rPr>
        <w:t>（款）</w:t>
      </w:r>
      <w:r>
        <w:rPr>
          <w:rFonts w:hint="eastAsia" w:ascii="仿宋_GB2312" w:hAnsi="仿宋_GB2312" w:eastAsia="仿宋_GB2312" w:cs="仿宋_GB2312"/>
          <w:color w:val="auto"/>
          <w:kern w:val="2"/>
          <w:sz w:val="32"/>
          <w:szCs w:val="32"/>
          <w:lang w:eastAsia="zh-CN"/>
        </w:rPr>
        <w:t>其他司法支出</w:t>
      </w:r>
      <w:r>
        <w:rPr>
          <w:rFonts w:hint="eastAsia" w:ascii="仿宋_GB2312" w:hAnsi="仿宋_GB2312" w:eastAsia="仿宋_GB2312" w:cs="仿宋_GB2312"/>
          <w:color w:val="auto"/>
          <w:kern w:val="2"/>
          <w:sz w:val="32"/>
          <w:szCs w:val="32"/>
        </w:rPr>
        <w:t>（项）。年初预算</w:t>
      </w:r>
      <w:r>
        <w:rPr>
          <w:rFonts w:hint="eastAsia" w:ascii="仿宋_GB2312" w:hAnsi="仿宋_GB2312" w:eastAsia="仿宋_GB2312" w:cs="仿宋_GB2312"/>
          <w:color w:val="auto"/>
          <w:kern w:val="2"/>
          <w:sz w:val="32"/>
          <w:szCs w:val="32"/>
          <w:lang w:val="en-US" w:eastAsia="zh-CN"/>
        </w:rPr>
        <w:t>255.37</w:t>
      </w:r>
      <w:r>
        <w:rPr>
          <w:rFonts w:hint="eastAsia" w:ascii="仿宋_GB2312" w:hAnsi="仿宋_GB2312" w:eastAsia="仿宋_GB2312" w:cs="仿宋_GB2312"/>
          <w:color w:val="auto"/>
          <w:kern w:val="2"/>
          <w:sz w:val="32"/>
          <w:szCs w:val="32"/>
        </w:rPr>
        <w:t>万元，支出决算</w:t>
      </w:r>
      <w:r>
        <w:rPr>
          <w:rFonts w:hint="eastAsia" w:ascii="仿宋_GB2312" w:hAnsi="仿宋_GB2312" w:eastAsia="仿宋_GB2312" w:cs="仿宋_GB2312"/>
          <w:color w:val="auto"/>
          <w:kern w:val="2"/>
          <w:sz w:val="32"/>
          <w:szCs w:val="32"/>
          <w:lang w:val="en-US" w:eastAsia="zh-CN"/>
        </w:rPr>
        <w:t>320.01</w:t>
      </w:r>
      <w:r>
        <w:rPr>
          <w:rFonts w:hint="eastAsia" w:ascii="仿宋_GB2312" w:hAnsi="仿宋_GB2312" w:eastAsia="仿宋_GB2312" w:cs="仿宋_GB2312"/>
          <w:color w:val="auto"/>
          <w:kern w:val="2"/>
          <w:sz w:val="32"/>
          <w:szCs w:val="32"/>
        </w:rPr>
        <w:t>万元</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完成年初预算的</w:t>
      </w:r>
      <w:r>
        <w:rPr>
          <w:rFonts w:hint="eastAsia" w:ascii="仿宋_GB2312" w:hAnsi="仿宋_GB2312" w:eastAsia="仿宋_GB2312" w:cs="仿宋_GB2312"/>
          <w:color w:val="auto"/>
          <w:kern w:val="2"/>
          <w:sz w:val="32"/>
          <w:szCs w:val="32"/>
          <w:lang w:val="en-US" w:eastAsia="zh-CN"/>
        </w:rPr>
        <w:t>125.31</w:t>
      </w:r>
      <w:r>
        <w:rPr>
          <w:rFonts w:hint="eastAsia" w:ascii="仿宋_GB2312" w:hAnsi="仿宋_GB2312" w:eastAsia="仿宋_GB2312" w:cs="仿宋_GB2312"/>
          <w:color w:val="auto"/>
          <w:kern w:val="2"/>
          <w:sz w:val="32"/>
          <w:szCs w:val="32"/>
        </w:rPr>
        <w:t>%。决算数与年初预算数的差异原因：支</w:t>
      </w:r>
      <w:r>
        <w:rPr>
          <w:rFonts w:hint="eastAsia" w:ascii="仿宋_GB2312" w:hAnsi="仿宋_GB2312" w:eastAsia="仿宋_GB2312" w:cs="仿宋_GB2312"/>
          <w:color w:val="auto"/>
          <w:kern w:val="2"/>
          <w:sz w:val="32"/>
          <w:szCs w:val="32"/>
          <w:lang w:eastAsia="zh-CN"/>
        </w:rPr>
        <w:t>本年支出上年结转</w:t>
      </w:r>
      <w:r>
        <w:rPr>
          <w:rFonts w:hint="eastAsia" w:ascii="仿宋_GB2312" w:hAnsi="仿宋_GB2312" w:eastAsia="仿宋_GB2312" w:cs="仿宋_GB2312"/>
          <w:color w:val="auto"/>
          <w:kern w:val="2"/>
          <w:sz w:val="32"/>
          <w:szCs w:val="32"/>
        </w:rPr>
        <w:t>中央和自治区政法转移支付资金支出</w:t>
      </w:r>
      <w:r>
        <w:rPr>
          <w:rFonts w:hint="eastAsia" w:ascii="仿宋_GB2312" w:hAnsi="仿宋_GB2312" w:eastAsia="仿宋_GB2312" w:cs="仿宋_GB2312"/>
          <w:color w:val="auto"/>
          <w:kern w:val="2"/>
          <w:sz w:val="32"/>
          <w:szCs w:val="32"/>
          <w:lang w:eastAsia="zh-CN"/>
        </w:rPr>
        <w:t>，用于办案（业务）费和装备费支出</w:t>
      </w:r>
      <w:r>
        <w:rPr>
          <w:rFonts w:hint="eastAsia" w:ascii="仿宋_GB2312" w:hAnsi="仿宋_GB2312" w:eastAsia="仿宋_GB2312" w:cs="仿宋_GB2312"/>
          <w:color w:val="auto"/>
          <w:kern w:val="2"/>
          <w:sz w:val="32"/>
          <w:szCs w:val="32"/>
        </w:rPr>
        <w:t>。</w:t>
      </w:r>
    </w:p>
    <w:p>
      <w:pPr>
        <w:pageBreakBefore w:val="0"/>
        <w:numPr>
          <w:ilvl w:val="0"/>
          <w:numId w:val="4"/>
        </w:numPr>
        <w:kinsoku/>
        <w:wordWrap/>
        <w:overflowPunct/>
        <w:topLinePunct w:val="0"/>
        <w:autoSpaceDE/>
        <w:autoSpaceDN/>
        <w:bidi w:val="0"/>
        <w:spacing w:line="58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强制隔离戒毒（款）行政运行（项）。年初预算1050.68万元，决算支出1013.54万元，完成年初预算的96.47 %。决算数与年初预算数的差异原因：本年度赤峰市强制隔离戒毒所在职人员和退休人员减少人员经费减少。</w:t>
      </w:r>
    </w:p>
    <w:p>
      <w:pPr>
        <w:pageBreakBefore w:val="0"/>
        <w:numPr>
          <w:ilvl w:val="0"/>
          <w:numId w:val="4"/>
        </w:numPr>
        <w:kinsoku/>
        <w:wordWrap/>
        <w:overflowPunct/>
        <w:topLinePunct w:val="0"/>
        <w:autoSpaceDE/>
        <w:autoSpaceDN/>
        <w:bidi w:val="0"/>
        <w:spacing w:line="58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强制隔离戒毒（款）一般行政管理事务（项）。年初预算148.35万元，决算支出39.4</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万元，完成年初预算的26.57%。决算数与年初预算数的差异原因：由于赤峰市强制隔离戒毒所援疆工作天数与预算有差异，所以援疆补助经费未全额支出。</w:t>
      </w:r>
    </w:p>
    <w:p>
      <w:pPr>
        <w:pageBreakBefore w:val="0"/>
        <w:kinsoku/>
        <w:wordWrap/>
        <w:overflowPunct/>
        <w:topLinePunct w:val="0"/>
        <w:autoSpaceDE/>
        <w:autoSpaceDN/>
        <w:bidi w:val="0"/>
        <w:spacing w:line="580" w:lineRule="exact"/>
        <w:ind w:left="0" w:leftChars="0" w:firstLine="640" w:firstLineChars="200"/>
        <w:textAlignment w:val="auto"/>
        <w:rPr>
          <w:rFonts w:hint="eastAsia" w:ascii="楷体" w:hAnsi="楷体" w:eastAsia="楷体" w:cs="楷体"/>
          <w:b w:val="0"/>
          <w:bCs w:val="0"/>
          <w:kern w:val="0"/>
          <w:sz w:val="32"/>
          <w:szCs w:val="32"/>
        </w:rPr>
      </w:pPr>
      <w:r>
        <w:rPr>
          <w:rFonts w:hint="eastAsia" w:ascii="楷体" w:hAnsi="楷体" w:eastAsia="楷体" w:cs="楷体"/>
          <w:b w:val="0"/>
          <w:bCs w:val="0"/>
          <w:kern w:val="0"/>
          <w:sz w:val="32"/>
          <w:szCs w:val="32"/>
        </w:rPr>
        <w:t>（三）社会保障和就业支出（类）</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社会保障和就业支出类决算数为 </w:t>
      </w:r>
      <w:r>
        <w:rPr>
          <w:rFonts w:hint="eastAsia" w:ascii="仿宋_GB2312" w:hAnsi="仿宋_GB2312" w:eastAsia="仿宋_GB2312" w:cs="仿宋_GB2312"/>
          <w:kern w:val="0"/>
          <w:sz w:val="32"/>
          <w:szCs w:val="32"/>
          <w:lang w:val="en-US" w:eastAsia="zh-CN"/>
        </w:rPr>
        <w:t>437.73</w:t>
      </w:r>
      <w:r>
        <w:rPr>
          <w:rFonts w:hint="eastAsia" w:ascii="仿宋_GB2312" w:hAnsi="仿宋_GB2312" w:eastAsia="仿宋_GB2312" w:cs="仿宋_GB2312"/>
          <w:kern w:val="0"/>
          <w:sz w:val="32"/>
          <w:szCs w:val="32"/>
        </w:rPr>
        <w:t>万元，与年初预算相比增加</w:t>
      </w:r>
      <w:r>
        <w:rPr>
          <w:rFonts w:hint="eastAsia" w:ascii="仿宋_GB2312" w:hAnsi="仿宋_GB2312" w:eastAsia="仿宋_GB2312" w:cs="仿宋_GB2312"/>
          <w:kern w:val="0"/>
          <w:sz w:val="32"/>
          <w:szCs w:val="32"/>
          <w:lang w:val="en-US" w:eastAsia="zh-CN"/>
        </w:rPr>
        <w:t>53.65</w:t>
      </w:r>
      <w:r>
        <w:rPr>
          <w:rFonts w:hint="eastAsia" w:ascii="仿宋_GB2312" w:hAnsi="仿宋_GB2312" w:eastAsia="仿宋_GB2312" w:cs="仿宋_GB2312"/>
          <w:kern w:val="0"/>
          <w:sz w:val="32"/>
          <w:szCs w:val="32"/>
        </w:rPr>
        <w:t>万元。其中：</w:t>
      </w:r>
    </w:p>
    <w:p>
      <w:pPr>
        <w:pageBreakBefore w:val="0"/>
        <w:numPr>
          <w:ilvl w:val="0"/>
          <w:numId w:val="5"/>
        </w:numPr>
        <w:kinsoku/>
        <w:wordWrap/>
        <w:overflowPunct/>
        <w:topLinePunct w:val="0"/>
        <w:autoSpaceDE/>
        <w:autoSpaceDN/>
        <w:bidi w:val="0"/>
        <w:spacing w:line="580" w:lineRule="exact"/>
        <w:ind w:left="0" w:lef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行政事业单位养老支出（款）行政单位离退休（项）。年初预算</w:t>
      </w:r>
      <w:r>
        <w:rPr>
          <w:rFonts w:hint="eastAsia" w:ascii="仿宋_GB2312" w:hAnsi="仿宋_GB2312" w:eastAsia="仿宋_GB2312" w:cs="仿宋_GB2312"/>
          <w:color w:val="auto"/>
          <w:kern w:val="2"/>
          <w:sz w:val="32"/>
          <w:szCs w:val="32"/>
          <w:lang w:val="en-US" w:eastAsia="zh-CN"/>
        </w:rPr>
        <w:t>165.31</w:t>
      </w:r>
      <w:r>
        <w:rPr>
          <w:rFonts w:hint="eastAsia" w:ascii="仿宋_GB2312" w:hAnsi="仿宋_GB2312" w:eastAsia="仿宋_GB2312" w:cs="仿宋_GB2312"/>
          <w:color w:val="auto"/>
          <w:kern w:val="2"/>
          <w:sz w:val="32"/>
          <w:szCs w:val="32"/>
        </w:rPr>
        <w:t>万元，支出决算</w:t>
      </w:r>
      <w:r>
        <w:rPr>
          <w:rFonts w:hint="eastAsia" w:ascii="仿宋_GB2312" w:hAnsi="仿宋_GB2312" w:eastAsia="仿宋_GB2312" w:cs="仿宋_GB2312"/>
          <w:color w:val="auto"/>
          <w:kern w:val="2"/>
          <w:sz w:val="32"/>
          <w:szCs w:val="32"/>
          <w:lang w:val="en-US" w:eastAsia="zh-CN"/>
        </w:rPr>
        <w:t>153.25</w:t>
      </w:r>
      <w:r>
        <w:rPr>
          <w:rFonts w:hint="eastAsia" w:ascii="仿宋_GB2312" w:hAnsi="仿宋_GB2312" w:eastAsia="仿宋_GB2312" w:cs="仿宋_GB2312"/>
          <w:color w:val="auto"/>
          <w:kern w:val="2"/>
          <w:sz w:val="32"/>
          <w:szCs w:val="32"/>
        </w:rPr>
        <w:t>万元，完成年初预算的</w:t>
      </w:r>
      <w:r>
        <w:rPr>
          <w:rFonts w:hint="eastAsia" w:ascii="仿宋_GB2312" w:hAnsi="仿宋_GB2312" w:eastAsia="仿宋_GB2312" w:cs="仿宋_GB2312"/>
          <w:color w:val="auto"/>
          <w:kern w:val="2"/>
          <w:sz w:val="32"/>
          <w:szCs w:val="32"/>
          <w:lang w:val="en-US" w:eastAsia="zh-CN"/>
        </w:rPr>
        <w:t>92.7</w:t>
      </w:r>
      <w:r>
        <w:rPr>
          <w:rFonts w:hint="eastAsia" w:ascii="仿宋_GB2312" w:hAnsi="仿宋_GB2312" w:eastAsia="仿宋_GB2312" w:cs="仿宋_GB2312"/>
          <w:color w:val="auto"/>
          <w:kern w:val="2"/>
          <w:sz w:val="32"/>
          <w:szCs w:val="32"/>
        </w:rPr>
        <w:t>%。决算数与年初预算数的差异原因：</w:t>
      </w:r>
      <w:r>
        <w:rPr>
          <w:rFonts w:hint="eastAsia" w:ascii="仿宋_GB2312" w:hAnsi="仿宋_GB2312" w:eastAsia="仿宋_GB2312" w:cs="仿宋_GB2312"/>
          <w:color w:val="auto"/>
          <w:kern w:val="2"/>
          <w:sz w:val="32"/>
          <w:szCs w:val="32"/>
          <w:lang w:eastAsia="zh-CN"/>
        </w:rPr>
        <w:t>一是年初预算中行政单位离退休公用经费2023年度未全部支出；二是退休人员较上年减少。</w:t>
      </w:r>
    </w:p>
    <w:p>
      <w:pPr>
        <w:pageBreakBefore w:val="0"/>
        <w:numPr>
          <w:ilvl w:val="0"/>
          <w:numId w:val="5"/>
        </w:numPr>
        <w:kinsoku/>
        <w:wordWrap/>
        <w:overflowPunct/>
        <w:topLinePunct w:val="0"/>
        <w:autoSpaceDE/>
        <w:autoSpaceDN/>
        <w:bidi w:val="0"/>
        <w:spacing w:line="580" w:lineRule="exact"/>
        <w:ind w:left="0" w:lef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行政事业单位养老支出（款）</w:t>
      </w:r>
      <w:r>
        <w:rPr>
          <w:rFonts w:hint="eastAsia" w:ascii="仿宋_GB2312" w:hAnsi="仿宋_GB2312" w:eastAsia="仿宋_GB2312" w:cs="仿宋_GB2312"/>
          <w:color w:val="auto"/>
          <w:kern w:val="2"/>
          <w:sz w:val="32"/>
          <w:szCs w:val="32"/>
          <w:lang w:eastAsia="zh-CN"/>
        </w:rPr>
        <w:t>机关事业单位基本养老保险缴费支出</w:t>
      </w:r>
      <w:r>
        <w:rPr>
          <w:rFonts w:hint="eastAsia" w:ascii="仿宋_GB2312" w:hAnsi="仿宋_GB2312" w:eastAsia="仿宋_GB2312" w:cs="仿宋_GB2312"/>
          <w:color w:val="auto"/>
          <w:kern w:val="2"/>
          <w:sz w:val="32"/>
          <w:szCs w:val="32"/>
        </w:rPr>
        <w:t>（项）。年初预算</w:t>
      </w:r>
      <w:r>
        <w:rPr>
          <w:rFonts w:hint="eastAsia" w:ascii="仿宋_GB2312" w:hAnsi="仿宋_GB2312" w:eastAsia="仿宋_GB2312" w:cs="仿宋_GB2312"/>
          <w:color w:val="auto"/>
          <w:kern w:val="2"/>
          <w:sz w:val="32"/>
          <w:szCs w:val="32"/>
          <w:lang w:val="en-US" w:eastAsia="zh-CN"/>
        </w:rPr>
        <w:t>214.96</w:t>
      </w:r>
      <w:r>
        <w:rPr>
          <w:rFonts w:hint="eastAsia" w:ascii="仿宋_GB2312" w:hAnsi="仿宋_GB2312" w:eastAsia="仿宋_GB2312" w:cs="仿宋_GB2312"/>
          <w:color w:val="auto"/>
          <w:kern w:val="2"/>
          <w:sz w:val="32"/>
          <w:szCs w:val="32"/>
        </w:rPr>
        <w:t>万元，支出决算</w:t>
      </w:r>
      <w:r>
        <w:rPr>
          <w:rFonts w:hint="eastAsia" w:ascii="仿宋_GB2312" w:hAnsi="仿宋_GB2312" w:eastAsia="仿宋_GB2312" w:cs="仿宋_GB2312"/>
          <w:color w:val="auto"/>
          <w:kern w:val="2"/>
          <w:sz w:val="32"/>
          <w:szCs w:val="32"/>
          <w:lang w:val="en-US" w:eastAsia="zh-CN"/>
        </w:rPr>
        <w:t>192.43</w:t>
      </w:r>
      <w:r>
        <w:rPr>
          <w:rFonts w:hint="eastAsia" w:ascii="仿宋_GB2312" w:hAnsi="仿宋_GB2312" w:eastAsia="仿宋_GB2312" w:cs="仿宋_GB2312"/>
          <w:color w:val="auto"/>
          <w:kern w:val="2"/>
          <w:sz w:val="32"/>
          <w:szCs w:val="32"/>
        </w:rPr>
        <w:t>万元，完成年初预算的</w:t>
      </w:r>
      <w:r>
        <w:rPr>
          <w:rFonts w:hint="eastAsia" w:ascii="仿宋_GB2312" w:hAnsi="仿宋_GB2312" w:eastAsia="仿宋_GB2312" w:cs="仿宋_GB2312"/>
          <w:color w:val="auto"/>
          <w:kern w:val="2"/>
          <w:sz w:val="32"/>
          <w:szCs w:val="32"/>
          <w:lang w:val="en-US" w:eastAsia="zh-CN"/>
        </w:rPr>
        <w:t>89.52</w:t>
      </w:r>
      <w:r>
        <w:rPr>
          <w:rFonts w:hint="eastAsia" w:ascii="仿宋_GB2312" w:hAnsi="仿宋_GB2312" w:eastAsia="仿宋_GB2312" w:cs="仿宋_GB2312"/>
          <w:color w:val="auto"/>
          <w:kern w:val="2"/>
          <w:sz w:val="32"/>
          <w:szCs w:val="32"/>
        </w:rPr>
        <w:t>%。决算数与年初预算数的差异原因：</w:t>
      </w:r>
      <w:r>
        <w:rPr>
          <w:rFonts w:hint="eastAsia" w:ascii="仿宋_GB2312" w:hAnsi="仿宋_GB2312" w:eastAsia="仿宋_GB2312" w:cs="仿宋_GB2312"/>
          <w:color w:val="auto"/>
          <w:kern w:val="2"/>
          <w:sz w:val="32"/>
          <w:szCs w:val="32"/>
          <w:lang w:eastAsia="zh-CN"/>
        </w:rPr>
        <w:t>由于赤峰市强制隔离戒毒所</w:t>
      </w:r>
      <w:r>
        <w:rPr>
          <w:rFonts w:hint="eastAsia" w:ascii="仿宋_GB2312" w:hAnsi="仿宋_GB2312" w:eastAsia="仿宋_GB2312" w:cs="仿宋_GB2312"/>
          <w:color w:val="auto"/>
          <w:kern w:val="2"/>
          <w:sz w:val="32"/>
          <w:szCs w:val="32"/>
          <w:lang w:val="en-US" w:eastAsia="zh-CN"/>
        </w:rPr>
        <w:t>2024年度在职人员人数较年初预算减少，所以基本养老保险缴费支出减少</w:t>
      </w:r>
      <w:r>
        <w:rPr>
          <w:rFonts w:hint="eastAsia" w:ascii="仿宋_GB2312" w:hAnsi="仿宋_GB2312" w:eastAsia="仿宋_GB2312" w:cs="仿宋_GB2312"/>
          <w:color w:val="auto"/>
          <w:kern w:val="2"/>
          <w:sz w:val="32"/>
          <w:szCs w:val="32"/>
        </w:rPr>
        <w:t>。</w:t>
      </w:r>
    </w:p>
    <w:p>
      <w:pPr>
        <w:pageBreakBefore w:val="0"/>
        <w:numPr>
          <w:ilvl w:val="0"/>
          <w:numId w:val="5"/>
        </w:numPr>
        <w:kinsoku/>
        <w:wordWrap/>
        <w:overflowPunct/>
        <w:topLinePunct w:val="0"/>
        <w:autoSpaceDE/>
        <w:autoSpaceDN/>
        <w:bidi w:val="0"/>
        <w:spacing w:line="580" w:lineRule="exact"/>
        <w:ind w:left="0" w:lef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eastAsia="zh-CN"/>
        </w:rPr>
        <w:t>行政事业单位养老支出（款）机关事业单位职业年金缴费支出（项）。年初预算0万元，支出决算</w:t>
      </w:r>
      <w:r>
        <w:rPr>
          <w:rFonts w:hint="eastAsia" w:ascii="仿宋_GB2312" w:hAnsi="仿宋_GB2312" w:eastAsia="仿宋_GB2312" w:cs="仿宋_GB2312"/>
          <w:color w:val="auto"/>
          <w:kern w:val="2"/>
          <w:sz w:val="32"/>
          <w:szCs w:val="32"/>
          <w:lang w:val="en-US" w:eastAsia="zh-CN"/>
        </w:rPr>
        <w:t>31.13</w:t>
      </w:r>
      <w:r>
        <w:rPr>
          <w:rFonts w:hint="eastAsia" w:ascii="仿宋_GB2312" w:hAnsi="仿宋_GB2312" w:eastAsia="仿宋_GB2312" w:cs="仿宋_GB2312"/>
          <w:color w:val="auto"/>
          <w:kern w:val="2"/>
          <w:sz w:val="32"/>
          <w:szCs w:val="32"/>
          <w:lang w:eastAsia="zh-CN"/>
        </w:rPr>
        <w:t>万元。决算数与年初预算数的差异原因：本年度补缴</w:t>
      </w:r>
      <w:r>
        <w:rPr>
          <w:rFonts w:hint="eastAsia" w:ascii="仿宋_GB2312" w:hAnsi="仿宋_GB2312" w:eastAsia="仿宋_GB2312" w:cs="仿宋_GB2312"/>
          <w:color w:val="auto"/>
          <w:kern w:val="2"/>
          <w:sz w:val="32"/>
          <w:szCs w:val="32"/>
          <w:lang w:val="en-US" w:eastAsia="zh-CN"/>
        </w:rPr>
        <w:t>2名调出人员和4</w:t>
      </w:r>
      <w:r>
        <w:rPr>
          <w:rFonts w:hint="eastAsia" w:ascii="仿宋_GB2312" w:hAnsi="仿宋_GB2312" w:eastAsia="仿宋_GB2312" w:cs="仿宋_GB2312"/>
          <w:color w:val="auto"/>
          <w:kern w:val="2"/>
          <w:sz w:val="32"/>
          <w:szCs w:val="32"/>
          <w:lang w:eastAsia="zh-CN"/>
        </w:rPr>
        <w:t>名退休人员职业年金。</w:t>
      </w:r>
    </w:p>
    <w:p>
      <w:pPr>
        <w:pageBreakBefore w:val="0"/>
        <w:numPr>
          <w:ilvl w:val="0"/>
          <w:numId w:val="5"/>
        </w:numPr>
        <w:kinsoku/>
        <w:wordWrap/>
        <w:overflowPunct/>
        <w:topLinePunct w:val="0"/>
        <w:autoSpaceDE/>
        <w:autoSpaceDN/>
        <w:bidi w:val="0"/>
        <w:spacing w:line="580" w:lineRule="exact"/>
        <w:ind w:left="0" w:lef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行政事业单位养老支出（款）死亡抚恤支出（项）。年初预算0万元，支出决算57.32万元，完成年初预算的0%。决算数与年初预算数的差异原因：2024年度</w:t>
      </w:r>
      <w:r>
        <w:rPr>
          <w:rFonts w:hint="eastAsia" w:ascii="仿宋_GB2312" w:hAnsi="仿宋_GB2312" w:eastAsia="仿宋_GB2312" w:cs="仿宋_GB2312"/>
          <w:color w:val="auto"/>
          <w:kern w:val="2"/>
          <w:sz w:val="32"/>
          <w:szCs w:val="32"/>
          <w:lang w:eastAsia="zh-CN"/>
        </w:rPr>
        <w:t>赤峰市强制隔离戒毒所</w:t>
      </w:r>
      <w:r>
        <w:rPr>
          <w:rFonts w:hint="eastAsia" w:ascii="仿宋_GB2312" w:hAnsi="仿宋_GB2312" w:eastAsia="仿宋_GB2312" w:cs="仿宋_GB2312"/>
          <w:color w:val="auto"/>
          <w:kern w:val="2"/>
          <w:sz w:val="32"/>
          <w:szCs w:val="32"/>
        </w:rPr>
        <w:t>新增2个人的死亡抚恤金</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本年追加预算。</w:t>
      </w:r>
    </w:p>
    <w:p>
      <w:pPr>
        <w:pageBreakBefore w:val="0"/>
        <w:numPr>
          <w:ilvl w:val="0"/>
          <w:numId w:val="5"/>
        </w:numPr>
        <w:kinsoku/>
        <w:wordWrap/>
        <w:overflowPunct/>
        <w:topLinePunct w:val="0"/>
        <w:autoSpaceDE/>
        <w:autoSpaceDN/>
        <w:bidi w:val="0"/>
        <w:spacing w:line="580" w:lineRule="exact"/>
        <w:ind w:left="0" w:lef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eastAsia="zh-CN"/>
        </w:rPr>
        <w:t>其他社会保障和就业</w:t>
      </w:r>
      <w:r>
        <w:rPr>
          <w:rFonts w:hint="eastAsia" w:ascii="仿宋_GB2312" w:hAnsi="仿宋_GB2312" w:eastAsia="仿宋_GB2312" w:cs="仿宋_GB2312"/>
          <w:color w:val="auto"/>
          <w:kern w:val="2"/>
          <w:sz w:val="32"/>
          <w:szCs w:val="32"/>
        </w:rPr>
        <w:t>支出（款）</w:t>
      </w:r>
      <w:r>
        <w:rPr>
          <w:rFonts w:hint="eastAsia" w:ascii="仿宋_GB2312" w:hAnsi="仿宋_GB2312" w:eastAsia="仿宋_GB2312" w:cs="仿宋_GB2312"/>
          <w:color w:val="auto"/>
          <w:kern w:val="2"/>
          <w:sz w:val="32"/>
          <w:szCs w:val="32"/>
          <w:lang w:eastAsia="zh-CN"/>
        </w:rPr>
        <w:t>其他社会保障和就业</w:t>
      </w:r>
      <w:r>
        <w:rPr>
          <w:rFonts w:hint="eastAsia" w:ascii="仿宋_GB2312" w:hAnsi="仿宋_GB2312" w:eastAsia="仿宋_GB2312" w:cs="仿宋_GB2312"/>
          <w:color w:val="auto"/>
          <w:kern w:val="2"/>
          <w:sz w:val="32"/>
          <w:szCs w:val="32"/>
        </w:rPr>
        <w:t>支出（项）。年初预算</w:t>
      </w:r>
      <w:r>
        <w:rPr>
          <w:rFonts w:hint="eastAsia" w:ascii="仿宋_GB2312" w:hAnsi="仿宋_GB2312" w:eastAsia="仿宋_GB2312" w:cs="仿宋_GB2312"/>
          <w:color w:val="auto"/>
          <w:kern w:val="2"/>
          <w:sz w:val="32"/>
          <w:szCs w:val="32"/>
          <w:lang w:val="en-US" w:eastAsia="zh-CN"/>
        </w:rPr>
        <w:t>3.8</w:t>
      </w:r>
      <w:r>
        <w:rPr>
          <w:rFonts w:hint="eastAsia" w:ascii="仿宋_GB2312" w:hAnsi="仿宋_GB2312" w:eastAsia="仿宋_GB2312" w:cs="仿宋_GB2312"/>
          <w:color w:val="auto"/>
          <w:kern w:val="2"/>
          <w:sz w:val="32"/>
          <w:szCs w:val="32"/>
        </w:rPr>
        <w:t>万元，支出决算</w:t>
      </w:r>
      <w:r>
        <w:rPr>
          <w:rFonts w:hint="eastAsia" w:ascii="仿宋_GB2312" w:hAnsi="仿宋_GB2312" w:eastAsia="仿宋_GB2312" w:cs="仿宋_GB2312"/>
          <w:color w:val="auto"/>
          <w:kern w:val="2"/>
          <w:sz w:val="32"/>
          <w:szCs w:val="32"/>
          <w:lang w:val="en-US" w:eastAsia="zh-CN"/>
        </w:rPr>
        <w:t>3.6</w:t>
      </w:r>
      <w:r>
        <w:rPr>
          <w:rFonts w:hint="eastAsia" w:ascii="仿宋_GB2312" w:hAnsi="仿宋_GB2312" w:eastAsia="仿宋_GB2312" w:cs="仿宋_GB2312"/>
          <w:color w:val="auto"/>
          <w:kern w:val="2"/>
          <w:sz w:val="32"/>
          <w:szCs w:val="32"/>
        </w:rPr>
        <w:t>万元，完成年初预算的</w:t>
      </w:r>
      <w:r>
        <w:rPr>
          <w:rFonts w:hint="eastAsia" w:ascii="仿宋_GB2312" w:hAnsi="仿宋_GB2312" w:eastAsia="仿宋_GB2312" w:cs="仿宋_GB2312"/>
          <w:color w:val="auto"/>
          <w:kern w:val="2"/>
          <w:sz w:val="32"/>
          <w:szCs w:val="32"/>
          <w:lang w:val="en-US" w:eastAsia="zh-CN"/>
        </w:rPr>
        <w:t>194.74</w:t>
      </w:r>
      <w:r>
        <w:rPr>
          <w:rFonts w:hint="eastAsia" w:ascii="仿宋_GB2312" w:hAnsi="仿宋_GB2312" w:eastAsia="仿宋_GB2312" w:cs="仿宋_GB2312"/>
          <w:color w:val="auto"/>
          <w:kern w:val="2"/>
          <w:sz w:val="32"/>
          <w:szCs w:val="32"/>
        </w:rPr>
        <w:t>%</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决算数与年初预算数</w:t>
      </w:r>
      <w:r>
        <w:rPr>
          <w:rFonts w:hint="eastAsia" w:ascii="仿宋_GB2312" w:hAnsi="仿宋_GB2312" w:eastAsia="仿宋_GB2312" w:cs="仿宋_GB2312"/>
          <w:color w:val="auto"/>
          <w:kern w:val="2"/>
          <w:sz w:val="32"/>
          <w:szCs w:val="32"/>
          <w:lang w:eastAsia="zh-CN"/>
        </w:rPr>
        <w:t>无明显差异</w:t>
      </w:r>
      <w:r>
        <w:rPr>
          <w:rFonts w:hint="eastAsia" w:ascii="仿宋_GB2312" w:hAnsi="仿宋_GB2312" w:eastAsia="仿宋_GB2312" w:cs="仿宋_GB2312"/>
          <w:color w:val="auto"/>
          <w:kern w:val="2"/>
          <w:sz w:val="32"/>
          <w:szCs w:val="32"/>
        </w:rPr>
        <w:t>。</w:t>
      </w:r>
    </w:p>
    <w:p>
      <w:pPr>
        <w:pageBreakBefore w:val="0"/>
        <w:widowControl/>
        <w:kinsoku/>
        <w:wordWrap/>
        <w:overflowPunct/>
        <w:topLinePunct w:val="0"/>
        <w:autoSpaceDE/>
        <w:autoSpaceDN/>
        <w:bidi w:val="0"/>
        <w:spacing w:line="580" w:lineRule="exact"/>
        <w:ind w:firstLine="640" w:firstLineChars="200"/>
        <w:jc w:val="left"/>
        <w:textAlignment w:val="auto"/>
        <w:rPr>
          <w:rFonts w:hint="eastAsia" w:ascii="楷体" w:hAnsi="楷体" w:eastAsia="楷体" w:cs="楷体"/>
          <w:b w:val="0"/>
          <w:bCs w:val="0"/>
          <w:kern w:val="0"/>
          <w:sz w:val="32"/>
          <w:szCs w:val="32"/>
        </w:rPr>
      </w:pPr>
      <w:r>
        <w:rPr>
          <w:rFonts w:hint="eastAsia" w:ascii="楷体" w:hAnsi="楷体" w:eastAsia="楷体" w:cs="楷体"/>
          <w:b w:val="0"/>
          <w:bCs w:val="0"/>
          <w:kern w:val="0"/>
          <w:sz w:val="32"/>
          <w:szCs w:val="32"/>
        </w:rPr>
        <w:t>（四）卫生健康支出（类）</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卫生健康支出类决算数为 </w:t>
      </w:r>
      <w:r>
        <w:rPr>
          <w:rFonts w:hint="eastAsia" w:ascii="仿宋_GB2312" w:hAnsi="仿宋_GB2312" w:eastAsia="仿宋_GB2312" w:cs="仿宋_GB2312"/>
          <w:kern w:val="0"/>
          <w:sz w:val="32"/>
          <w:szCs w:val="32"/>
          <w:lang w:val="en-US" w:eastAsia="zh-CN"/>
        </w:rPr>
        <w:t>121.03</w:t>
      </w:r>
      <w:r>
        <w:rPr>
          <w:rFonts w:hint="eastAsia" w:ascii="仿宋_GB2312" w:hAnsi="仿宋_GB2312" w:eastAsia="仿宋_GB2312" w:cs="仿宋_GB2312"/>
          <w:kern w:val="0"/>
          <w:sz w:val="32"/>
          <w:szCs w:val="32"/>
        </w:rPr>
        <w:t>万元，与年初预算相比</w:t>
      </w:r>
      <w:r>
        <w:rPr>
          <w:rFonts w:hint="eastAsia" w:ascii="仿宋_GB2312" w:hAnsi="仿宋_GB2312" w:eastAsia="仿宋_GB2312" w:cs="仿宋_GB2312"/>
          <w:kern w:val="0"/>
          <w:sz w:val="32"/>
          <w:szCs w:val="32"/>
          <w:lang w:eastAsia="zh-CN"/>
        </w:rPr>
        <w:t>减少</w:t>
      </w:r>
      <w:r>
        <w:rPr>
          <w:rFonts w:hint="eastAsia" w:ascii="仿宋_GB2312" w:hAnsi="仿宋_GB2312" w:eastAsia="仿宋_GB2312" w:cs="仿宋_GB2312"/>
          <w:kern w:val="0"/>
          <w:sz w:val="32"/>
          <w:szCs w:val="32"/>
          <w:lang w:val="en-US" w:eastAsia="zh-CN"/>
        </w:rPr>
        <w:t>3.63</w:t>
      </w:r>
      <w:r>
        <w:rPr>
          <w:rFonts w:hint="eastAsia" w:ascii="仿宋_GB2312" w:hAnsi="仿宋_GB2312" w:eastAsia="仿宋_GB2312" w:cs="仿宋_GB2312"/>
          <w:kern w:val="0"/>
          <w:sz w:val="32"/>
          <w:szCs w:val="32"/>
        </w:rPr>
        <w:t>万元。其中：</w:t>
      </w:r>
    </w:p>
    <w:p>
      <w:pPr>
        <w:pageBreakBefore w:val="0"/>
        <w:widowControl/>
        <w:numPr>
          <w:ilvl w:val="0"/>
          <w:numId w:val="6"/>
        </w:numPr>
        <w:kinsoku/>
        <w:wordWrap/>
        <w:overflowPunct/>
        <w:topLinePunct w:val="0"/>
        <w:autoSpaceDE/>
        <w:autoSpaceDN/>
        <w:bidi w:val="0"/>
        <w:spacing w:line="580" w:lineRule="exact"/>
        <w:ind w:left="0" w:lef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行政事业单位医疗（款）行政单位医疗（项）。年初预算</w:t>
      </w:r>
      <w:r>
        <w:rPr>
          <w:rFonts w:hint="eastAsia" w:ascii="仿宋_GB2312" w:hAnsi="仿宋_GB2312" w:eastAsia="仿宋_GB2312" w:cs="仿宋_GB2312"/>
          <w:color w:val="auto"/>
          <w:kern w:val="2"/>
          <w:sz w:val="32"/>
          <w:szCs w:val="32"/>
          <w:lang w:val="en-US" w:eastAsia="zh-CN"/>
        </w:rPr>
        <w:t>123.98</w:t>
      </w:r>
      <w:r>
        <w:rPr>
          <w:rFonts w:hint="eastAsia" w:ascii="仿宋_GB2312" w:hAnsi="仿宋_GB2312" w:eastAsia="仿宋_GB2312" w:cs="仿宋_GB2312"/>
          <w:color w:val="auto"/>
          <w:kern w:val="2"/>
          <w:sz w:val="32"/>
          <w:szCs w:val="32"/>
        </w:rPr>
        <w:t>万元，支出决算</w:t>
      </w:r>
      <w:r>
        <w:rPr>
          <w:rFonts w:hint="eastAsia" w:ascii="仿宋_GB2312" w:hAnsi="仿宋_GB2312" w:eastAsia="仿宋_GB2312" w:cs="仿宋_GB2312"/>
          <w:color w:val="auto"/>
          <w:kern w:val="2"/>
          <w:sz w:val="32"/>
          <w:szCs w:val="32"/>
          <w:lang w:val="en-US" w:eastAsia="zh-CN"/>
        </w:rPr>
        <w:t>116.15</w:t>
      </w:r>
      <w:r>
        <w:rPr>
          <w:rFonts w:hint="eastAsia" w:ascii="仿宋_GB2312" w:hAnsi="仿宋_GB2312" w:eastAsia="仿宋_GB2312" w:cs="仿宋_GB2312"/>
          <w:color w:val="auto"/>
          <w:kern w:val="2"/>
          <w:sz w:val="32"/>
          <w:szCs w:val="32"/>
        </w:rPr>
        <w:t>万元，完成年初预算的</w:t>
      </w:r>
      <w:r>
        <w:rPr>
          <w:rFonts w:hint="eastAsia" w:ascii="仿宋_GB2312" w:hAnsi="仿宋_GB2312" w:eastAsia="仿宋_GB2312" w:cs="仿宋_GB2312"/>
          <w:color w:val="auto"/>
          <w:kern w:val="2"/>
          <w:sz w:val="32"/>
          <w:szCs w:val="32"/>
          <w:lang w:val="en-US" w:eastAsia="zh-CN"/>
        </w:rPr>
        <w:t>93.68</w:t>
      </w:r>
      <w:r>
        <w:rPr>
          <w:rFonts w:hint="eastAsia" w:ascii="仿宋_GB2312" w:hAnsi="仿宋_GB2312" w:eastAsia="仿宋_GB2312" w:cs="仿宋_GB2312"/>
          <w:color w:val="auto"/>
          <w:kern w:val="2"/>
          <w:sz w:val="32"/>
          <w:szCs w:val="32"/>
        </w:rPr>
        <w:t>%。决算数与年初预算数的差异原因：</w:t>
      </w:r>
      <w:r>
        <w:rPr>
          <w:rFonts w:hint="eastAsia" w:ascii="仿宋_GB2312" w:hAnsi="仿宋_GB2312" w:eastAsia="仿宋_GB2312" w:cs="仿宋_GB2312"/>
          <w:color w:val="auto"/>
          <w:kern w:val="2"/>
          <w:sz w:val="32"/>
          <w:szCs w:val="32"/>
          <w:lang w:eastAsia="zh-CN"/>
        </w:rPr>
        <w:t>由于本年人员调整，导致缴纳医疗保险总额较预算有所减少。</w:t>
      </w:r>
    </w:p>
    <w:p>
      <w:pPr>
        <w:pageBreakBefore w:val="0"/>
        <w:widowControl/>
        <w:numPr>
          <w:ilvl w:val="0"/>
          <w:numId w:val="6"/>
        </w:numPr>
        <w:kinsoku/>
        <w:wordWrap/>
        <w:overflowPunct/>
        <w:topLinePunct w:val="0"/>
        <w:autoSpaceDE/>
        <w:autoSpaceDN/>
        <w:bidi w:val="0"/>
        <w:spacing w:line="580" w:lineRule="exact"/>
        <w:ind w:left="0" w:lef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行政事业单位医疗（款）事业单位医疗（项）。年初预算</w:t>
      </w:r>
      <w:r>
        <w:rPr>
          <w:rFonts w:hint="eastAsia" w:ascii="仿宋_GB2312" w:hAnsi="仿宋_GB2312" w:eastAsia="仿宋_GB2312" w:cs="仿宋_GB2312"/>
          <w:color w:val="auto"/>
          <w:kern w:val="2"/>
          <w:sz w:val="32"/>
          <w:szCs w:val="32"/>
          <w:lang w:val="en-US" w:eastAsia="zh-CN"/>
        </w:rPr>
        <w:t>0.68</w:t>
      </w:r>
      <w:r>
        <w:rPr>
          <w:rFonts w:hint="eastAsia" w:ascii="仿宋_GB2312" w:hAnsi="仿宋_GB2312" w:eastAsia="仿宋_GB2312" w:cs="仿宋_GB2312"/>
          <w:color w:val="auto"/>
          <w:kern w:val="2"/>
          <w:sz w:val="32"/>
          <w:szCs w:val="32"/>
        </w:rPr>
        <w:t>万元，支出决算</w:t>
      </w:r>
      <w:r>
        <w:rPr>
          <w:rFonts w:hint="eastAsia" w:ascii="仿宋_GB2312" w:hAnsi="仿宋_GB2312" w:eastAsia="仿宋_GB2312" w:cs="仿宋_GB2312"/>
          <w:color w:val="auto"/>
          <w:kern w:val="2"/>
          <w:sz w:val="32"/>
          <w:szCs w:val="32"/>
          <w:lang w:val="en-US" w:eastAsia="zh-CN"/>
        </w:rPr>
        <w:t>0.68</w:t>
      </w:r>
      <w:r>
        <w:rPr>
          <w:rFonts w:hint="eastAsia" w:ascii="仿宋_GB2312" w:hAnsi="仿宋_GB2312" w:eastAsia="仿宋_GB2312" w:cs="仿宋_GB2312"/>
          <w:color w:val="auto"/>
          <w:kern w:val="2"/>
          <w:sz w:val="32"/>
          <w:szCs w:val="32"/>
        </w:rPr>
        <w:t>万元，完成年初预算的</w:t>
      </w:r>
      <w:r>
        <w:rPr>
          <w:rFonts w:hint="eastAsia" w:ascii="仿宋_GB2312" w:hAnsi="仿宋_GB2312" w:eastAsia="仿宋_GB2312" w:cs="仿宋_GB2312"/>
          <w:color w:val="auto"/>
          <w:kern w:val="2"/>
          <w:sz w:val="32"/>
          <w:szCs w:val="32"/>
          <w:lang w:val="en-US" w:eastAsia="zh-CN"/>
        </w:rPr>
        <w:t>100</w:t>
      </w:r>
      <w:r>
        <w:rPr>
          <w:rFonts w:hint="eastAsia" w:ascii="仿宋_GB2312" w:hAnsi="仿宋_GB2312" w:eastAsia="仿宋_GB2312" w:cs="仿宋_GB2312"/>
          <w:color w:val="auto"/>
          <w:kern w:val="2"/>
          <w:sz w:val="32"/>
          <w:szCs w:val="32"/>
        </w:rPr>
        <w:t>%。决算数与年初预算数</w:t>
      </w:r>
      <w:r>
        <w:rPr>
          <w:rFonts w:hint="eastAsia" w:ascii="仿宋_GB2312" w:hAnsi="仿宋_GB2312" w:eastAsia="仿宋_GB2312" w:cs="仿宋_GB2312"/>
          <w:color w:val="auto"/>
          <w:kern w:val="2"/>
          <w:sz w:val="32"/>
          <w:szCs w:val="32"/>
          <w:lang w:eastAsia="zh-CN"/>
        </w:rPr>
        <w:t>无差异</w:t>
      </w:r>
      <w:r>
        <w:rPr>
          <w:rFonts w:hint="eastAsia" w:ascii="仿宋_GB2312" w:hAnsi="仿宋_GB2312" w:eastAsia="仿宋_GB2312" w:cs="仿宋_GB2312"/>
          <w:color w:val="auto"/>
          <w:kern w:val="2"/>
          <w:sz w:val="32"/>
          <w:szCs w:val="32"/>
        </w:rPr>
        <w:t>。</w:t>
      </w:r>
    </w:p>
    <w:p>
      <w:pPr>
        <w:pageBreakBefore w:val="0"/>
        <w:widowControl/>
        <w:numPr>
          <w:ilvl w:val="0"/>
          <w:numId w:val="6"/>
        </w:numPr>
        <w:kinsoku/>
        <w:wordWrap/>
        <w:overflowPunct/>
        <w:topLinePunct w:val="0"/>
        <w:autoSpaceDE/>
        <w:autoSpaceDN/>
        <w:bidi w:val="0"/>
        <w:spacing w:line="580" w:lineRule="exact"/>
        <w:ind w:left="0" w:leftChars="0" w:firstLine="640" w:firstLineChars="200"/>
        <w:jc w:val="both"/>
        <w:textAlignment w:val="auto"/>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rPr>
        <w:t>行政事业单位医疗（款）公务员医疗补助（项）。年初预算</w:t>
      </w:r>
      <w:r>
        <w:rPr>
          <w:rFonts w:hint="eastAsia" w:ascii="仿宋_GB2312" w:hAnsi="仿宋_GB2312" w:eastAsia="仿宋_GB2312" w:cs="仿宋_GB2312"/>
          <w:color w:val="auto"/>
          <w:kern w:val="2"/>
          <w:sz w:val="32"/>
          <w:szCs w:val="32"/>
          <w:lang w:val="en-US" w:eastAsia="zh-CN"/>
        </w:rPr>
        <w:t>0</w:t>
      </w:r>
      <w:r>
        <w:rPr>
          <w:rFonts w:hint="eastAsia" w:ascii="仿宋_GB2312" w:hAnsi="仿宋_GB2312" w:eastAsia="仿宋_GB2312" w:cs="仿宋_GB2312"/>
          <w:color w:val="auto"/>
          <w:kern w:val="2"/>
          <w:sz w:val="32"/>
          <w:szCs w:val="32"/>
        </w:rPr>
        <w:t>万元，支出决算</w:t>
      </w:r>
      <w:r>
        <w:rPr>
          <w:rFonts w:hint="eastAsia" w:ascii="仿宋_GB2312" w:hAnsi="仿宋_GB2312" w:eastAsia="仿宋_GB2312" w:cs="仿宋_GB2312"/>
          <w:color w:val="auto"/>
          <w:kern w:val="2"/>
          <w:sz w:val="32"/>
          <w:szCs w:val="32"/>
          <w:lang w:val="en-US" w:eastAsia="zh-CN"/>
        </w:rPr>
        <w:t>4.2</w:t>
      </w:r>
      <w:r>
        <w:rPr>
          <w:rFonts w:hint="eastAsia" w:ascii="仿宋_GB2312" w:hAnsi="仿宋_GB2312" w:eastAsia="仿宋_GB2312" w:cs="仿宋_GB2312"/>
          <w:color w:val="auto"/>
          <w:kern w:val="2"/>
          <w:sz w:val="32"/>
          <w:szCs w:val="32"/>
        </w:rPr>
        <w:t>万元。决算数与年初预算数的差异原因：</w:t>
      </w:r>
      <w:r>
        <w:rPr>
          <w:rFonts w:hint="eastAsia" w:ascii="仿宋_GB2312" w:hAnsi="仿宋_GB2312" w:eastAsia="仿宋_GB2312" w:cs="仿宋_GB2312"/>
          <w:color w:val="auto"/>
          <w:kern w:val="2"/>
          <w:sz w:val="32"/>
          <w:szCs w:val="32"/>
          <w:lang w:eastAsia="zh-CN"/>
        </w:rPr>
        <w:t>本年度在本单位只缴了1月份的公务员医疗补助，</w:t>
      </w:r>
      <w:r>
        <w:rPr>
          <w:rFonts w:hint="eastAsia" w:ascii="仿宋_GB2312" w:hAnsi="仿宋_GB2312" w:eastAsia="仿宋_GB2312" w:cs="仿宋_GB2312"/>
          <w:color w:val="auto"/>
          <w:kern w:val="2"/>
          <w:sz w:val="32"/>
          <w:szCs w:val="32"/>
          <w:lang w:val="en-US" w:eastAsia="zh-CN"/>
        </w:rPr>
        <w:t>2月以后</w:t>
      </w:r>
      <w:r>
        <w:rPr>
          <w:rFonts w:hint="eastAsia" w:ascii="仿宋_GB2312" w:hAnsi="仿宋_GB2312" w:eastAsia="仿宋_GB2312" w:cs="仿宋_GB2312"/>
          <w:color w:val="auto"/>
          <w:kern w:val="2"/>
          <w:sz w:val="32"/>
          <w:szCs w:val="32"/>
          <w:lang w:eastAsia="zh-CN"/>
        </w:rPr>
        <w:t>公务员医疗补助不再由单位自行缴纳。</w:t>
      </w:r>
    </w:p>
    <w:p>
      <w:pPr>
        <w:keepNext w:val="0"/>
        <w:keepLines w:val="0"/>
        <w:pageBreakBefore w:val="0"/>
        <w:tabs>
          <w:tab w:val="left" w:pos="4275"/>
        </w:tabs>
        <w:kinsoku/>
        <w:wordWrap/>
        <w:overflowPunct/>
        <w:topLinePunct w:val="0"/>
        <w:autoSpaceDE/>
        <w:autoSpaceDN/>
        <w:bidi w:val="0"/>
        <w:adjustRightInd/>
        <w:snapToGrid/>
        <w:spacing w:line="580" w:lineRule="exact"/>
        <w:ind w:left="0" w:leftChars="0" w:firstLine="643"/>
        <w:jc w:val="both"/>
        <w:textAlignment w:val="auto"/>
        <w:rPr>
          <w:rFonts w:hint="default" w:ascii="Times New Roman" w:hAnsi="Times New Roman" w:eastAsia="Times New Roman"/>
          <w:b w:val="0"/>
          <w:bCs/>
          <w:color w:val="auto"/>
          <w:kern w:val="2"/>
          <w:sz w:val="32"/>
          <w:szCs w:val="24"/>
          <w:u w:val="none"/>
        </w:rPr>
      </w:pPr>
      <w:r>
        <w:rPr>
          <w:rFonts w:hint="eastAsia" w:ascii="楷体" w:hAnsi="楷体" w:eastAsia="楷体"/>
          <w:b w:val="0"/>
          <w:bCs/>
          <w:color w:val="auto"/>
          <w:kern w:val="2"/>
          <w:sz w:val="32"/>
          <w:szCs w:val="24"/>
          <w:u w:val="none"/>
        </w:rPr>
        <w:t>（五）</w:t>
      </w:r>
      <w:r>
        <w:rPr>
          <w:rFonts w:hint="eastAsia" w:ascii="楷体" w:hAnsi="楷体" w:eastAsia="楷体"/>
          <w:b w:val="0"/>
          <w:bCs/>
          <w:color w:val="auto"/>
          <w:kern w:val="2"/>
          <w:sz w:val="32"/>
          <w:szCs w:val="24"/>
          <w:u w:val="none"/>
          <w:lang w:eastAsia="zh-CN"/>
        </w:rPr>
        <w:t>农林水</w:t>
      </w:r>
      <w:r>
        <w:rPr>
          <w:rFonts w:hint="eastAsia" w:ascii="楷体" w:hAnsi="楷体" w:eastAsia="楷体"/>
          <w:b w:val="0"/>
          <w:bCs/>
          <w:color w:val="auto"/>
          <w:kern w:val="2"/>
          <w:sz w:val="32"/>
          <w:szCs w:val="24"/>
          <w:u w:val="none"/>
        </w:rPr>
        <w:t>支出（类）</w:t>
      </w:r>
    </w:p>
    <w:p>
      <w:pPr>
        <w:keepNext w:val="0"/>
        <w:keepLines w:val="0"/>
        <w:pageBreakBefore w:val="0"/>
        <w:kinsoku/>
        <w:wordWrap/>
        <w:overflowPunct/>
        <w:topLinePunct w:val="0"/>
        <w:autoSpaceDE/>
        <w:autoSpaceDN/>
        <w:bidi w:val="0"/>
        <w:adjustRightInd/>
        <w:snapToGrid/>
        <w:spacing w:line="580" w:lineRule="exact"/>
        <w:ind w:left="0" w:leftChars="0" w:firstLine="640"/>
        <w:jc w:val="both"/>
        <w:textAlignment w:val="auto"/>
        <w:rPr>
          <w:rFonts w:hint="default" w:ascii="Times New Roman" w:hAnsi="Times New Roman" w:eastAsia="Times New Roman"/>
          <w:color w:val="auto"/>
          <w:kern w:val="2"/>
          <w:sz w:val="32"/>
          <w:szCs w:val="24"/>
          <w:u w:val="none"/>
        </w:rPr>
      </w:pPr>
      <w:r>
        <w:rPr>
          <w:rFonts w:hint="eastAsia" w:ascii="仿宋_GB2312" w:hAnsi="仿宋_GB2312" w:eastAsia="仿宋_GB2312"/>
          <w:color w:val="auto"/>
          <w:kern w:val="2"/>
          <w:sz w:val="32"/>
          <w:szCs w:val="24"/>
          <w:u w:val="none"/>
          <w:lang w:eastAsia="zh-CN"/>
        </w:rPr>
        <w:t>农林水</w:t>
      </w:r>
      <w:r>
        <w:rPr>
          <w:rFonts w:hint="eastAsia" w:ascii="仿宋_GB2312" w:hAnsi="仿宋_GB2312" w:eastAsia="仿宋_GB2312"/>
          <w:color w:val="auto"/>
          <w:kern w:val="2"/>
          <w:sz w:val="32"/>
          <w:szCs w:val="24"/>
          <w:u w:val="none"/>
        </w:rPr>
        <w:t>支出类决算数为</w:t>
      </w:r>
      <w:r>
        <w:rPr>
          <w:rFonts w:hint="eastAsia"/>
          <w:color w:val="auto"/>
          <w:kern w:val="2"/>
          <w:sz w:val="32"/>
          <w:szCs w:val="24"/>
          <w:u w:val="none"/>
          <w:lang w:val="en-US" w:eastAsia="zh-CN"/>
        </w:rPr>
        <w:t>2.15</w:t>
      </w:r>
      <w:r>
        <w:rPr>
          <w:rFonts w:hint="eastAsia" w:ascii="仿宋_GB2312" w:hAnsi="仿宋_GB2312" w:eastAsia="仿宋_GB2312"/>
          <w:color w:val="auto"/>
          <w:kern w:val="2"/>
          <w:sz w:val="32"/>
          <w:szCs w:val="24"/>
          <w:u w:val="none"/>
        </w:rPr>
        <w:t>万元，与年初预算相比增加</w:t>
      </w:r>
      <w:r>
        <w:rPr>
          <w:rFonts w:hint="eastAsia"/>
          <w:color w:val="auto"/>
          <w:kern w:val="2"/>
          <w:sz w:val="32"/>
          <w:szCs w:val="24"/>
          <w:u w:val="none"/>
          <w:lang w:val="en-US" w:eastAsia="zh-CN"/>
        </w:rPr>
        <w:t>0.36</w:t>
      </w:r>
      <w:r>
        <w:rPr>
          <w:rFonts w:hint="eastAsia" w:ascii="仿宋_GB2312" w:hAnsi="仿宋_GB2312" w:eastAsia="仿宋_GB2312"/>
          <w:color w:val="auto"/>
          <w:kern w:val="2"/>
          <w:sz w:val="32"/>
          <w:szCs w:val="24"/>
          <w:u w:val="none"/>
        </w:rPr>
        <w:t>万元。其中：</w:t>
      </w:r>
    </w:p>
    <w:p>
      <w:pPr>
        <w:keepNext w:val="0"/>
        <w:keepLines w:val="0"/>
        <w:pageBreakBefore w:val="0"/>
        <w:numPr>
          <w:ilvl w:val="0"/>
          <w:numId w:val="7"/>
        </w:numPr>
        <w:tabs>
          <w:tab w:val="left" w:pos="4275"/>
        </w:tabs>
        <w:kinsoku/>
        <w:wordWrap/>
        <w:overflowPunct/>
        <w:topLinePunct w:val="0"/>
        <w:autoSpaceDE/>
        <w:autoSpaceDN/>
        <w:bidi w:val="0"/>
        <w:spacing w:beforeLines="0" w:afterLines="0" w:line="580" w:lineRule="exact"/>
        <w:ind w:firstLine="643"/>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eastAsia="zh-CN"/>
        </w:rPr>
        <w:t>巩固脱贫衔接乡村振兴</w:t>
      </w:r>
      <w:r>
        <w:rPr>
          <w:rFonts w:hint="eastAsia" w:ascii="仿宋_GB2312" w:hAnsi="仿宋_GB2312" w:eastAsia="仿宋_GB2312" w:cs="仿宋_GB2312"/>
          <w:color w:val="auto"/>
          <w:kern w:val="2"/>
          <w:sz w:val="32"/>
          <w:szCs w:val="32"/>
        </w:rPr>
        <w:t>（款）</w:t>
      </w:r>
      <w:r>
        <w:rPr>
          <w:rFonts w:hint="eastAsia" w:ascii="仿宋_GB2312" w:hAnsi="仿宋_GB2312" w:eastAsia="仿宋_GB2312" w:cs="仿宋_GB2312"/>
          <w:color w:val="auto"/>
          <w:kern w:val="2"/>
          <w:sz w:val="32"/>
          <w:szCs w:val="32"/>
          <w:lang w:eastAsia="zh-CN"/>
        </w:rPr>
        <w:t>其他巩固脱贫衔接乡村振兴支出</w:t>
      </w:r>
      <w:r>
        <w:rPr>
          <w:rFonts w:hint="eastAsia" w:ascii="仿宋_GB2312" w:hAnsi="仿宋_GB2312" w:eastAsia="仿宋_GB2312" w:cs="仿宋_GB2312"/>
          <w:color w:val="auto"/>
          <w:kern w:val="2"/>
          <w:sz w:val="32"/>
          <w:szCs w:val="32"/>
        </w:rPr>
        <w:t>（项）。年初预算</w:t>
      </w:r>
      <w:r>
        <w:rPr>
          <w:rFonts w:hint="eastAsia" w:ascii="仿宋_GB2312" w:hAnsi="仿宋_GB2312" w:eastAsia="仿宋_GB2312" w:cs="仿宋_GB2312"/>
          <w:color w:val="auto"/>
          <w:kern w:val="2"/>
          <w:sz w:val="32"/>
          <w:szCs w:val="32"/>
          <w:lang w:val="en-US" w:eastAsia="zh-CN"/>
        </w:rPr>
        <w:t>1.79</w:t>
      </w:r>
      <w:r>
        <w:rPr>
          <w:rFonts w:hint="eastAsia" w:ascii="仿宋_GB2312" w:hAnsi="仿宋_GB2312" w:eastAsia="仿宋_GB2312" w:cs="仿宋_GB2312"/>
          <w:color w:val="auto"/>
          <w:kern w:val="2"/>
          <w:sz w:val="32"/>
          <w:szCs w:val="32"/>
        </w:rPr>
        <w:t>万元，支出决算</w:t>
      </w:r>
      <w:r>
        <w:rPr>
          <w:rFonts w:hint="eastAsia" w:ascii="仿宋_GB2312" w:hAnsi="仿宋_GB2312" w:eastAsia="仿宋_GB2312" w:cs="仿宋_GB2312"/>
          <w:color w:val="auto"/>
          <w:kern w:val="2"/>
          <w:sz w:val="32"/>
          <w:szCs w:val="32"/>
          <w:lang w:val="en-US" w:eastAsia="zh-CN"/>
        </w:rPr>
        <w:t>2.15</w:t>
      </w:r>
      <w:r>
        <w:rPr>
          <w:rFonts w:hint="eastAsia" w:ascii="仿宋_GB2312" w:hAnsi="仿宋_GB2312" w:eastAsia="仿宋_GB2312" w:cs="仿宋_GB2312"/>
          <w:color w:val="auto"/>
          <w:kern w:val="2"/>
          <w:sz w:val="32"/>
          <w:szCs w:val="32"/>
        </w:rPr>
        <w:t>万元。决算数与年初预算数的差异原因：</w:t>
      </w:r>
      <w:r>
        <w:rPr>
          <w:rFonts w:hint="eastAsia" w:ascii="CESI仿宋-GB18030" w:hAnsi="CESI仿宋-GB18030" w:eastAsia="CESI仿宋-GB18030" w:cs="CESI仿宋-GB18030"/>
          <w:color w:val="000000"/>
          <w:kern w:val="2"/>
          <w:sz w:val="32"/>
          <w:szCs w:val="32"/>
          <w:u w:val="none"/>
          <w:lang w:eastAsia="zh-CN"/>
        </w:rPr>
        <w:t>本年乡村振兴驻村人员总数有所增加，使驻村人员生活补助支出有所增加</w:t>
      </w:r>
      <w:r>
        <w:rPr>
          <w:rFonts w:hint="eastAsia" w:ascii="CESI仿宋-GB18030" w:hAnsi="CESI仿宋-GB18030" w:eastAsia="CESI仿宋-GB18030" w:cs="CESI仿宋-GB18030"/>
          <w:color w:val="000000"/>
          <w:kern w:val="2"/>
          <w:sz w:val="32"/>
          <w:szCs w:val="32"/>
          <w:u w:val="none"/>
        </w:rPr>
        <w:t>。</w:t>
      </w:r>
    </w:p>
    <w:p>
      <w:pPr>
        <w:keepNext w:val="0"/>
        <w:keepLines w:val="0"/>
        <w:pageBreakBefore w:val="0"/>
        <w:widowControl/>
        <w:kinsoku/>
        <w:wordWrap/>
        <w:overflowPunct/>
        <w:topLinePunct w:val="0"/>
        <w:autoSpaceDE/>
        <w:autoSpaceDN/>
        <w:bidi w:val="0"/>
        <w:adjustRightInd/>
        <w:snapToGrid/>
        <w:spacing w:line="580" w:lineRule="exact"/>
        <w:ind w:left="0" w:leftChars="0"/>
        <w:jc w:val="both"/>
        <w:textAlignment w:val="auto"/>
        <w:rPr>
          <w:rFonts w:hint="eastAsia" w:ascii="楷体" w:hAnsi="楷体" w:eastAsia="楷体" w:cs="楷体"/>
          <w:b w:val="0"/>
          <w:bCs w:val="0"/>
          <w:kern w:val="0"/>
          <w:sz w:val="32"/>
          <w:szCs w:val="32"/>
        </w:rPr>
      </w:pPr>
      <w:r>
        <w:rPr>
          <w:rFonts w:ascii="kai_ti_gb2312" w:hAnsi="kai_ti_gb2312" w:eastAsia="kai_ti_gb2312" w:cs="kai_ti_gb2312"/>
          <w:b/>
          <w:bCs/>
          <w:color w:val="auto"/>
          <w:kern w:val="0"/>
          <w:sz w:val="27"/>
          <w:szCs w:val="27"/>
        </w:rPr>
        <w:t> </w:t>
      </w:r>
      <w:r>
        <w:rPr>
          <w:rFonts w:hint="eastAsia" w:ascii="kai_ti_gb2312" w:hAnsi="kai_ti_gb2312" w:eastAsia="kai_ti_gb2312" w:cs="kai_ti_gb2312"/>
          <w:b/>
          <w:bCs/>
          <w:color w:val="auto"/>
          <w:kern w:val="0"/>
          <w:sz w:val="27"/>
          <w:szCs w:val="27"/>
          <w:lang w:val="en-US" w:eastAsia="zh-CN"/>
        </w:rPr>
        <w:t xml:space="preserve">    </w:t>
      </w:r>
      <w:r>
        <w:rPr>
          <w:rFonts w:hint="eastAsia" w:ascii="楷体" w:hAnsi="楷体" w:eastAsia="楷体" w:cs="楷体"/>
          <w:b w:val="0"/>
          <w:bCs w:val="0"/>
          <w:kern w:val="0"/>
          <w:sz w:val="32"/>
          <w:szCs w:val="32"/>
          <w:lang w:eastAsia="zh-CN"/>
        </w:rPr>
        <w:t>（六</w:t>
      </w:r>
      <w:r>
        <w:rPr>
          <w:rFonts w:hint="eastAsia" w:ascii="楷体" w:hAnsi="楷体" w:eastAsia="楷体" w:cs="楷体"/>
          <w:b w:val="0"/>
          <w:bCs w:val="0"/>
          <w:kern w:val="0"/>
          <w:sz w:val="32"/>
          <w:szCs w:val="32"/>
        </w:rPr>
        <w:t>）住房保障支出（类）</w:t>
      </w:r>
    </w:p>
    <w:p>
      <w:pPr>
        <w:pageBreakBefore w:val="0"/>
        <w:widowControl/>
        <w:kinsoku/>
        <w:wordWrap/>
        <w:overflowPunct/>
        <w:topLinePunct w:val="0"/>
        <w:autoSpaceDE/>
        <w:autoSpaceDN/>
        <w:bidi w:val="0"/>
        <w:spacing w:line="580" w:lineRule="exact"/>
        <w:ind w:left="0" w:leftChars="0"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住房保障支出类决算数为 195.52万元，与年初预算相比减少14.83万元。其中：</w:t>
      </w:r>
    </w:p>
    <w:p>
      <w:pPr>
        <w:pageBreakBefore w:val="0"/>
        <w:widowControl/>
        <w:numPr>
          <w:ilvl w:val="0"/>
          <w:numId w:val="8"/>
        </w:numPr>
        <w:kinsoku/>
        <w:wordWrap/>
        <w:overflowPunct/>
        <w:topLinePunct w:val="0"/>
        <w:autoSpaceDE/>
        <w:autoSpaceDN/>
        <w:bidi w:val="0"/>
        <w:spacing w:line="580" w:lineRule="exact"/>
        <w:ind w:left="0" w:leftChars="0" w:firstLine="640" w:firstLineChars="200"/>
        <w:textAlignment w:val="auto"/>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kern w:val="0"/>
          <w:sz w:val="32"/>
          <w:szCs w:val="32"/>
          <w:lang w:val="en-US" w:eastAsia="zh-CN"/>
        </w:rPr>
        <w:t>住房改革支出（款）住房公积金（项）。年初预算210.35万元，支出决算195.52万元，完成年初预算的92.95%。决算数与年初预算数的差异原因：</w:t>
      </w:r>
      <w:r>
        <w:rPr>
          <w:rFonts w:hint="eastAsia" w:ascii="仿宋_GB2312" w:hAnsi="仿宋_GB2312" w:eastAsia="仿宋_GB2312" w:cs="仿宋_GB2312"/>
          <w:color w:val="auto"/>
          <w:kern w:val="2"/>
          <w:sz w:val="32"/>
          <w:szCs w:val="32"/>
          <w:lang w:eastAsia="zh-CN"/>
        </w:rPr>
        <w:t>由于在职人员调整，使得本年住房公积金支出较年初预算相对减少。</w:t>
      </w:r>
    </w:p>
    <w:p>
      <w:pPr>
        <w:pStyle w:val="2"/>
        <w:rPr>
          <w:rFonts w:hint="eastAsia" w:ascii="仿宋_GB2312" w:hAnsi="仿宋_GB2312" w:eastAsia="仿宋_GB2312" w:cs="仿宋_GB2312"/>
          <w:color w:val="auto"/>
          <w:kern w:val="2"/>
          <w:sz w:val="32"/>
          <w:szCs w:val="32"/>
          <w:lang w:eastAsia="zh-CN"/>
        </w:rPr>
      </w:pPr>
    </w:p>
    <w:p>
      <w:pPr>
        <w:pStyle w:val="2"/>
        <w:rPr>
          <w:rFonts w:hint="eastAsia" w:ascii="仿宋_GB2312" w:hAnsi="仿宋_GB2312" w:eastAsia="仿宋_GB2312" w:cs="仿宋_GB2312"/>
          <w:color w:val="auto"/>
          <w:kern w:val="2"/>
          <w:sz w:val="32"/>
          <w:szCs w:val="32"/>
          <w:lang w:eastAsia="zh-CN"/>
        </w:rPr>
      </w:pPr>
    </w:p>
    <w:p>
      <w:pPr>
        <w:pageBreakBefore w:val="0"/>
        <w:widowControl/>
        <w:kinsoku/>
        <w:wordWrap/>
        <w:overflowPunct/>
        <w:topLinePunct w:val="0"/>
        <w:autoSpaceDE/>
        <w:autoSpaceDN/>
        <w:bidi w:val="0"/>
        <w:spacing w:line="580" w:lineRule="exact"/>
        <w:ind w:left="0" w:leftChars="0" w:firstLine="640" w:firstLineChars="200"/>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六、一般公共预算财政拨款基本支出决算情况说明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赤峰市司法局（部门） 202</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年度一般公共预算财政拨款基本支出决算</w:t>
      </w:r>
      <w:r>
        <w:rPr>
          <w:rFonts w:hint="eastAsia" w:ascii="仿宋_GB2312" w:hAnsi="仿宋_GB2312" w:eastAsia="仿宋_GB2312" w:cs="仿宋_GB2312"/>
          <w:color w:val="auto"/>
          <w:kern w:val="0"/>
          <w:sz w:val="32"/>
          <w:szCs w:val="32"/>
          <w:lang w:val="en-US" w:eastAsia="zh-CN"/>
        </w:rPr>
        <w:t>2809.28</w:t>
      </w:r>
      <w:r>
        <w:rPr>
          <w:rFonts w:hint="eastAsia" w:ascii="仿宋_GB2312" w:hAnsi="仿宋_GB2312" w:eastAsia="仿宋_GB2312" w:cs="仿宋_GB2312"/>
          <w:color w:val="auto"/>
          <w:kern w:val="0"/>
          <w:sz w:val="32"/>
          <w:szCs w:val="32"/>
        </w:rPr>
        <w:t>万元，其中：</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楷体" w:hAnsi="楷体" w:eastAsia="楷体" w:cs="楷体"/>
          <w:b w:val="0"/>
          <w:bCs w:val="0"/>
          <w:color w:val="auto"/>
          <w:kern w:val="0"/>
          <w:sz w:val="32"/>
          <w:szCs w:val="32"/>
          <w:lang w:val="en-US" w:eastAsia="zh-CN"/>
        </w:rPr>
        <w:t>（一）人员经费 2403.71万元。</w:t>
      </w:r>
      <w:r>
        <w:rPr>
          <w:rFonts w:hint="eastAsia" w:ascii="仿宋_GB2312" w:hAnsi="仿宋_GB2312" w:eastAsia="仿宋_GB2312" w:cs="仿宋_GB2312"/>
          <w:color w:val="auto"/>
          <w:kern w:val="0"/>
          <w:sz w:val="32"/>
          <w:szCs w:val="32"/>
        </w:rPr>
        <w:t>主要包括：基本工资</w:t>
      </w:r>
      <w:r>
        <w:rPr>
          <w:rFonts w:hint="eastAsia" w:ascii="仿宋_GB2312" w:hAnsi="仿宋_GB2312" w:eastAsia="仿宋_GB2312" w:cs="仿宋_GB2312"/>
          <w:color w:val="auto"/>
          <w:kern w:val="0"/>
          <w:sz w:val="32"/>
          <w:szCs w:val="32"/>
          <w:lang w:val="en-US" w:eastAsia="zh-CN"/>
        </w:rPr>
        <w:t>622.43</w:t>
      </w:r>
      <w:r>
        <w:rPr>
          <w:rFonts w:hint="eastAsia" w:ascii="仿宋_GB2312" w:hAnsi="仿宋_GB2312" w:eastAsia="仿宋_GB2312" w:cs="仿宋_GB2312"/>
          <w:color w:val="auto"/>
          <w:kern w:val="0"/>
          <w:sz w:val="32"/>
          <w:szCs w:val="32"/>
        </w:rPr>
        <w:t>万元、津贴补贴</w:t>
      </w:r>
      <w:r>
        <w:rPr>
          <w:rFonts w:hint="eastAsia" w:ascii="仿宋_GB2312" w:hAnsi="仿宋_GB2312" w:eastAsia="仿宋_GB2312" w:cs="仿宋_GB2312"/>
          <w:color w:val="auto"/>
          <w:kern w:val="0"/>
          <w:sz w:val="32"/>
          <w:szCs w:val="32"/>
          <w:lang w:val="en-US" w:eastAsia="zh-CN"/>
        </w:rPr>
        <w:t>811.01</w:t>
      </w:r>
      <w:r>
        <w:rPr>
          <w:rFonts w:hint="eastAsia" w:ascii="仿宋_GB2312" w:hAnsi="仿宋_GB2312" w:eastAsia="仿宋_GB2312" w:cs="仿宋_GB2312"/>
          <w:color w:val="auto"/>
          <w:kern w:val="0"/>
          <w:sz w:val="32"/>
          <w:szCs w:val="32"/>
        </w:rPr>
        <w:t>万元、奖金</w:t>
      </w:r>
      <w:r>
        <w:rPr>
          <w:rFonts w:hint="eastAsia" w:ascii="仿宋_GB2312" w:hAnsi="仿宋_GB2312" w:eastAsia="仿宋_GB2312" w:cs="仿宋_GB2312"/>
          <w:color w:val="auto"/>
          <w:kern w:val="0"/>
          <w:sz w:val="32"/>
          <w:szCs w:val="32"/>
          <w:lang w:val="en-US" w:eastAsia="zh-CN"/>
        </w:rPr>
        <w:t>183.19</w:t>
      </w:r>
      <w:r>
        <w:rPr>
          <w:rFonts w:hint="eastAsia" w:ascii="仿宋_GB2312" w:hAnsi="仿宋_GB2312" w:eastAsia="仿宋_GB2312" w:cs="仿宋_GB2312"/>
          <w:color w:val="auto"/>
          <w:kern w:val="0"/>
          <w:sz w:val="32"/>
          <w:szCs w:val="32"/>
        </w:rPr>
        <w:t>万元、绩效工资</w:t>
      </w:r>
      <w:r>
        <w:rPr>
          <w:rFonts w:hint="eastAsia" w:ascii="仿宋_GB2312" w:hAnsi="仿宋_GB2312" w:eastAsia="仿宋_GB2312" w:cs="仿宋_GB2312"/>
          <w:color w:val="auto"/>
          <w:kern w:val="0"/>
          <w:sz w:val="32"/>
          <w:szCs w:val="32"/>
          <w:lang w:val="en-US" w:eastAsia="zh-CN"/>
        </w:rPr>
        <w:t>2.55</w:t>
      </w:r>
      <w:r>
        <w:rPr>
          <w:rFonts w:hint="eastAsia" w:ascii="仿宋_GB2312" w:hAnsi="仿宋_GB2312" w:eastAsia="仿宋_GB2312" w:cs="仿宋_GB2312"/>
          <w:color w:val="auto"/>
          <w:kern w:val="0"/>
          <w:sz w:val="32"/>
          <w:szCs w:val="32"/>
        </w:rPr>
        <w:t>万元、机关事业单位基本养老保险缴费</w:t>
      </w:r>
      <w:r>
        <w:rPr>
          <w:rFonts w:hint="eastAsia" w:ascii="仿宋_GB2312" w:hAnsi="仿宋_GB2312" w:eastAsia="仿宋_GB2312" w:cs="仿宋_GB2312"/>
          <w:color w:val="auto"/>
          <w:kern w:val="0"/>
          <w:sz w:val="32"/>
          <w:szCs w:val="32"/>
          <w:lang w:val="en-US" w:eastAsia="zh-CN"/>
        </w:rPr>
        <w:t>192.43</w:t>
      </w:r>
      <w:r>
        <w:rPr>
          <w:rFonts w:hint="eastAsia" w:ascii="仿宋_GB2312" w:hAnsi="仿宋_GB2312" w:eastAsia="仿宋_GB2312" w:cs="仿宋_GB2312"/>
          <w:color w:val="auto"/>
          <w:kern w:val="0"/>
          <w:sz w:val="32"/>
          <w:szCs w:val="32"/>
        </w:rPr>
        <w:t>万元、 职业年金缴费</w:t>
      </w:r>
      <w:r>
        <w:rPr>
          <w:rFonts w:hint="eastAsia" w:ascii="仿宋_GB2312" w:hAnsi="仿宋_GB2312" w:eastAsia="仿宋_GB2312" w:cs="仿宋_GB2312"/>
          <w:color w:val="auto"/>
          <w:kern w:val="0"/>
          <w:sz w:val="32"/>
          <w:szCs w:val="32"/>
          <w:lang w:val="en-US" w:eastAsia="zh-CN"/>
        </w:rPr>
        <w:t>31.13万元、</w:t>
      </w:r>
      <w:r>
        <w:rPr>
          <w:rFonts w:hint="eastAsia" w:ascii="仿宋_GB2312" w:hAnsi="仿宋_GB2312" w:eastAsia="仿宋_GB2312" w:cs="仿宋_GB2312"/>
          <w:color w:val="auto"/>
          <w:kern w:val="0"/>
          <w:sz w:val="32"/>
          <w:szCs w:val="32"/>
        </w:rPr>
        <w:t>职工基本医疗保险缴费</w:t>
      </w:r>
      <w:r>
        <w:rPr>
          <w:rFonts w:hint="eastAsia" w:ascii="仿宋_GB2312" w:hAnsi="仿宋_GB2312" w:eastAsia="仿宋_GB2312" w:cs="仿宋_GB2312"/>
          <w:color w:val="auto"/>
          <w:kern w:val="0"/>
          <w:sz w:val="32"/>
          <w:szCs w:val="32"/>
          <w:lang w:val="en-US" w:eastAsia="zh-CN"/>
        </w:rPr>
        <w:t>116.82</w:t>
      </w:r>
      <w:r>
        <w:rPr>
          <w:rFonts w:hint="eastAsia" w:ascii="仿宋_GB2312" w:hAnsi="仿宋_GB2312" w:eastAsia="仿宋_GB2312" w:cs="仿宋_GB2312"/>
          <w:color w:val="auto"/>
          <w:kern w:val="0"/>
          <w:sz w:val="32"/>
          <w:szCs w:val="32"/>
        </w:rPr>
        <w:t>万元、公务员医疗补助缴费</w:t>
      </w:r>
      <w:r>
        <w:rPr>
          <w:rFonts w:hint="eastAsia" w:ascii="仿宋_GB2312" w:hAnsi="仿宋_GB2312" w:eastAsia="仿宋_GB2312" w:cs="仿宋_GB2312"/>
          <w:color w:val="auto"/>
          <w:kern w:val="0"/>
          <w:sz w:val="32"/>
          <w:szCs w:val="32"/>
          <w:lang w:val="en-US" w:eastAsia="zh-CN"/>
        </w:rPr>
        <w:t>4.2</w:t>
      </w:r>
      <w:r>
        <w:rPr>
          <w:rFonts w:hint="eastAsia" w:ascii="仿宋_GB2312" w:hAnsi="仿宋_GB2312" w:eastAsia="仿宋_GB2312" w:cs="仿宋_GB2312"/>
          <w:color w:val="auto"/>
          <w:kern w:val="0"/>
          <w:sz w:val="32"/>
          <w:szCs w:val="32"/>
        </w:rPr>
        <w:t>万元、其他社会保障缴费</w:t>
      </w:r>
      <w:r>
        <w:rPr>
          <w:rFonts w:hint="eastAsia" w:ascii="仿宋_GB2312" w:hAnsi="仿宋_GB2312" w:eastAsia="仿宋_GB2312" w:cs="仿宋_GB2312"/>
          <w:color w:val="auto"/>
          <w:kern w:val="0"/>
          <w:sz w:val="32"/>
          <w:szCs w:val="32"/>
          <w:lang w:val="en-US" w:eastAsia="zh-CN"/>
        </w:rPr>
        <w:t>3.6</w:t>
      </w:r>
      <w:r>
        <w:rPr>
          <w:rFonts w:hint="eastAsia" w:ascii="仿宋_GB2312" w:hAnsi="仿宋_GB2312" w:eastAsia="仿宋_GB2312" w:cs="仿宋_GB2312"/>
          <w:color w:val="auto"/>
          <w:kern w:val="0"/>
          <w:sz w:val="32"/>
          <w:szCs w:val="32"/>
        </w:rPr>
        <w:t>万元、住房公积金</w:t>
      </w:r>
      <w:r>
        <w:rPr>
          <w:rFonts w:hint="eastAsia" w:ascii="仿宋_GB2312" w:hAnsi="仿宋_GB2312" w:eastAsia="仿宋_GB2312" w:cs="仿宋_GB2312"/>
          <w:color w:val="auto"/>
          <w:kern w:val="0"/>
          <w:sz w:val="32"/>
          <w:szCs w:val="32"/>
          <w:lang w:val="en-US" w:eastAsia="zh-CN"/>
        </w:rPr>
        <w:t>195.52</w:t>
      </w:r>
      <w:r>
        <w:rPr>
          <w:rFonts w:hint="eastAsia" w:ascii="仿宋_GB2312" w:hAnsi="仿宋_GB2312" w:eastAsia="仿宋_GB2312" w:cs="仿宋_GB2312"/>
          <w:color w:val="auto"/>
          <w:kern w:val="0"/>
          <w:sz w:val="32"/>
          <w:szCs w:val="32"/>
          <w:lang w:eastAsia="zh-CN"/>
        </w:rPr>
        <w:t>万元</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其他工资福利支出</w:t>
      </w:r>
      <w:r>
        <w:rPr>
          <w:rFonts w:hint="eastAsia" w:ascii="仿宋_GB2312" w:hAnsi="仿宋_GB2312" w:eastAsia="仿宋_GB2312" w:cs="仿宋_GB2312"/>
          <w:color w:val="auto"/>
          <w:kern w:val="0"/>
          <w:sz w:val="32"/>
          <w:szCs w:val="32"/>
          <w:lang w:val="en-US" w:eastAsia="zh-CN"/>
        </w:rPr>
        <w:t>16.54万元、</w:t>
      </w:r>
      <w:r>
        <w:rPr>
          <w:rFonts w:hint="eastAsia" w:ascii="仿宋_GB2312" w:hAnsi="仿宋_GB2312" w:eastAsia="仿宋_GB2312" w:cs="仿宋_GB2312"/>
          <w:color w:val="auto"/>
          <w:kern w:val="0"/>
          <w:sz w:val="32"/>
          <w:szCs w:val="32"/>
          <w:lang w:eastAsia="zh-CN"/>
        </w:rPr>
        <w:t>退休费</w:t>
      </w:r>
      <w:r>
        <w:rPr>
          <w:rFonts w:hint="eastAsia" w:ascii="仿宋_GB2312" w:hAnsi="仿宋_GB2312" w:eastAsia="仿宋_GB2312" w:cs="仿宋_GB2312"/>
          <w:color w:val="auto"/>
          <w:kern w:val="0"/>
          <w:sz w:val="32"/>
          <w:szCs w:val="32"/>
          <w:lang w:val="en-US" w:eastAsia="zh-CN"/>
        </w:rPr>
        <w:t>148.25万元、</w:t>
      </w:r>
      <w:r>
        <w:rPr>
          <w:rFonts w:hint="eastAsia" w:ascii="仿宋_GB2312" w:hAnsi="仿宋_GB2312" w:eastAsia="仿宋_GB2312" w:cs="仿宋_GB2312"/>
          <w:color w:val="auto"/>
          <w:kern w:val="0"/>
          <w:sz w:val="32"/>
          <w:szCs w:val="32"/>
        </w:rPr>
        <w:t>抚恤金</w:t>
      </w:r>
      <w:r>
        <w:rPr>
          <w:rFonts w:hint="eastAsia" w:ascii="仿宋_GB2312" w:hAnsi="仿宋_GB2312" w:eastAsia="仿宋_GB2312" w:cs="仿宋_GB2312"/>
          <w:color w:val="auto"/>
          <w:kern w:val="0"/>
          <w:sz w:val="32"/>
          <w:szCs w:val="32"/>
          <w:lang w:val="en-US" w:eastAsia="zh-CN"/>
        </w:rPr>
        <w:t>57.32</w:t>
      </w:r>
      <w:r>
        <w:rPr>
          <w:rFonts w:hint="eastAsia" w:ascii="仿宋_GB2312" w:hAnsi="仿宋_GB2312" w:eastAsia="仿宋_GB2312" w:cs="仿宋_GB2312"/>
          <w:color w:val="auto"/>
          <w:kern w:val="0"/>
          <w:sz w:val="32"/>
          <w:szCs w:val="32"/>
        </w:rPr>
        <w:t>万元、生活补助</w:t>
      </w:r>
      <w:r>
        <w:rPr>
          <w:rFonts w:hint="eastAsia" w:ascii="仿宋_GB2312" w:hAnsi="仿宋_GB2312" w:eastAsia="仿宋_GB2312" w:cs="仿宋_GB2312"/>
          <w:color w:val="auto"/>
          <w:kern w:val="0"/>
          <w:sz w:val="32"/>
          <w:szCs w:val="32"/>
          <w:lang w:val="en-US" w:eastAsia="zh-CN"/>
        </w:rPr>
        <w:t>18.57</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eastAsia="zh-CN"/>
        </w:rPr>
        <w:t>、奖励金</w:t>
      </w:r>
      <w:r>
        <w:rPr>
          <w:rFonts w:hint="eastAsia" w:ascii="仿宋_GB2312" w:hAnsi="仿宋_GB2312" w:eastAsia="仿宋_GB2312" w:cs="仿宋_GB2312"/>
          <w:color w:val="auto"/>
          <w:kern w:val="0"/>
          <w:sz w:val="32"/>
          <w:szCs w:val="32"/>
          <w:lang w:val="en-US" w:eastAsia="zh-CN"/>
        </w:rPr>
        <w:t>0.15万元</w:t>
      </w:r>
      <w:r>
        <w:rPr>
          <w:rFonts w:hint="eastAsia" w:ascii="仿宋_GB2312" w:hAnsi="仿宋_GB2312" w:eastAsia="仿宋_GB2312" w:cs="仿宋_GB2312"/>
          <w:color w:val="auto"/>
          <w:kern w:val="0"/>
          <w:sz w:val="32"/>
          <w:szCs w:val="32"/>
        </w:rPr>
        <w:t>。</w:t>
      </w:r>
    </w:p>
    <w:p>
      <w:pPr>
        <w:keepNext w:val="0"/>
        <w:keepLines w:val="0"/>
        <w:pageBreakBefore w:val="0"/>
        <w:kinsoku/>
        <w:wordWrap/>
        <w:overflowPunct/>
        <w:topLinePunct w:val="0"/>
        <w:autoSpaceDE/>
        <w:autoSpaceDN/>
        <w:bidi w:val="0"/>
        <w:adjustRightInd/>
        <w:snapToGrid/>
        <w:spacing w:line="580" w:lineRule="exact"/>
        <w:ind w:left="0" w:leftChars="0" w:firstLine="643"/>
        <w:jc w:val="both"/>
        <w:textAlignment w:val="auto"/>
        <w:rPr>
          <w:rFonts w:hint="eastAsia" w:ascii="仿宋_GB2312" w:hAnsi="仿宋_GB2312" w:eastAsia="仿宋_GB2312" w:cs="仿宋_GB2312"/>
          <w:color w:val="auto"/>
          <w:kern w:val="0"/>
          <w:sz w:val="32"/>
          <w:szCs w:val="32"/>
        </w:rPr>
      </w:pPr>
      <w:r>
        <w:rPr>
          <w:rFonts w:hint="eastAsia" w:ascii="楷体" w:hAnsi="楷体" w:eastAsia="楷体" w:cs="楷体"/>
          <w:b w:val="0"/>
          <w:bCs w:val="0"/>
          <w:color w:val="auto"/>
          <w:kern w:val="0"/>
          <w:sz w:val="32"/>
          <w:szCs w:val="32"/>
        </w:rPr>
        <w:t xml:space="preserve">（二）公用经费 </w:t>
      </w:r>
      <w:r>
        <w:rPr>
          <w:rFonts w:hint="eastAsia" w:ascii="楷体" w:hAnsi="楷体" w:eastAsia="楷体" w:cs="楷体"/>
          <w:b w:val="0"/>
          <w:bCs w:val="0"/>
          <w:color w:val="auto"/>
          <w:kern w:val="0"/>
          <w:sz w:val="32"/>
          <w:szCs w:val="32"/>
          <w:lang w:val="en-US" w:eastAsia="zh-CN"/>
        </w:rPr>
        <w:t>405.57</w:t>
      </w:r>
      <w:r>
        <w:rPr>
          <w:rFonts w:hint="eastAsia" w:ascii="楷体" w:hAnsi="楷体" w:eastAsia="楷体" w:cs="楷体"/>
          <w:b w:val="0"/>
          <w:bCs w:val="0"/>
          <w:color w:val="auto"/>
          <w:kern w:val="0"/>
          <w:sz w:val="32"/>
          <w:szCs w:val="32"/>
        </w:rPr>
        <w:t>万元。</w:t>
      </w:r>
      <w:r>
        <w:rPr>
          <w:rFonts w:hint="eastAsia" w:ascii="仿宋_GB2312" w:hAnsi="仿宋_GB2312" w:eastAsia="仿宋_GB2312" w:cs="仿宋_GB2312"/>
          <w:color w:val="auto"/>
          <w:kern w:val="0"/>
          <w:sz w:val="32"/>
          <w:szCs w:val="32"/>
        </w:rPr>
        <w:t>主要包括：办公费</w:t>
      </w:r>
      <w:r>
        <w:rPr>
          <w:rFonts w:hint="eastAsia" w:ascii="仿宋_GB2312" w:hAnsi="仿宋_GB2312" w:eastAsia="仿宋_GB2312" w:cs="仿宋_GB2312"/>
          <w:color w:val="auto"/>
          <w:kern w:val="0"/>
          <w:sz w:val="32"/>
          <w:szCs w:val="32"/>
          <w:lang w:val="en-US" w:eastAsia="zh-CN"/>
        </w:rPr>
        <w:t>83.82</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eastAsia="zh-CN"/>
        </w:rPr>
        <w:t>印刷费</w:t>
      </w:r>
      <w:r>
        <w:rPr>
          <w:rFonts w:hint="eastAsia" w:ascii="仿宋_GB2312" w:hAnsi="仿宋_GB2312" w:eastAsia="仿宋_GB2312" w:cs="仿宋_GB2312"/>
          <w:color w:val="auto"/>
          <w:kern w:val="0"/>
          <w:sz w:val="32"/>
          <w:szCs w:val="32"/>
          <w:lang w:val="en-US" w:eastAsia="zh-CN"/>
        </w:rPr>
        <w:t>1.23万元、咨询费0.1万元、</w:t>
      </w:r>
      <w:r>
        <w:rPr>
          <w:rFonts w:hint="eastAsia" w:ascii="仿宋_GB2312" w:hAnsi="仿宋_GB2312" w:eastAsia="仿宋_GB2312" w:cs="仿宋_GB2312"/>
          <w:color w:val="auto"/>
          <w:kern w:val="0"/>
          <w:sz w:val="32"/>
          <w:szCs w:val="32"/>
        </w:rPr>
        <w:t>水费</w:t>
      </w:r>
      <w:r>
        <w:rPr>
          <w:rFonts w:hint="eastAsia" w:ascii="仿宋_GB2312" w:hAnsi="仿宋_GB2312" w:eastAsia="仿宋_GB2312" w:cs="仿宋_GB2312"/>
          <w:color w:val="auto"/>
          <w:kern w:val="0"/>
          <w:sz w:val="32"/>
          <w:szCs w:val="32"/>
          <w:lang w:val="en-US" w:eastAsia="zh-CN"/>
        </w:rPr>
        <w:t>0.72</w:t>
      </w:r>
      <w:r>
        <w:rPr>
          <w:rFonts w:hint="eastAsia" w:ascii="仿宋_GB2312" w:hAnsi="仿宋_GB2312" w:eastAsia="仿宋_GB2312" w:cs="仿宋_GB2312"/>
          <w:color w:val="auto"/>
          <w:kern w:val="0"/>
          <w:sz w:val="32"/>
          <w:szCs w:val="32"/>
        </w:rPr>
        <w:t>万元、电费</w:t>
      </w:r>
      <w:r>
        <w:rPr>
          <w:rFonts w:hint="eastAsia" w:ascii="仿宋_GB2312" w:hAnsi="仿宋_GB2312" w:eastAsia="仿宋_GB2312" w:cs="仿宋_GB2312"/>
          <w:color w:val="auto"/>
          <w:kern w:val="0"/>
          <w:sz w:val="32"/>
          <w:szCs w:val="32"/>
          <w:lang w:val="en-US" w:eastAsia="zh-CN"/>
        </w:rPr>
        <w:t>17.59</w:t>
      </w:r>
      <w:r>
        <w:rPr>
          <w:rFonts w:hint="eastAsia" w:ascii="仿宋_GB2312" w:hAnsi="仿宋_GB2312" w:eastAsia="仿宋_GB2312" w:cs="仿宋_GB2312"/>
          <w:color w:val="auto"/>
          <w:kern w:val="0"/>
          <w:sz w:val="32"/>
          <w:szCs w:val="32"/>
        </w:rPr>
        <w:t>万元、邮电费</w:t>
      </w:r>
      <w:r>
        <w:rPr>
          <w:rFonts w:hint="eastAsia" w:ascii="仿宋_GB2312" w:hAnsi="仿宋_GB2312" w:eastAsia="仿宋_GB2312" w:cs="仿宋_GB2312"/>
          <w:color w:val="auto"/>
          <w:kern w:val="0"/>
          <w:sz w:val="32"/>
          <w:szCs w:val="32"/>
          <w:lang w:val="en-US" w:eastAsia="zh-CN"/>
        </w:rPr>
        <w:t>5.8</w:t>
      </w:r>
      <w:r>
        <w:rPr>
          <w:rFonts w:hint="eastAsia" w:ascii="仿宋_GB2312" w:hAnsi="仿宋_GB2312" w:eastAsia="仿宋_GB2312" w:cs="仿宋_GB2312"/>
          <w:color w:val="auto"/>
          <w:kern w:val="0"/>
          <w:sz w:val="32"/>
          <w:szCs w:val="32"/>
        </w:rPr>
        <w:t>万元、取暖费</w:t>
      </w:r>
      <w:r>
        <w:rPr>
          <w:rFonts w:hint="eastAsia" w:ascii="仿宋_GB2312" w:hAnsi="仿宋_GB2312" w:eastAsia="仿宋_GB2312" w:cs="仿宋_GB2312"/>
          <w:color w:val="auto"/>
          <w:kern w:val="0"/>
          <w:sz w:val="32"/>
          <w:szCs w:val="32"/>
          <w:lang w:val="en-US" w:eastAsia="zh-CN"/>
        </w:rPr>
        <w:t>39.66</w:t>
      </w:r>
      <w:r>
        <w:rPr>
          <w:rFonts w:hint="eastAsia" w:ascii="仿宋_GB2312" w:hAnsi="仿宋_GB2312" w:eastAsia="仿宋_GB2312" w:cs="仿宋_GB2312"/>
          <w:color w:val="auto"/>
          <w:kern w:val="0"/>
          <w:sz w:val="32"/>
          <w:szCs w:val="32"/>
        </w:rPr>
        <w:t>万元、物业管理费29万元、差旅费</w:t>
      </w:r>
      <w:r>
        <w:rPr>
          <w:rFonts w:hint="eastAsia" w:ascii="仿宋_GB2312" w:hAnsi="仿宋_GB2312" w:eastAsia="仿宋_GB2312" w:cs="仿宋_GB2312"/>
          <w:color w:val="auto"/>
          <w:kern w:val="0"/>
          <w:sz w:val="32"/>
          <w:szCs w:val="32"/>
          <w:lang w:val="en-US" w:eastAsia="zh-CN"/>
        </w:rPr>
        <w:t>9.92</w:t>
      </w:r>
      <w:r>
        <w:rPr>
          <w:rFonts w:hint="eastAsia" w:ascii="仿宋_GB2312" w:hAnsi="仿宋_GB2312" w:eastAsia="仿宋_GB2312" w:cs="仿宋_GB2312"/>
          <w:color w:val="auto"/>
          <w:kern w:val="0"/>
          <w:sz w:val="32"/>
          <w:szCs w:val="32"/>
        </w:rPr>
        <w:t>万元、维修（护）费</w:t>
      </w:r>
      <w:r>
        <w:rPr>
          <w:rFonts w:hint="eastAsia" w:ascii="仿宋_GB2312" w:hAnsi="仿宋_GB2312" w:eastAsia="仿宋_GB2312" w:cs="仿宋_GB2312"/>
          <w:color w:val="auto"/>
          <w:kern w:val="0"/>
          <w:sz w:val="32"/>
          <w:szCs w:val="32"/>
          <w:lang w:val="en-US" w:eastAsia="zh-CN"/>
        </w:rPr>
        <w:t>27.83</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eastAsia="zh-CN"/>
        </w:rPr>
        <w:t>培训费</w:t>
      </w:r>
      <w:r>
        <w:rPr>
          <w:rFonts w:hint="eastAsia" w:ascii="仿宋_GB2312" w:hAnsi="仿宋_GB2312" w:eastAsia="仿宋_GB2312" w:cs="仿宋_GB2312"/>
          <w:color w:val="auto"/>
          <w:kern w:val="0"/>
          <w:sz w:val="32"/>
          <w:szCs w:val="32"/>
          <w:lang w:val="en-US" w:eastAsia="zh-CN"/>
        </w:rPr>
        <w:t>5.65万元、</w:t>
      </w:r>
      <w:r>
        <w:rPr>
          <w:rFonts w:hint="eastAsia" w:ascii="仿宋_GB2312" w:hAnsi="仿宋_GB2312" w:eastAsia="仿宋_GB2312" w:cs="仿宋_GB2312"/>
          <w:color w:val="auto"/>
          <w:kern w:val="0"/>
          <w:sz w:val="32"/>
          <w:szCs w:val="32"/>
        </w:rPr>
        <w:t>公务接待费</w:t>
      </w:r>
      <w:r>
        <w:rPr>
          <w:rFonts w:hint="eastAsia" w:ascii="仿宋_GB2312" w:hAnsi="仿宋_GB2312" w:eastAsia="仿宋_GB2312" w:cs="仿宋_GB2312"/>
          <w:color w:val="auto"/>
          <w:kern w:val="0"/>
          <w:sz w:val="32"/>
          <w:szCs w:val="32"/>
          <w:lang w:val="en-US" w:eastAsia="zh-CN"/>
        </w:rPr>
        <w:t>1.23</w:t>
      </w:r>
      <w:r>
        <w:rPr>
          <w:rFonts w:hint="eastAsia" w:ascii="仿宋_GB2312" w:hAnsi="仿宋_GB2312" w:eastAsia="仿宋_GB2312" w:cs="仿宋_GB2312"/>
          <w:color w:val="auto"/>
          <w:kern w:val="0"/>
          <w:sz w:val="32"/>
          <w:szCs w:val="32"/>
        </w:rPr>
        <w:t>万元、劳务费</w:t>
      </w:r>
      <w:r>
        <w:rPr>
          <w:rFonts w:hint="eastAsia" w:ascii="仿宋_GB2312" w:hAnsi="仿宋_GB2312" w:eastAsia="仿宋_GB2312" w:cs="仿宋_GB2312"/>
          <w:color w:val="auto"/>
          <w:kern w:val="0"/>
          <w:sz w:val="32"/>
          <w:szCs w:val="32"/>
          <w:lang w:val="en-US" w:eastAsia="zh-CN"/>
        </w:rPr>
        <w:t>3.68</w:t>
      </w:r>
      <w:r>
        <w:rPr>
          <w:rFonts w:hint="eastAsia" w:ascii="仿宋_GB2312" w:hAnsi="仿宋_GB2312" w:eastAsia="仿宋_GB2312" w:cs="仿宋_GB2312"/>
          <w:color w:val="auto"/>
          <w:kern w:val="0"/>
          <w:sz w:val="32"/>
          <w:szCs w:val="32"/>
        </w:rPr>
        <w:t>万元、福利费</w:t>
      </w:r>
      <w:r>
        <w:rPr>
          <w:rFonts w:hint="eastAsia" w:ascii="仿宋_GB2312" w:hAnsi="仿宋_GB2312" w:eastAsia="仿宋_GB2312" w:cs="仿宋_GB2312"/>
          <w:color w:val="auto"/>
          <w:kern w:val="0"/>
          <w:sz w:val="32"/>
          <w:szCs w:val="32"/>
          <w:lang w:val="en-US" w:eastAsia="zh-CN"/>
        </w:rPr>
        <w:t>34.89</w:t>
      </w:r>
      <w:r>
        <w:rPr>
          <w:rFonts w:hint="eastAsia" w:ascii="仿宋_GB2312" w:hAnsi="仿宋_GB2312" w:eastAsia="仿宋_GB2312" w:cs="仿宋_GB2312"/>
          <w:color w:val="auto"/>
          <w:kern w:val="0"/>
          <w:sz w:val="32"/>
          <w:szCs w:val="32"/>
        </w:rPr>
        <w:t>万元、公务用车运行维护费</w:t>
      </w:r>
      <w:r>
        <w:rPr>
          <w:rFonts w:hint="eastAsia" w:ascii="仿宋_GB2312" w:hAnsi="仿宋_GB2312" w:eastAsia="仿宋_GB2312" w:cs="仿宋_GB2312"/>
          <w:color w:val="auto"/>
          <w:kern w:val="0"/>
          <w:sz w:val="32"/>
          <w:szCs w:val="32"/>
          <w:lang w:val="en-US" w:eastAsia="zh-CN"/>
        </w:rPr>
        <w:t>23.95</w:t>
      </w:r>
      <w:r>
        <w:rPr>
          <w:rFonts w:hint="eastAsia" w:ascii="仿宋_GB2312" w:hAnsi="仿宋_GB2312" w:eastAsia="仿宋_GB2312" w:cs="仿宋_GB2312"/>
          <w:color w:val="auto"/>
          <w:kern w:val="0"/>
          <w:sz w:val="32"/>
          <w:szCs w:val="32"/>
        </w:rPr>
        <w:t>万元、其他交通费用</w:t>
      </w:r>
      <w:r>
        <w:rPr>
          <w:rFonts w:hint="eastAsia" w:ascii="仿宋_GB2312" w:hAnsi="仿宋_GB2312" w:eastAsia="仿宋_GB2312" w:cs="仿宋_GB2312"/>
          <w:color w:val="auto"/>
          <w:kern w:val="0"/>
          <w:sz w:val="32"/>
          <w:szCs w:val="32"/>
          <w:lang w:val="en-US" w:eastAsia="zh-CN"/>
        </w:rPr>
        <w:t>111.47</w:t>
      </w:r>
      <w:r>
        <w:rPr>
          <w:rFonts w:hint="eastAsia" w:ascii="仿宋_GB2312" w:hAnsi="仿宋_GB2312" w:eastAsia="仿宋_GB2312" w:cs="仿宋_GB2312"/>
          <w:color w:val="auto"/>
          <w:kern w:val="0"/>
          <w:sz w:val="32"/>
          <w:szCs w:val="32"/>
        </w:rPr>
        <w:t>万元、其他商品和服务支出</w:t>
      </w:r>
      <w:r>
        <w:rPr>
          <w:rFonts w:hint="eastAsia" w:ascii="仿宋_GB2312" w:hAnsi="仿宋_GB2312" w:eastAsia="仿宋_GB2312" w:cs="仿宋_GB2312"/>
          <w:color w:val="auto"/>
          <w:kern w:val="0"/>
          <w:sz w:val="32"/>
          <w:szCs w:val="32"/>
          <w:lang w:val="en-US" w:eastAsia="zh-CN"/>
        </w:rPr>
        <w:t>59.98</w:t>
      </w:r>
      <w:r>
        <w:rPr>
          <w:rFonts w:hint="eastAsia" w:ascii="仿宋_GB2312" w:hAnsi="仿宋_GB2312" w:eastAsia="仿宋_GB2312" w:cs="仿宋_GB2312"/>
          <w:color w:val="auto"/>
          <w:kern w:val="0"/>
          <w:sz w:val="32"/>
          <w:szCs w:val="32"/>
        </w:rPr>
        <w:t>万元、办公设备购置</w:t>
      </w:r>
      <w:r>
        <w:rPr>
          <w:rFonts w:hint="eastAsia" w:ascii="仿宋_GB2312" w:hAnsi="仿宋_GB2312" w:eastAsia="仿宋_GB2312" w:cs="仿宋_GB2312"/>
          <w:color w:val="auto"/>
          <w:kern w:val="0"/>
          <w:sz w:val="32"/>
          <w:szCs w:val="32"/>
          <w:lang w:val="en-US" w:eastAsia="zh-CN"/>
        </w:rPr>
        <w:t>3.06</w:t>
      </w:r>
      <w:r>
        <w:rPr>
          <w:rFonts w:hint="eastAsia" w:ascii="仿宋_GB2312" w:hAnsi="仿宋_GB2312" w:eastAsia="仿宋_GB2312" w:cs="仿宋_GB2312"/>
          <w:color w:val="auto"/>
          <w:kern w:val="0"/>
          <w:sz w:val="32"/>
          <w:szCs w:val="32"/>
        </w:rPr>
        <w:t>万元。</w:t>
      </w:r>
    </w:p>
    <w:p>
      <w:pPr>
        <w:keepNext w:val="0"/>
        <w:keepLines w:val="0"/>
        <w:pageBreakBefore w:val="0"/>
        <w:widowControl/>
        <w:kinsoku/>
        <w:wordWrap/>
        <w:overflowPunct/>
        <w:topLinePunct w:val="0"/>
        <w:autoSpaceDE/>
        <w:autoSpaceDN/>
        <w:bidi w:val="0"/>
        <w:adjustRightInd/>
        <w:snapToGrid/>
        <w:spacing w:line="580" w:lineRule="exact"/>
        <w:ind w:left="0" w:leftChars="0"/>
        <w:jc w:val="left"/>
        <w:textAlignment w:val="auto"/>
        <w:rPr>
          <w:rFonts w:hint="eastAsia" w:ascii="黑体" w:hAnsi="黑体" w:eastAsia="黑体" w:cs="黑体"/>
          <w:b w:val="0"/>
          <w:bCs w:val="0"/>
          <w:color w:val="auto"/>
          <w:kern w:val="0"/>
          <w:sz w:val="32"/>
          <w:szCs w:val="32"/>
        </w:rPr>
      </w:pPr>
      <w:r>
        <w:rPr>
          <w:rFonts w:ascii="Calibri" w:hAnsi="Calibri" w:eastAsia="Calibri" w:cs="Calibri"/>
          <w:b/>
          <w:bCs/>
          <w:color w:val="auto"/>
          <w:kern w:val="0"/>
          <w:sz w:val="27"/>
          <w:szCs w:val="27"/>
        </w:rPr>
        <w:t> </w:t>
      </w:r>
      <w:r>
        <w:rPr>
          <w:rFonts w:hint="eastAsia" w:ascii="Calibri" w:hAnsi="Calibri" w:cs="Calibri"/>
          <w:b/>
          <w:bCs/>
          <w:color w:val="auto"/>
          <w:kern w:val="0"/>
          <w:sz w:val="27"/>
          <w:szCs w:val="27"/>
          <w:lang w:val="en-US" w:eastAsia="zh-CN"/>
        </w:rPr>
        <w:t xml:space="preserve">    </w:t>
      </w:r>
      <w:r>
        <w:rPr>
          <w:rFonts w:hint="eastAsia" w:ascii="黑体" w:hAnsi="黑体" w:eastAsia="黑体" w:cs="黑体"/>
          <w:b w:val="0"/>
          <w:bCs w:val="0"/>
          <w:color w:val="auto"/>
          <w:kern w:val="0"/>
          <w:sz w:val="32"/>
          <w:szCs w:val="32"/>
        </w:rPr>
        <w:t>七、一般公共预算财政拨款项目支出决算情况说明</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赤峰市司法局（部门） 202</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年度一般公共预算财政拨款项目支出决算</w:t>
      </w:r>
      <w:r>
        <w:rPr>
          <w:rFonts w:hint="eastAsia" w:ascii="仿宋_GB2312" w:hAnsi="仿宋_GB2312" w:eastAsia="仿宋_GB2312" w:cs="仿宋_GB2312"/>
          <w:color w:val="auto"/>
          <w:kern w:val="0"/>
          <w:sz w:val="32"/>
          <w:szCs w:val="32"/>
          <w:lang w:val="en-US" w:eastAsia="zh-CN"/>
        </w:rPr>
        <w:t>631.77</w:t>
      </w:r>
      <w:r>
        <w:rPr>
          <w:rFonts w:hint="eastAsia" w:ascii="仿宋_GB2312" w:hAnsi="仿宋_GB2312" w:eastAsia="仿宋_GB2312" w:cs="仿宋_GB2312"/>
          <w:color w:val="auto"/>
          <w:kern w:val="0"/>
          <w:sz w:val="32"/>
          <w:szCs w:val="32"/>
        </w:rPr>
        <w:t>万元，其中：</w:t>
      </w:r>
    </w:p>
    <w:p>
      <w:pPr>
        <w:keepNext w:val="0"/>
        <w:keepLines w:val="0"/>
        <w:pageBreakBefore w:val="0"/>
        <w:widowControl/>
        <w:kinsoku/>
        <w:wordWrap/>
        <w:overflowPunct/>
        <w:topLinePunct w:val="0"/>
        <w:autoSpaceDE/>
        <w:autoSpaceDN/>
        <w:bidi w:val="0"/>
        <w:adjustRightInd/>
        <w:snapToGrid/>
        <w:spacing w:line="580" w:lineRule="exact"/>
        <w:ind w:left="0" w:leftChars="0"/>
        <w:textAlignment w:val="auto"/>
        <w:rPr>
          <w:rFonts w:hint="eastAsia" w:ascii="楷体" w:hAnsi="楷体" w:eastAsia="楷体" w:cs="楷体"/>
          <w:b/>
          <w:bCs/>
          <w:color w:val="auto"/>
          <w:kern w:val="0"/>
          <w:sz w:val="32"/>
          <w:szCs w:val="32"/>
          <w:u w:val="none"/>
        </w:rPr>
      </w:pPr>
      <w:r>
        <w:rPr>
          <w:rFonts w:ascii="fang_song_gb2312" w:hAnsi="fang_song_gb2312" w:eastAsia="fang_song_gb2312" w:cs="fang_song_gb2312"/>
          <w:b/>
          <w:bCs/>
          <w:color w:val="auto"/>
          <w:kern w:val="0"/>
          <w:sz w:val="27"/>
          <w:szCs w:val="27"/>
        </w:rPr>
        <w:t xml:space="preserve">    </w:t>
      </w:r>
      <w:r>
        <w:rPr>
          <w:rFonts w:hint="eastAsia" w:ascii="fang_song_gb2312" w:hAnsi="fang_song_gb2312" w:eastAsia="fang_song_gb2312" w:cs="fang_song_gb2312"/>
          <w:b/>
          <w:bCs/>
          <w:color w:val="auto"/>
          <w:kern w:val="0"/>
          <w:sz w:val="27"/>
          <w:szCs w:val="27"/>
          <w:lang w:val="en-US" w:eastAsia="zh-CN"/>
        </w:rPr>
        <w:t xml:space="preserve">  </w:t>
      </w:r>
      <w:r>
        <w:rPr>
          <w:rFonts w:hint="eastAsia" w:ascii="楷体" w:hAnsi="楷体" w:eastAsia="楷体" w:cs="楷体"/>
          <w:b w:val="0"/>
          <w:bCs w:val="0"/>
          <w:color w:val="auto"/>
          <w:kern w:val="0"/>
          <w:sz w:val="32"/>
          <w:szCs w:val="32"/>
          <w:u w:val="none"/>
        </w:rPr>
        <w:t>（一）工资福利支出 0.00万元。</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olor w:val="auto"/>
          <w:kern w:val="2"/>
          <w:sz w:val="32"/>
          <w:u w:val="none"/>
        </w:rPr>
      </w:pPr>
      <w:r>
        <w:rPr>
          <w:rFonts w:hint="eastAsia" w:ascii="楷体" w:hAnsi="楷体" w:eastAsia="楷体" w:cs="楷体"/>
          <w:b w:val="0"/>
          <w:bCs w:val="0"/>
          <w:color w:val="auto"/>
          <w:kern w:val="0"/>
          <w:sz w:val="32"/>
          <w:szCs w:val="32"/>
          <w:u w:val="none"/>
        </w:rPr>
        <w:t xml:space="preserve">（二）商品和服务支出 </w:t>
      </w:r>
      <w:r>
        <w:rPr>
          <w:rFonts w:hint="eastAsia" w:ascii="楷体" w:hAnsi="楷体" w:eastAsia="楷体" w:cs="楷体"/>
          <w:b w:val="0"/>
          <w:bCs w:val="0"/>
          <w:color w:val="auto"/>
          <w:kern w:val="0"/>
          <w:sz w:val="32"/>
          <w:szCs w:val="32"/>
          <w:u w:val="none"/>
          <w:lang w:val="en-US" w:eastAsia="zh-CN"/>
        </w:rPr>
        <w:t>568.46</w:t>
      </w:r>
      <w:r>
        <w:rPr>
          <w:rFonts w:hint="eastAsia" w:ascii="楷体" w:hAnsi="楷体" w:eastAsia="楷体" w:cs="楷体"/>
          <w:b w:val="0"/>
          <w:bCs w:val="0"/>
          <w:color w:val="auto"/>
          <w:kern w:val="0"/>
          <w:sz w:val="32"/>
          <w:szCs w:val="32"/>
          <w:u w:val="none"/>
        </w:rPr>
        <w:t>万元。</w:t>
      </w:r>
      <w:r>
        <w:rPr>
          <w:rFonts w:hint="eastAsia" w:ascii="仿宋_GB2312" w:hAnsi="仿宋_GB2312" w:eastAsia="仿宋_GB2312"/>
          <w:color w:val="auto"/>
          <w:kern w:val="2"/>
          <w:sz w:val="32"/>
          <w:u w:val="none"/>
        </w:rPr>
        <w:t>主要包括：办公费</w:t>
      </w:r>
      <w:r>
        <w:rPr>
          <w:rFonts w:hint="eastAsia" w:ascii="仿宋_GB2312" w:hAnsi="仿宋_GB2312" w:eastAsia="仿宋_GB2312"/>
          <w:color w:val="auto"/>
          <w:kern w:val="2"/>
          <w:sz w:val="32"/>
          <w:u w:val="none"/>
          <w:lang w:val="en-US" w:eastAsia="zh-CN"/>
        </w:rPr>
        <w:t>310.91</w:t>
      </w:r>
      <w:r>
        <w:rPr>
          <w:rFonts w:hint="eastAsia" w:ascii="仿宋_GB2312" w:hAnsi="仿宋_GB2312" w:eastAsia="仿宋_GB2312"/>
          <w:color w:val="auto"/>
          <w:kern w:val="2"/>
          <w:sz w:val="32"/>
          <w:u w:val="none"/>
        </w:rPr>
        <w:t>万元、印刷费</w:t>
      </w:r>
      <w:r>
        <w:rPr>
          <w:rFonts w:hint="eastAsia" w:ascii="仿宋_GB2312" w:hAnsi="仿宋_GB2312" w:eastAsia="仿宋_GB2312"/>
          <w:color w:val="auto"/>
          <w:kern w:val="2"/>
          <w:sz w:val="32"/>
          <w:u w:val="none"/>
          <w:lang w:val="en-US" w:eastAsia="zh-CN"/>
        </w:rPr>
        <w:t>35.38</w:t>
      </w:r>
      <w:r>
        <w:rPr>
          <w:rFonts w:hint="eastAsia" w:ascii="仿宋_GB2312" w:hAnsi="仿宋_GB2312" w:eastAsia="仿宋_GB2312"/>
          <w:color w:val="auto"/>
          <w:kern w:val="2"/>
          <w:sz w:val="32"/>
          <w:u w:val="none"/>
        </w:rPr>
        <w:t>万元、咨询费</w:t>
      </w:r>
      <w:r>
        <w:rPr>
          <w:rFonts w:hint="eastAsia" w:ascii="仿宋_GB2312" w:hAnsi="仿宋_GB2312" w:eastAsia="仿宋_GB2312"/>
          <w:color w:val="auto"/>
          <w:kern w:val="2"/>
          <w:sz w:val="32"/>
          <w:u w:val="none"/>
          <w:lang w:val="en-US" w:eastAsia="zh-CN"/>
        </w:rPr>
        <w:t>5.09</w:t>
      </w:r>
      <w:r>
        <w:rPr>
          <w:rFonts w:hint="eastAsia" w:ascii="仿宋_GB2312" w:hAnsi="仿宋_GB2312" w:eastAsia="仿宋_GB2312"/>
          <w:color w:val="auto"/>
          <w:kern w:val="2"/>
          <w:sz w:val="32"/>
          <w:u w:val="none"/>
        </w:rPr>
        <w:t>万元、邮电费</w:t>
      </w:r>
      <w:r>
        <w:rPr>
          <w:rFonts w:hint="eastAsia" w:ascii="仿宋_GB2312" w:hAnsi="仿宋_GB2312" w:eastAsia="仿宋_GB2312"/>
          <w:color w:val="auto"/>
          <w:kern w:val="2"/>
          <w:sz w:val="32"/>
          <w:u w:val="none"/>
          <w:lang w:val="en-US" w:eastAsia="zh-CN"/>
        </w:rPr>
        <w:t>6.28</w:t>
      </w:r>
      <w:r>
        <w:rPr>
          <w:rFonts w:hint="eastAsia" w:ascii="仿宋_GB2312" w:hAnsi="仿宋_GB2312" w:eastAsia="仿宋_GB2312"/>
          <w:color w:val="auto"/>
          <w:kern w:val="2"/>
          <w:sz w:val="32"/>
          <w:u w:val="none"/>
        </w:rPr>
        <w:t>万元、差旅费</w:t>
      </w:r>
      <w:r>
        <w:rPr>
          <w:rFonts w:hint="eastAsia" w:ascii="仿宋_GB2312" w:hAnsi="仿宋_GB2312" w:eastAsia="仿宋_GB2312"/>
          <w:color w:val="auto"/>
          <w:kern w:val="2"/>
          <w:sz w:val="32"/>
          <w:u w:val="none"/>
          <w:lang w:val="en-US" w:eastAsia="zh-CN"/>
        </w:rPr>
        <w:t>75.17</w:t>
      </w:r>
      <w:r>
        <w:rPr>
          <w:rFonts w:hint="eastAsia" w:ascii="仿宋_GB2312" w:hAnsi="仿宋_GB2312" w:eastAsia="仿宋_GB2312"/>
          <w:color w:val="auto"/>
          <w:kern w:val="2"/>
          <w:sz w:val="32"/>
          <w:u w:val="none"/>
        </w:rPr>
        <w:t>万元、维修（护）费</w:t>
      </w:r>
      <w:r>
        <w:rPr>
          <w:rFonts w:hint="eastAsia" w:ascii="仿宋_GB2312" w:hAnsi="仿宋_GB2312" w:eastAsia="仿宋_GB2312"/>
          <w:color w:val="auto"/>
          <w:kern w:val="2"/>
          <w:sz w:val="32"/>
          <w:u w:val="none"/>
          <w:lang w:val="en-US" w:eastAsia="zh-CN"/>
        </w:rPr>
        <w:t>87.05</w:t>
      </w:r>
      <w:r>
        <w:rPr>
          <w:rFonts w:hint="eastAsia" w:ascii="仿宋_GB2312" w:hAnsi="仿宋_GB2312" w:eastAsia="仿宋_GB2312"/>
          <w:color w:val="auto"/>
          <w:kern w:val="2"/>
          <w:sz w:val="32"/>
          <w:u w:val="none"/>
        </w:rPr>
        <w:t>万元、 租赁费</w:t>
      </w:r>
      <w:r>
        <w:rPr>
          <w:rFonts w:hint="eastAsia" w:ascii="仿宋_GB2312" w:hAnsi="仿宋_GB2312" w:eastAsia="仿宋_GB2312"/>
          <w:color w:val="auto"/>
          <w:kern w:val="2"/>
          <w:sz w:val="32"/>
          <w:u w:val="none"/>
          <w:lang w:val="en-US" w:eastAsia="zh-CN"/>
        </w:rPr>
        <w:t>1.5万元、</w:t>
      </w:r>
      <w:r>
        <w:rPr>
          <w:rFonts w:hint="eastAsia" w:ascii="仿宋_GB2312" w:hAnsi="仿宋_GB2312" w:eastAsia="仿宋_GB2312"/>
          <w:color w:val="auto"/>
          <w:kern w:val="2"/>
          <w:sz w:val="32"/>
          <w:u w:val="none"/>
        </w:rPr>
        <w:t>会议费</w:t>
      </w:r>
      <w:r>
        <w:rPr>
          <w:rFonts w:hint="eastAsia" w:ascii="仿宋_GB2312" w:hAnsi="仿宋_GB2312" w:eastAsia="仿宋_GB2312"/>
          <w:color w:val="auto"/>
          <w:kern w:val="2"/>
          <w:sz w:val="32"/>
          <w:u w:val="none"/>
          <w:lang w:val="en-US" w:eastAsia="zh-CN"/>
        </w:rPr>
        <w:t>20.64</w:t>
      </w:r>
      <w:r>
        <w:rPr>
          <w:rFonts w:hint="eastAsia" w:ascii="仿宋_GB2312" w:hAnsi="仿宋_GB2312" w:eastAsia="仿宋_GB2312"/>
          <w:color w:val="auto"/>
          <w:kern w:val="2"/>
          <w:sz w:val="32"/>
          <w:u w:val="none"/>
        </w:rPr>
        <w:t>万元、培训费</w:t>
      </w:r>
      <w:r>
        <w:rPr>
          <w:rFonts w:hint="eastAsia" w:ascii="仿宋_GB2312" w:hAnsi="仿宋_GB2312" w:eastAsia="仿宋_GB2312"/>
          <w:color w:val="auto"/>
          <w:kern w:val="2"/>
          <w:sz w:val="32"/>
          <w:u w:val="none"/>
          <w:lang w:val="en-US" w:eastAsia="zh-CN"/>
        </w:rPr>
        <w:t>19.16</w:t>
      </w:r>
      <w:r>
        <w:rPr>
          <w:rFonts w:hint="eastAsia" w:ascii="仿宋_GB2312" w:hAnsi="仿宋_GB2312" w:eastAsia="仿宋_GB2312"/>
          <w:color w:val="auto"/>
          <w:kern w:val="2"/>
          <w:sz w:val="32"/>
          <w:u w:val="none"/>
        </w:rPr>
        <w:t>万元、劳务费</w:t>
      </w:r>
      <w:r>
        <w:rPr>
          <w:rFonts w:hint="eastAsia" w:ascii="仿宋_GB2312" w:hAnsi="仿宋_GB2312" w:eastAsia="仿宋_GB2312"/>
          <w:color w:val="auto"/>
          <w:kern w:val="2"/>
          <w:sz w:val="32"/>
          <w:u w:val="none"/>
          <w:lang w:val="en-US" w:eastAsia="zh-CN"/>
        </w:rPr>
        <w:t>3.6</w:t>
      </w:r>
      <w:r>
        <w:rPr>
          <w:rFonts w:hint="eastAsia" w:ascii="仿宋_GB2312" w:hAnsi="仿宋_GB2312" w:eastAsia="仿宋_GB2312"/>
          <w:color w:val="auto"/>
          <w:kern w:val="2"/>
          <w:sz w:val="32"/>
          <w:u w:val="none"/>
        </w:rPr>
        <w:t>万元、其他交通费用</w:t>
      </w:r>
      <w:r>
        <w:rPr>
          <w:rFonts w:hint="eastAsia" w:ascii="仿宋_GB2312" w:hAnsi="仿宋_GB2312" w:eastAsia="仿宋_GB2312"/>
          <w:color w:val="auto"/>
          <w:kern w:val="2"/>
          <w:sz w:val="32"/>
          <w:u w:val="none"/>
          <w:lang w:val="en-US" w:eastAsia="zh-CN"/>
        </w:rPr>
        <w:t>3.68</w:t>
      </w:r>
      <w:r>
        <w:rPr>
          <w:rFonts w:hint="eastAsia" w:ascii="仿宋_GB2312" w:hAnsi="仿宋_GB2312" w:eastAsia="仿宋_GB2312"/>
          <w:color w:val="auto"/>
          <w:kern w:val="2"/>
          <w:sz w:val="32"/>
          <w:u w:val="none"/>
        </w:rPr>
        <w:t>万元。</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Times New Roman" w:cs="Times New Roman"/>
          <w:color w:val="auto"/>
          <w:kern w:val="0"/>
          <w:sz w:val="24"/>
        </w:rPr>
      </w:pPr>
      <w:r>
        <w:rPr>
          <w:rFonts w:hint="eastAsia" w:ascii="楷体" w:hAnsi="楷体" w:eastAsia="楷体" w:cs="楷体"/>
          <w:b w:val="0"/>
          <w:bCs w:val="0"/>
          <w:color w:val="auto"/>
          <w:kern w:val="0"/>
          <w:sz w:val="32"/>
          <w:szCs w:val="32"/>
          <w:u w:val="none"/>
        </w:rPr>
        <w:t>（三）资本性支出</w:t>
      </w:r>
      <w:r>
        <w:rPr>
          <w:rFonts w:hint="eastAsia" w:ascii="楷体" w:hAnsi="楷体" w:eastAsia="楷体" w:cs="楷体"/>
          <w:b w:val="0"/>
          <w:bCs w:val="0"/>
          <w:color w:val="auto"/>
          <w:kern w:val="0"/>
          <w:sz w:val="32"/>
          <w:szCs w:val="32"/>
          <w:u w:val="none"/>
          <w:lang w:val="en-US" w:eastAsia="zh-CN"/>
        </w:rPr>
        <w:t>63.31</w:t>
      </w:r>
      <w:r>
        <w:rPr>
          <w:rFonts w:hint="eastAsia" w:ascii="楷体" w:hAnsi="楷体" w:eastAsia="楷体" w:cs="楷体"/>
          <w:b w:val="0"/>
          <w:bCs w:val="0"/>
          <w:color w:val="auto"/>
          <w:kern w:val="0"/>
          <w:sz w:val="32"/>
          <w:szCs w:val="32"/>
          <w:u w:val="none"/>
        </w:rPr>
        <w:t>万元。</w:t>
      </w:r>
      <w:r>
        <w:rPr>
          <w:rFonts w:hint="eastAsia" w:ascii="仿宋_GB2312" w:hAnsi="仿宋_GB2312" w:eastAsia="仿宋_GB2312"/>
          <w:color w:val="auto"/>
          <w:kern w:val="2"/>
          <w:sz w:val="32"/>
          <w:u w:val="none"/>
        </w:rPr>
        <w:t>主要包括：办公设备购置</w:t>
      </w:r>
      <w:r>
        <w:rPr>
          <w:rFonts w:hint="eastAsia" w:ascii="仿宋_GB2312" w:hAnsi="仿宋_GB2312" w:eastAsia="仿宋_GB2312"/>
          <w:color w:val="auto"/>
          <w:kern w:val="2"/>
          <w:sz w:val="32"/>
          <w:u w:val="none"/>
          <w:lang w:val="en-US" w:eastAsia="zh-CN"/>
        </w:rPr>
        <w:t>63.31</w:t>
      </w:r>
      <w:r>
        <w:rPr>
          <w:rFonts w:hint="eastAsia" w:ascii="仿宋_GB2312" w:hAnsi="仿宋_GB2312" w:eastAsia="仿宋_GB2312"/>
          <w:color w:val="auto"/>
          <w:kern w:val="2"/>
          <w:sz w:val="32"/>
          <w:u w:val="none"/>
        </w:rPr>
        <w:t>万元。</w:t>
      </w:r>
    </w:p>
    <w:p>
      <w:pPr>
        <w:keepNext w:val="0"/>
        <w:keepLines w:val="0"/>
        <w:pageBreakBefore w:val="0"/>
        <w:widowControl/>
        <w:kinsoku/>
        <w:wordWrap/>
        <w:overflowPunct/>
        <w:topLinePunct w:val="0"/>
        <w:autoSpaceDE/>
        <w:autoSpaceDN/>
        <w:bidi w:val="0"/>
        <w:adjustRightInd/>
        <w:snapToGrid/>
        <w:spacing w:line="580" w:lineRule="exact"/>
        <w:ind w:left="0" w:leftChars="0"/>
        <w:jc w:val="left"/>
        <w:textAlignment w:val="auto"/>
        <w:rPr>
          <w:rFonts w:hint="eastAsia" w:ascii="黑体" w:hAnsi="黑体" w:eastAsia="黑体" w:cs="黑体"/>
          <w:b w:val="0"/>
          <w:bCs w:val="0"/>
          <w:color w:val="auto"/>
          <w:kern w:val="0"/>
          <w:sz w:val="32"/>
          <w:szCs w:val="32"/>
        </w:rPr>
      </w:pPr>
      <w:r>
        <w:rPr>
          <w:rFonts w:ascii="Calibri" w:hAnsi="Calibri" w:eastAsia="Calibri" w:cs="Calibri"/>
          <w:b/>
          <w:bCs/>
          <w:color w:val="auto"/>
          <w:kern w:val="0"/>
          <w:sz w:val="27"/>
          <w:szCs w:val="27"/>
        </w:rPr>
        <w:t> </w:t>
      </w:r>
      <w:r>
        <w:rPr>
          <w:rFonts w:hint="eastAsia" w:ascii="Calibri" w:hAnsi="Calibri" w:cs="Calibri"/>
          <w:b/>
          <w:bCs/>
          <w:color w:val="auto"/>
          <w:kern w:val="0"/>
          <w:sz w:val="27"/>
          <w:szCs w:val="27"/>
          <w:lang w:val="en-US" w:eastAsia="zh-CN"/>
        </w:rPr>
        <w:t xml:space="preserve">    </w:t>
      </w:r>
      <w:r>
        <w:rPr>
          <w:rFonts w:hint="eastAsia" w:ascii="黑体" w:hAnsi="黑体" w:eastAsia="黑体" w:cs="黑体"/>
          <w:b w:val="0"/>
          <w:bCs w:val="0"/>
          <w:color w:val="auto"/>
          <w:kern w:val="0"/>
          <w:sz w:val="32"/>
          <w:szCs w:val="32"/>
        </w:rPr>
        <w:t>八、财政拨款“三公”经费支出决算情况说明</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楷体" w:hAnsi="楷体" w:eastAsia="楷体" w:cs="楷体"/>
          <w:b w:val="0"/>
          <w:bCs w:val="0"/>
          <w:color w:val="auto"/>
          <w:kern w:val="0"/>
          <w:sz w:val="32"/>
          <w:szCs w:val="32"/>
        </w:rPr>
      </w:pPr>
      <w:r>
        <w:rPr>
          <w:rFonts w:hint="eastAsia" w:ascii="楷体" w:hAnsi="楷体" w:eastAsia="楷体" w:cs="楷体"/>
          <w:b w:val="0"/>
          <w:bCs w:val="0"/>
          <w:color w:val="auto"/>
          <w:kern w:val="0"/>
          <w:sz w:val="32"/>
          <w:szCs w:val="32"/>
        </w:rPr>
        <w:t>（一）财政拨款“三公”经费支出总体情况说明。</w:t>
      </w:r>
    </w:p>
    <w:p>
      <w:pPr>
        <w:keepNext w:val="0"/>
        <w:keepLines w:val="0"/>
        <w:pageBreakBefore w:val="0"/>
        <w:widowControl/>
        <w:kinsoku/>
        <w:wordWrap/>
        <w:overflowPunct/>
        <w:topLinePunct w:val="0"/>
        <w:autoSpaceDE/>
        <w:autoSpaceDN/>
        <w:bidi w:val="0"/>
        <w:adjustRightInd/>
        <w:snapToGrid/>
        <w:spacing w:line="580" w:lineRule="exact"/>
        <w:ind w:left="0" w:leftChars="0"/>
        <w:textAlignment w:val="auto"/>
        <w:rPr>
          <w:rFonts w:hint="eastAsia" w:ascii="仿宋_GB2312" w:hAnsi="仿宋_GB2312" w:eastAsia="仿宋_GB2312" w:cs="仿宋_GB2312"/>
          <w:color w:val="auto"/>
          <w:kern w:val="0"/>
          <w:sz w:val="32"/>
          <w:szCs w:val="32"/>
          <w:u w:val="none"/>
          <w:lang w:val="en-US" w:eastAsia="zh-CN"/>
        </w:rPr>
      </w:pPr>
      <w:r>
        <w:rPr>
          <w:rFonts w:ascii="fang_song_gb2312" w:hAnsi="fang_song_gb2312" w:eastAsia="fang_song_gb2312" w:cs="fang_song_gb2312"/>
          <w:color w:val="auto"/>
          <w:kern w:val="0"/>
          <w:sz w:val="27"/>
          <w:szCs w:val="27"/>
        </w:rPr>
        <w:t> </w:t>
      </w:r>
      <w:r>
        <w:rPr>
          <w:rFonts w:hint="eastAsia" w:ascii="fang_song_gb2312" w:hAnsi="fang_song_gb2312" w:eastAsia="fang_song_gb2312" w:cs="fang_song_gb2312"/>
          <w:color w:val="auto"/>
          <w:kern w:val="0"/>
          <w:sz w:val="27"/>
          <w:szCs w:val="27"/>
          <w:lang w:val="en-US" w:eastAsia="zh-CN"/>
        </w:rPr>
        <w:t xml:space="preserve">    </w:t>
      </w:r>
      <w:r>
        <w:rPr>
          <w:rFonts w:hint="eastAsia" w:ascii="仿宋_GB2312" w:hAnsi="仿宋_GB2312" w:eastAsia="仿宋_GB2312" w:cs="仿宋_GB2312"/>
          <w:color w:val="auto"/>
          <w:kern w:val="0"/>
          <w:sz w:val="32"/>
          <w:szCs w:val="32"/>
          <w:u w:val="none"/>
        </w:rPr>
        <w:t>赤峰市司法局（部门） 202</w:t>
      </w:r>
      <w:r>
        <w:rPr>
          <w:rFonts w:hint="eastAsia" w:ascii="仿宋_GB2312" w:hAnsi="仿宋_GB2312" w:eastAsia="仿宋_GB2312" w:cs="仿宋_GB2312"/>
          <w:color w:val="auto"/>
          <w:kern w:val="0"/>
          <w:sz w:val="32"/>
          <w:szCs w:val="32"/>
          <w:u w:val="none"/>
          <w:lang w:val="en-US" w:eastAsia="zh-CN"/>
        </w:rPr>
        <w:t>4</w:t>
      </w:r>
      <w:r>
        <w:rPr>
          <w:rFonts w:hint="eastAsia" w:ascii="仿宋_GB2312" w:hAnsi="仿宋_GB2312" w:eastAsia="仿宋_GB2312" w:cs="仿宋_GB2312"/>
          <w:color w:val="auto"/>
          <w:kern w:val="0"/>
          <w:sz w:val="32"/>
          <w:szCs w:val="32"/>
          <w:u w:val="none"/>
        </w:rPr>
        <w:t>年度财政拨款“三公”经费全年预算</w:t>
      </w:r>
      <w:r>
        <w:rPr>
          <w:rFonts w:hint="eastAsia" w:ascii="仿宋_GB2312" w:hAnsi="仿宋_GB2312" w:eastAsia="仿宋_GB2312" w:cs="仿宋_GB2312"/>
          <w:color w:val="auto"/>
          <w:kern w:val="0"/>
          <w:sz w:val="32"/>
          <w:szCs w:val="32"/>
          <w:u w:val="none"/>
          <w:lang w:val="en-US" w:eastAsia="zh-CN"/>
        </w:rPr>
        <w:t>66</w:t>
      </w:r>
      <w:r>
        <w:rPr>
          <w:rFonts w:hint="eastAsia" w:ascii="仿宋_GB2312" w:hAnsi="仿宋_GB2312" w:eastAsia="仿宋_GB2312" w:cs="仿宋_GB2312"/>
          <w:color w:val="auto"/>
          <w:kern w:val="0"/>
          <w:sz w:val="32"/>
          <w:szCs w:val="32"/>
          <w:u w:val="none"/>
        </w:rPr>
        <w:t xml:space="preserve">万元，支出决算 </w:t>
      </w:r>
      <w:r>
        <w:rPr>
          <w:rFonts w:hint="eastAsia" w:ascii="仿宋_GB2312" w:hAnsi="仿宋_GB2312" w:eastAsia="仿宋_GB2312" w:cs="仿宋_GB2312"/>
          <w:color w:val="auto"/>
          <w:kern w:val="0"/>
          <w:sz w:val="32"/>
          <w:szCs w:val="32"/>
          <w:u w:val="none"/>
          <w:lang w:val="en-US" w:eastAsia="zh-CN"/>
        </w:rPr>
        <w:t>25.18</w:t>
      </w:r>
      <w:r>
        <w:rPr>
          <w:rFonts w:hint="eastAsia" w:ascii="仿宋_GB2312" w:hAnsi="仿宋_GB2312" w:eastAsia="仿宋_GB2312" w:cs="仿宋_GB2312"/>
          <w:color w:val="auto"/>
          <w:kern w:val="0"/>
          <w:sz w:val="32"/>
          <w:szCs w:val="32"/>
          <w:u w:val="none"/>
        </w:rPr>
        <w:t xml:space="preserve">万元，完成预算的 </w:t>
      </w:r>
      <w:r>
        <w:rPr>
          <w:rFonts w:hint="eastAsia" w:ascii="仿宋_GB2312" w:hAnsi="仿宋_GB2312" w:eastAsia="仿宋_GB2312" w:cs="仿宋_GB2312"/>
          <w:color w:val="auto"/>
          <w:kern w:val="0"/>
          <w:sz w:val="32"/>
          <w:szCs w:val="32"/>
          <w:u w:val="none"/>
          <w:lang w:val="en-US" w:eastAsia="zh-CN"/>
        </w:rPr>
        <w:t>38.15</w:t>
      </w:r>
      <w:r>
        <w:rPr>
          <w:rFonts w:hint="eastAsia" w:ascii="仿宋_GB2312" w:hAnsi="仿宋_GB2312" w:eastAsia="仿宋_GB2312" w:cs="仿宋_GB2312"/>
          <w:color w:val="auto"/>
          <w:kern w:val="0"/>
          <w:sz w:val="32"/>
          <w:szCs w:val="32"/>
          <w:u w:val="none"/>
        </w:rPr>
        <w:t>%。其中：因公出国（境）费全年预算 0.00万元，支出决算 0.00万元，完成预算的</w:t>
      </w:r>
      <w:r>
        <w:rPr>
          <w:rFonts w:hint="eastAsia" w:ascii="仿宋_GB2312" w:hAnsi="仿宋_GB2312" w:eastAsia="仿宋_GB2312" w:cs="仿宋_GB2312"/>
          <w:color w:val="auto"/>
          <w:kern w:val="0"/>
          <w:sz w:val="32"/>
          <w:szCs w:val="32"/>
          <w:u w:val="none"/>
          <w:lang w:val="en-US" w:eastAsia="zh-CN"/>
        </w:rPr>
        <w:t>0</w:t>
      </w:r>
      <w:r>
        <w:rPr>
          <w:rFonts w:hint="eastAsia" w:ascii="仿宋_GB2312" w:hAnsi="仿宋_GB2312" w:eastAsia="仿宋_GB2312" w:cs="仿宋_GB2312"/>
          <w:color w:val="auto"/>
          <w:kern w:val="0"/>
          <w:sz w:val="32"/>
          <w:szCs w:val="32"/>
          <w:u w:val="none"/>
        </w:rPr>
        <w:t xml:space="preserve">%；公务用车购置及运行维护费全年预算 60.00万元，支出决算 </w:t>
      </w:r>
      <w:r>
        <w:rPr>
          <w:rFonts w:hint="eastAsia" w:ascii="仿宋_GB2312" w:hAnsi="仿宋_GB2312" w:eastAsia="仿宋_GB2312" w:cs="仿宋_GB2312"/>
          <w:color w:val="auto"/>
          <w:kern w:val="0"/>
          <w:sz w:val="32"/>
          <w:szCs w:val="32"/>
          <w:u w:val="none"/>
          <w:lang w:val="en-US" w:eastAsia="zh-CN"/>
        </w:rPr>
        <w:t>23.95</w:t>
      </w:r>
      <w:r>
        <w:rPr>
          <w:rFonts w:hint="eastAsia" w:ascii="仿宋_GB2312" w:hAnsi="仿宋_GB2312" w:eastAsia="仿宋_GB2312" w:cs="仿宋_GB2312"/>
          <w:color w:val="auto"/>
          <w:kern w:val="0"/>
          <w:sz w:val="32"/>
          <w:szCs w:val="32"/>
          <w:u w:val="none"/>
        </w:rPr>
        <w:t xml:space="preserve">万元，完成预算的 </w:t>
      </w:r>
      <w:r>
        <w:rPr>
          <w:rFonts w:hint="eastAsia" w:ascii="仿宋_GB2312" w:hAnsi="仿宋_GB2312" w:eastAsia="仿宋_GB2312" w:cs="仿宋_GB2312"/>
          <w:color w:val="auto"/>
          <w:kern w:val="0"/>
          <w:sz w:val="32"/>
          <w:szCs w:val="32"/>
          <w:u w:val="none"/>
          <w:lang w:val="en-US" w:eastAsia="zh-CN"/>
        </w:rPr>
        <w:t>39.92</w:t>
      </w:r>
      <w:r>
        <w:rPr>
          <w:rFonts w:hint="eastAsia" w:ascii="仿宋_GB2312" w:hAnsi="仿宋_GB2312" w:eastAsia="仿宋_GB2312" w:cs="仿宋_GB2312"/>
          <w:color w:val="auto"/>
          <w:kern w:val="0"/>
          <w:sz w:val="32"/>
          <w:szCs w:val="32"/>
          <w:u w:val="none"/>
        </w:rPr>
        <w:t xml:space="preserve">%；公务接待费全年预算 </w:t>
      </w:r>
      <w:r>
        <w:rPr>
          <w:rFonts w:hint="eastAsia" w:ascii="仿宋_GB2312" w:hAnsi="仿宋_GB2312" w:eastAsia="仿宋_GB2312" w:cs="仿宋_GB2312"/>
          <w:color w:val="auto"/>
          <w:kern w:val="0"/>
          <w:sz w:val="32"/>
          <w:szCs w:val="32"/>
          <w:u w:val="none"/>
          <w:lang w:val="en-US" w:eastAsia="zh-CN"/>
        </w:rPr>
        <w:t>6</w:t>
      </w:r>
      <w:r>
        <w:rPr>
          <w:rFonts w:hint="eastAsia" w:ascii="仿宋_GB2312" w:hAnsi="仿宋_GB2312" w:eastAsia="仿宋_GB2312" w:cs="仿宋_GB2312"/>
          <w:color w:val="auto"/>
          <w:kern w:val="0"/>
          <w:sz w:val="32"/>
          <w:szCs w:val="32"/>
          <w:u w:val="none"/>
        </w:rPr>
        <w:t>万元，支出决算 1.</w:t>
      </w:r>
      <w:r>
        <w:rPr>
          <w:rFonts w:hint="eastAsia" w:ascii="仿宋_GB2312" w:hAnsi="仿宋_GB2312" w:eastAsia="仿宋_GB2312" w:cs="仿宋_GB2312"/>
          <w:color w:val="auto"/>
          <w:kern w:val="0"/>
          <w:sz w:val="32"/>
          <w:szCs w:val="32"/>
          <w:u w:val="none"/>
          <w:lang w:val="en-US" w:eastAsia="zh-CN"/>
        </w:rPr>
        <w:t>23</w:t>
      </w:r>
      <w:r>
        <w:rPr>
          <w:rFonts w:hint="eastAsia" w:ascii="仿宋_GB2312" w:hAnsi="仿宋_GB2312" w:eastAsia="仿宋_GB2312" w:cs="仿宋_GB2312"/>
          <w:color w:val="auto"/>
          <w:kern w:val="0"/>
          <w:sz w:val="32"/>
          <w:szCs w:val="32"/>
          <w:u w:val="none"/>
        </w:rPr>
        <w:t xml:space="preserve">万元，完成预算的 </w:t>
      </w:r>
      <w:r>
        <w:rPr>
          <w:rFonts w:hint="eastAsia" w:ascii="仿宋_GB2312" w:hAnsi="仿宋_GB2312" w:eastAsia="仿宋_GB2312" w:cs="仿宋_GB2312"/>
          <w:color w:val="auto"/>
          <w:kern w:val="0"/>
          <w:sz w:val="32"/>
          <w:szCs w:val="32"/>
          <w:u w:val="none"/>
          <w:lang w:val="en-US" w:eastAsia="zh-CN"/>
        </w:rPr>
        <w:t>20.5</w:t>
      </w:r>
      <w:r>
        <w:rPr>
          <w:rFonts w:hint="eastAsia" w:ascii="仿宋_GB2312" w:hAnsi="仿宋_GB2312" w:eastAsia="仿宋_GB2312" w:cs="仿宋_GB2312"/>
          <w:color w:val="auto"/>
          <w:kern w:val="0"/>
          <w:sz w:val="32"/>
          <w:szCs w:val="32"/>
          <w:u w:val="none"/>
        </w:rPr>
        <w:t>%。202</w:t>
      </w:r>
      <w:r>
        <w:rPr>
          <w:rFonts w:hint="eastAsia" w:ascii="仿宋_GB2312" w:hAnsi="仿宋_GB2312" w:eastAsia="仿宋_GB2312" w:cs="仿宋_GB2312"/>
          <w:color w:val="auto"/>
          <w:kern w:val="0"/>
          <w:sz w:val="32"/>
          <w:szCs w:val="32"/>
          <w:u w:val="none"/>
          <w:lang w:val="en-US" w:eastAsia="zh-CN"/>
        </w:rPr>
        <w:t>4</w:t>
      </w:r>
      <w:r>
        <w:rPr>
          <w:rFonts w:hint="eastAsia" w:ascii="仿宋_GB2312" w:hAnsi="仿宋_GB2312" w:eastAsia="仿宋_GB2312" w:cs="仿宋_GB2312"/>
          <w:color w:val="auto"/>
          <w:kern w:val="0"/>
          <w:sz w:val="32"/>
          <w:szCs w:val="32"/>
          <w:u w:val="none"/>
        </w:rPr>
        <w:t>年度一般公共预算财政拨款“三公”经费支出决算与预算差异原因</w:t>
      </w:r>
      <w:r>
        <w:rPr>
          <w:rFonts w:hint="eastAsia" w:ascii="仿宋_GB2312" w:hAnsi="仿宋_GB2312" w:eastAsia="仿宋_GB2312" w:cs="仿宋_GB2312"/>
          <w:color w:val="auto"/>
          <w:kern w:val="0"/>
          <w:sz w:val="32"/>
          <w:szCs w:val="32"/>
          <w:u w:val="none"/>
          <w:lang w:eastAsia="zh-CN"/>
        </w:rPr>
        <w:t>：本年本着厉行节约的原则，继续压减公务用车和公务接待支出，</w:t>
      </w:r>
      <w:r>
        <w:rPr>
          <w:rFonts w:hint="eastAsia" w:ascii="仿宋_GB2312" w:hAnsi="仿宋_GB2312" w:eastAsia="仿宋_GB2312" w:cs="仿宋_GB2312"/>
          <w:color w:val="auto"/>
          <w:kern w:val="0"/>
          <w:sz w:val="32"/>
          <w:szCs w:val="32"/>
          <w:u w:val="none"/>
        </w:rPr>
        <w:t>“三公”</w:t>
      </w:r>
      <w:r>
        <w:rPr>
          <w:rFonts w:hint="eastAsia" w:ascii="仿宋_GB2312" w:hAnsi="仿宋_GB2312" w:eastAsia="仿宋_GB2312" w:cs="仿宋_GB2312"/>
          <w:color w:val="auto"/>
          <w:kern w:val="0"/>
          <w:sz w:val="32"/>
          <w:szCs w:val="32"/>
          <w:u w:val="none"/>
          <w:lang w:eastAsia="zh-CN"/>
        </w:rPr>
        <w:t>经费不超预算支出，不超上年支出。</w:t>
      </w:r>
      <w:r>
        <w:rPr>
          <w:rFonts w:hint="eastAsia" w:ascii="仿宋_GB2312" w:hAnsi="仿宋_GB2312" w:eastAsia="仿宋_GB2312" w:cs="仿宋_GB2312"/>
          <w:color w:val="auto"/>
          <w:kern w:val="0"/>
          <w:sz w:val="32"/>
          <w:szCs w:val="32"/>
          <w:u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textAlignment w:val="auto"/>
        <w:rPr>
          <w:rFonts w:hint="eastAsia" w:ascii="楷体" w:hAnsi="楷体" w:eastAsia="楷体" w:cs="楷体"/>
          <w:b w:val="0"/>
          <w:bCs w:val="0"/>
          <w:color w:val="auto"/>
          <w:kern w:val="0"/>
          <w:sz w:val="32"/>
          <w:szCs w:val="32"/>
        </w:rPr>
      </w:pPr>
      <w:r>
        <w:rPr>
          <w:rFonts w:hint="eastAsia" w:ascii="楷体" w:hAnsi="楷体" w:eastAsia="楷体" w:cs="楷体"/>
          <w:b w:val="0"/>
          <w:bCs w:val="0"/>
          <w:color w:val="auto"/>
          <w:kern w:val="0"/>
          <w:sz w:val="32"/>
          <w:szCs w:val="32"/>
        </w:rPr>
        <w:t>（二）财政拨款“三公”经费支出具体情况说明。</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赤峰市司法局（部门） 202</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 xml:space="preserve">年度财政拨款“三公”经费支出 </w:t>
      </w:r>
      <w:r>
        <w:rPr>
          <w:rFonts w:hint="eastAsia" w:ascii="仿宋_GB2312" w:hAnsi="仿宋_GB2312" w:eastAsia="仿宋_GB2312" w:cs="仿宋_GB2312"/>
          <w:color w:val="auto"/>
          <w:kern w:val="0"/>
          <w:sz w:val="32"/>
          <w:szCs w:val="32"/>
          <w:lang w:val="en-US" w:eastAsia="zh-CN"/>
        </w:rPr>
        <w:t>25.18</w:t>
      </w:r>
      <w:r>
        <w:rPr>
          <w:rFonts w:hint="eastAsia" w:ascii="仿宋_GB2312" w:hAnsi="仿宋_GB2312" w:eastAsia="仿宋_GB2312" w:cs="仿宋_GB2312"/>
          <w:color w:val="auto"/>
          <w:kern w:val="0"/>
          <w:sz w:val="32"/>
          <w:szCs w:val="32"/>
        </w:rPr>
        <w:t>万元。因公出国（境）费支出 0.00万元，占 0.00%；公务用车购置及运行维护费支出</w:t>
      </w:r>
      <w:r>
        <w:rPr>
          <w:rFonts w:hint="eastAsia" w:ascii="仿宋_GB2312" w:hAnsi="仿宋_GB2312" w:eastAsia="仿宋_GB2312" w:cs="仿宋_GB2312"/>
          <w:color w:val="auto"/>
          <w:kern w:val="0"/>
          <w:sz w:val="32"/>
          <w:szCs w:val="32"/>
          <w:lang w:val="en-US" w:eastAsia="zh-CN"/>
        </w:rPr>
        <w:t>23.95</w:t>
      </w:r>
      <w:r>
        <w:rPr>
          <w:rFonts w:hint="eastAsia" w:ascii="仿宋_GB2312" w:hAnsi="仿宋_GB2312" w:eastAsia="仿宋_GB2312" w:cs="仿宋_GB2312"/>
          <w:color w:val="auto"/>
          <w:kern w:val="0"/>
          <w:sz w:val="32"/>
          <w:szCs w:val="32"/>
        </w:rPr>
        <w:t>万元，占 95.</w:t>
      </w:r>
      <w:r>
        <w:rPr>
          <w:rFonts w:hint="eastAsia" w:ascii="仿宋_GB2312" w:hAnsi="仿宋_GB2312" w:eastAsia="仿宋_GB2312" w:cs="仿宋_GB2312"/>
          <w:color w:val="auto"/>
          <w:kern w:val="0"/>
          <w:sz w:val="32"/>
          <w:szCs w:val="32"/>
          <w:lang w:val="en-US" w:eastAsia="zh-CN"/>
        </w:rPr>
        <w:t>12</w:t>
      </w:r>
      <w:r>
        <w:rPr>
          <w:rFonts w:hint="eastAsia" w:ascii="仿宋_GB2312" w:hAnsi="仿宋_GB2312" w:eastAsia="仿宋_GB2312" w:cs="仿宋_GB2312"/>
          <w:color w:val="auto"/>
          <w:kern w:val="0"/>
          <w:sz w:val="32"/>
          <w:szCs w:val="32"/>
        </w:rPr>
        <w:t>%；公务接待费支出 1.</w:t>
      </w:r>
      <w:r>
        <w:rPr>
          <w:rFonts w:hint="eastAsia" w:ascii="仿宋_GB2312" w:hAnsi="仿宋_GB2312" w:eastAsia="仿宋_GB2312" w:cs="仿宋_GB2312"/>
          <w:color w:val="auto"/>
          <w:kern w:val="0"/>
          <w:sz w:val="32"/>
          <w:szCs w:val="32"/>
          <w:lang w:val="en-US" w:eastAsia="zh-CN"/>
        </w:rPr>
        <w:t>23</w:t>
      </w:r>
      <w:r>
        <w:rPr>
          <w:rFonts w:hint="eastAsia" w:ascii="仿宋_GB2312" w:hAnsi="仿宋_GB2312" w:eastAsia="仿宋_GB2312" w:cs="仿宋_GB2312"/>
          <w:color w:val="auto"/>
          <w:kern w:val="0"/>
          <w:sz w:val="32"/>
          <w:szCs w:val="32"/>
        </w:rPr>
        <w:t>万元，占 4.</w:t>
      </w:r>
      <w:r>
        <w:rPr>
          <w:rFonts w:hint="eastAsia" w:ascii="仿宋_GB2312" w:hAnsi="仿宋_GB2312" w:eastAsia="仿宋_GB2312" w:cs="仿宋_GB2312"/>
          <w:color w:val="auto"/>
          <w:kern w:val="0"/>
          <w:sz w:val="32"/>
          <w:szCs w:val="32"/>
          <w:lang w:val="en-US" w:eastAsia="zh-CN"/>
        </w:rPr>
        <w:t>88</w:t>
      </w:r>
      <w:r>
        <w:rPr>
          <w:rFonts w:hint="eastAsia" w:ascii="仿宋_GB2312" w:hAnsi="仿宋_GB2312" w:eastAsia="仿宋_GB2312" w:cs="仿宋_GB2312"/>
          <w:color w:val="auto"/>
          <w:kern w:val="0"/>
          <w:sz w:val="32"/>
          <w:szCs w:val="32"/>
        </w:rPr>
        <w:t>%。其中：</w:t>
      </w:r>
    </w:p>
    <w:p>
      <w:pPr>
        <w:keepNext w:val="0"/>
        <w:keepLines w:val="0"/>
        <w:pageBreakBefore w:val="0"/>
        <w:widowControl/>
        <w:numPr>
          <w:ilvl w:val="0"/>
          <w:numId w:val="9"/>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因公出国（境）费支出 0.00万元，全年出国（境）团组0 个，累计0 人次。与上年决算相比，增加 0.00万元，增长</w:t>
      </w:r>
      <w:r>
        <w:rPr>
          <w:rFonts w:hint="eastAsia" w:ascii="仿宋_GB2312" w:hAnsi="仿宋_GB2312" w:eastAsia="仿宋_GB2312" w:cs="仿宋_GB2312"/>
          <w:color w:val="auto"/>
          <w:kern w:val="0"/>
          <w:sz w:val="32"/>
          <w:szCs w:val="32"/>
          <w:u w:val="none"/>
          <w:lang w:val="en-US" w:eastAsia="zh-CN"/>
        </w:rPr>
        <w:t>0</w:t>
      </w:r>
      <w:r>
        <w:rPr>
          <w:rFonts w:hint="eastAsia" w:ascii="仿宋_GB2312" w:hAnsi="仿宋_GB2312" w:eastAsia="仿宋_GB2312" w:cs="仿宋_GB2312"/>
          <w:color w:val="auto"/>
          <w:kern w:val="0"/>
          <w:sz w:val="32"/>
          <w:szCs w:val="32"/>
          <w:u w:val="none"/>
        </w:rPr>
        <w:t>%</w:t>
      </w:r>
      <w:r>
        <w:rPr>
          <w:rFonts w:hint="eastAsia" w:ascii="仿宋_GB2312" w:hAnsi="仿宋_GB2312" w:eastAsia="仿宋_GB2312" w:cs="仿宋_GB2312"/>
          <w:color w:val="auto"/>
          <w:kern w:val="0"/>
          <w:sz w:val="32"/>
          <w:szCs w:val="32"/>
          <w:u w:val="none"/>
          <w:lang w:eastAsia="zh-CN"/>
        </w:rPr>
        <w:t>。与上年决算持平</w:t>
      </w:r>
      <w:r>
        <w:rPr>
          <w:rFonts w:hint="eastAsia" w:ascii="仿宋_GB2312" w:hAnsi="仿宋_GB2312" w:eastAsia="仿宋_GB2312" w:cs="仿宋_GB2312"/>
          <w:color w:val="auto"/>
          <w:kern w:val="0"/>
          <w:sz w:val="32"/>
          <w:szCs w:val="32"/>
          <w:u w:val="none"/>
        </w:rPr>
        <w:t>。</w:t>
      </w:r>
    </w:p>
    <w:p>
      <w:pPr>
        <w:keepNext w:val="0"/>
        <w:keepLines w:val="0"/>
        <w:pageBreakBefore w:val="0"/>
        <w:widowControl/>
        <w:numPr>
          <w:ilvl w:val="0"/>
          <w:numId w:val="9"/>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 xml:space="preserve">公务用车购置及运行维护费支出 </w:t>
      </w:r>
      <w:r>
        <w:rPr>
          <w:rFonts w:hint="eastAsia" w:ascii="仿宋_GB2312" w:hAnsi="仿宋_GB2312" w:eastAsia="仿宋_GB2312" w:cs="仿宋_GB2312"/>
          <w:color w:val="auto"/>
          <w:kern w:val="0"/>
          <w:sz w:val="32"/>
          <w:szCs w:val="32"/>
          <w:u w:val="none"/>
          <w:lang w:val="en-US" w:eastAsia="zh-CN"/>
        </w:rPr>
        <w:t>25.18</w:t>
      </w:r>
      <w:r>
        <w:rPr>
          <w:rFonts w:hint="eastAsia" w:ascii="仿宋_GB2312" w:hAnsi="仿宋_GB2312" w:eastAsia="仿宋_GB2312" w:cs="仿宋_GB2312"/>
          <w:color w:val="auto"/>
          <w:kern w:val="0"/>
          <w:sz w:val="32"/>
          <w:szCs w:val="32"/>
          <w:u w:val="none"/>
        </w:rPr>
        <w:t>万元。其中：</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（1）公务用车购置支出 0.00万元。本年度使用财政拨款购置公务用车0 辆。与上年决算相比，增加0.00万元，增长</w:t>
      </w:r>
      <w:r>
        <w:rPr>
          <w:rFonts w:hint="eastAsia" w:ascii="仿宋_GB2312" w:hAnsi="仿宋_GB2312" w:eastAsia="仿宋_GB2312" w:cs="仿宋_GB2312"/>
          <w:color w:val="auto"/>
          <w:kern w:val="0"/>
          <w:sz w:val="32"/>
          <w:szCs w:val="32"/>
          <w:u w:val="none"/>
          <w:lang w:val="en-US" w:eastAsia="zh-CN"/>
        </w:rPr>
        <w:t>0</w:t>
      </w:r>
      <w:r>
        <w:rPr>
          <w:rFonts w:hint="eastAsia" w:ascii="仿宋_GB2312" w:hAnsi="仿宋_GB2312" w:eastAsia="仿宋_GB2312" w:cs="仿宋_GB2312"/>
          <w:color w:val="auto"/>
          <w:kern w:val="0"/>
          <w:sz w:val="32"/>
          <w:szCs w:val="32"/>
          <w:u w:val="none"/>
        </w:rPr>
        <w:t>%。</w:t>
      </w:r>
      <w:r>
        <w:rPr>
          <w:rFonts w:hint="eastAsia" w:ascii="仿宋_GB2312" w:hAnsi="仿宋_GB2312" w:eastAsia="仿宋_GB2312" w:cs="仿宋_GB2312"/>
          <w:color w:val="auto"/>
          <w:kern w:val="0"/>
          <w:sz w:val="32"/>
          <w:szCs w:val="32"/>
          <w:u w:val="none"/>
          <w:lang w:eastAsia="zh-CN"/>
        </w:rPr>
        <w:t>与上年决算持平</w:t>
      </w:r>
      <w:r>
        <w:rPr>
          <w:rFonts w:hint="eastAsia" w:ascii="仿宋_GB2312" w:hAnsi="仿宋_GB2312" w:eastAsia="仿宋_GB2312" w:cs="仿宋_GB2312"/>
          <w:color w:val="auto"/>
          <w:kern w:val="0"/>
          <w:sz w:val="32"/>
          <w:szCs w:val="32"/>
          <w:u w:val="none"/>
        </w:rPr>
        <w:t>。</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 xml:space="preserve">（2）公务用车运行维护费支出 </w:t>
      </w:r>
      <w:r>
        <w:rPr>
          <w:rFonts w:hint="eastAsia" w:ascii="仿宋_GB2312" w:hAnsi="仿宋_GB2312" w:eastAsia="仿宋_GB2312" w:cs="仿宋_GB2312"/>
          <w:color w:val="auto"/>
          <w:kern w:val="0"/>
          <w:sz w:val="32"/>
          <w:szCs w:val="32"/>
          <w:u w:val="none"/>
          <w:lang w:val="en-US" w:eastAsia="zh-CN"/>
        </w:rPr>
        <w:t>25.18</w:t>
      </w:r>
      <w:r>
        <w:rPr>
          <w:rFonts w:hint="eastAsia" w:ascii="仿宋_GB2312" w:hAnsi="仿宋_GB2312" w:eastAsia="仿宋_GB2312" w:cs="仿宋_GB2312"/>
          <w:color w:val="auto"/>
          <w:kern w:val="0"/>
          <w:sz w:val="32"/>
          <w:szCs w:val="32"/>
          <w:u w:val="none"/>
        </w:rPr>
        <w:t>万元。公务用车运行维护费主要用于按规定保留的公务用车的燃料费、维修费、过桥过路费、保险费、安全奖励费用等支出。截至202</w:t>
      </w:r>
      <w:r>
        <w:rPr>
          <w:rFonts w:hint="eastAsia" w:ascii="仿宋_GB2312" w:hAnsi="仿宋_GB2312" w:eastAsia="仿宋_GB2312" w:cs="仿宋_GB2312"/>
          <w:color w:val="auto"/>
          <w:kern w:val="0"/>
          <w:sz w:val="32"/>
          <w:szCs w:val="32"/>
          <w:u w:val="none"/>
          <w:lang w:val="en-US" w:eastAsia="zh-CN"/>
        </w:rPr>
        <w:t>4</w:t>
      </w:r>
      <w:r>
        <w:rPr>
          <w:rFonts w:hint="eastAsia" w:ascii="仿宋_GB2312" w:hAnsi="仿宋_GB2312" w:eastAsia="仿宋_GB2312" w:cs="仿宋_GB2312"/>
          <w:color w:val="auto"/>
          <w:kern w:val="0"/>
          <w:sz w:val="32"/>
          <w:szCs w:val="32"/>
          <w:u w:val="none"/>
        </w:rPr>
        <w:t xml:space="preserve">年12月31日，使用财政拨款开支的公务用车保有量为13 辆。与上年决算相比，增加 </w:t>
      </w:r>
      <w:r>
        <w:rPr>
          <w:rFonts w:hint="eastAsia" w:ascii="仿宋_GB2312" w:hAnsi="仿宋_GB2312" w:eastAsia="仿宋_GB2312" w:cs="仿宋_GB2312"/>
          <w:color w:val="auto"/>
          <w:kern w:val="0"/>
          <w:sz w:val="32"/>
          <w:szCs w:val="32"/>
          <w:u w:val="none"/>
          <w:lang w:val="en-US" w:eastAsia="zh-CN"/>
        </w:rPr>
        <w:t>1.3</w:t>
      </w:r>
      <w:r>
        <w:rPr>
          <w:rFonts w:hint="eastAsia" w:ascii="仿宋_GB2312" w:hAnsi="仿宋_GB2312" w:eastAsia="仿宋_GB2312" w:cs="仿宋_GB2312"/>
          <w:color w:val="auto"/>
          <w:kern w:val="0"/>
          <w:sz w:val="32"/>
          <w:szCs w:val="32"/>
          <w:u w:val="none"/>
        </w:rPr>
        <w:t>万元，增长</w:t>
      </w:r>
      <w:r>
        <w:rPr>
          <w:rFonts w:hint="eastAsia" w:ascii="仿宋_GB2312" w:hAnsi="仿宋_GB2312" w:eastAsia="仿宋_GB2312" w:cs="仿宋_GB2312"/>
          <w:color w:val="auto"/>
          <w:kern w:val="0"/>
          <w:sz w:val="32"/>
          <w:szCs w:val="32"/>
          <w:u w:val="none"/>
          <w:lang w:val="en-US" w:eastAsia="zh-CN"/>
        </w:rPr>
        <w:t>5.44</w:t>
      </w:r>
      <w:r>
        <w:rPr>
          <w:rFonts w:hint="eastAsia" w:ascii="仿宋_GB2312" w:hAnsi="仿宋_GB2312" w:eastAsia="仿宋_GB2312" w:cs="仿宋_GB2312"/>
          <w:color w:val="auto"/>
          <w:kern w:val="0"/>
          <w:sz w:val="32"/>
          <w:szCs w:val="32"/>
          <w:u w:val="none"/>
        </w:rPr>
        <w:t>%，变动原因：</w:t>
      </w:r>
      <w:r>
        <w:rPr>
          <w:rFonts w:hint="eastAsia" w:ascii="仿宋_GB2312" w:hAnsi="仿宋_GB2312" w:eastAsia="仿宋_GB2312" w:cs="仿宋_GB2312"/>
          <w:color w:val="auto"/>
          <w:kern w:val="0"/>
          <w:sz w:val="32"/>
          <w:szCs w:val="32"/>
          <w:u w:val="none"/>
          <w:lang w:val="en-US" w:eastAsia="zh-CN"/>
        </w:rPr>
        <w:t>主要为</w:t>
      </w:r>
      <w:r>
        <w:rPr>
          <w:rFonts w:hint="eastAsia" w:ascii="仿宋_GB2312" w:hAnsi="仿宋_GB2312" w:eastAsia="仿宋_GB2312" w:cs="仿宋_GB2312"/>
          <w:color w:val="auto"/>
          <w:kern w:val="0"/>
          <w:sz w:val="32"/>
          <w:szCs w:val="32"/>
          <w:u w:val="none"/>
          <w:lang w:eastAsia="zh-CN"/>
        </w:rPr>
        <w:t>本年</w:t>
      </w:r>
      <w:r>
        <w:rPr>
          <w:rFonts w:hint="eastAsia" w:ascii="仿宋_GB2312" w:hAnsi="仿宋_GB2312" w:eastAsia="仿宋_GB2312" w:cs="仿宋_GB2312"/>
          <w:color w:val="auto"/>
          <w:kern w:val="0"/>
          <w:sz w:val="32"/>
          <w:szCs w:val="32"/>
          <w:u w:val="none"/>
          <w:lang w:val="en-US" w:eastAsia="zh-CN"/>
        </w:rPr>
        <w:t>赤峰市强制隔离戒毒所</w:t>
      </w:r>
      <w:r>
        <w:rPr>
          <w:rFonts w:hint="eastAsia" w:ascii="仿宋_GB2312" w:hAnsi="仿宋_GB2312" w:eastAsia="仿宋_GB2312" w:cs="仿宋_GB2312"/>
          <w:color w:val="auto"/>
          <w:kern w:val="0"/>
          <w:sz w:val="32"/>
          <w:szCs w:val="32"/>
          <w:u w:val="none"/>
          <w:lang w:eastAsia="zh-CN"/>
        </w:rPr>
        <w:t>由于公务用车年久失修增加了车辆维修费</w:t>
      </w:r>
      <w:r>
        <w:rPr>
          <w:rFonts w:hint="eastAsia" w:ascii="仿宋_GB2312" w:hAnsi="仿宋_GB2312" w:eastAsia="仿宋_GB2312" w:cs="仿宋_GB2312"/>
          <w:color w:val="auto"/>
          <w:kern w:val="0"/>
          <w:sz w:val="32"/>
          <w:szCs w:val="32"/>
          <w:u w:val="none"/>
        </w:rPr>
        <w:t>。</w:t>
      </w:r>
    </w:p>
    <w:p>
      <w:pPr>
        <w:keepNext w:val="0"/>
        <w:keepLines w:val="0"/>
        <w:pageBreakBefore w:val="0"/>
        <w:widowControl/>
        <w:numPr>
          <w:ilvl w:val="0"/>
          <w:numId w:val="9"/>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公务接待费支出 1.</w:t>
      </w:r>
      <w:r>
        <w:rPr>
          <w:rFonts w:hint="eastAsia" w:ascii="仿宋_GB2312" w:hAnsi="仿宋_GB2312" w:eastAsia="仿宋_GB2312" w:cs="仿宋_GB2312"/>
          <w:color w:val="auto"/>
          <w:kern w:val="0"/>
          <w:sz w:val="32"/>
          <w:szCs w:val="32"/>
          <w:u w:val="none"/>
          <w:lang w:val="en-US" w:eastAsia="zh-CN"/>
        </w:rPr>
        <w:t>23</w:t>
      </w:r>
      <w:r>
        <w:rPr>
          <w:rFonts w:hint="eastAsia" w:ascii="仿宋_GB2312" w:hAnsi="仿宋_GB2312" w:eastAsia="仿宋_GB2312" w:cs="仿宋_GB2312"/>
          <w:color w:val="auto"/>
          <w:kern w:val="0"/>
          <w:sz w:val="32"/>
          <w:szCs w:val="32"/>
          <w:u w:val="none"/>
        </w:rPr>
        <w:t>万元。其中：国内公务接待支出 1.</w:t>
      </w:r>
      <w:r>
        <w:rPr>
          <w:rFonts w:hint="eastAsia" w:ascii="仿宋_GB2312" w:hAnsi="仿宋_GB2312" w:eastAsia="仿宋_GB2312" w:cs="仿宋_GB2312"/>
          <w:color w:val="auto"/>
          <w:kern w:val="0"/>
          <w:sz w:val="32"/>
          <w:szCs w:val="32"/>
          <w:u w:val="none"/>
          <w:lang w:val="en-US" w:eastAsia="zh-CN"/>
        </w:rPr>
        <w:t>23</w:t>
      </w:r>
      <w:r>
        <w:rPr>
          <w:rFonts w:hint="eastAsia" w:ascii="仿宋_GB2312" w:hAnsi="仿宋_GB2312" w:eastAsia="仿宋_GB2312" w:cs="仿宋_GB2312"/>
          <w:color w:val="auto"/>
          <w:kern w:val="0"/>
          <w:sz w:val="32"/>
          <w:szCs w:val="32"/>
          <w:u w:val="none"/>
        </w:rPr>
        <w:t>万元，接待1</w:t>
      </w:r>
      <w:r>
        <w:rPr>
          <w:rFonts w:hint="eastAsia" w:ascii="仿宋_GB2312" w:hAnsi="仿宋_GB2312" w:eastAsia="仿宋_GB2312" w:cs="仿宋_GB2312"/>
          <w:color w:val="auto"/>
          <w:kern w:val="0"/>
          <w:sz w:val="32"/>
          <w:szCs w:val="32"/>
          <w:u w:val="none"/>
          <w:lang w:val="en-US" w:eastAsia="zh-CN"/>
        </w:rPr>
        <w:t>2</w:t>
      </w:r>
      <w:r>
        <w:rPr>
          <w:rFonts w:hint="eastAsia" w:ascii="仿宋_GB2312" w:hAnsi="仿宋_GB2312" w:eastAsia="仿宋_GB2312" w:cs="仿宋_GB2312"/>
          <w:color w:val="auto"/>
          <w:kern w:val="0"/>
          <w:sz w:val="32"/>
          <w:szCs w:val="32"/>
          <w:u w:val="none"/>
        </w:rPr>
        <w:t>批次，</w:t>
      </w:r>
      <w:r>
        <w:rPr>
          <w:rFonts w:hint="eastAsia" w:ascii="仿宋_GB2312" w:hAnsi="仿宋_GB2312" w:eastAsia="仿宋_GB2312" w:cs="仿宋_GB2312"/>
          <w:color w:val="auto"/>
          <w:kern w:val="0"/>
          <w:sz w:val="32"/>
          <w:szCs w:val="32"/>
          <w:u w:val="none"/>
          <w:lang w:val="en-US" w:eastAsia="zh-CN"/>
        </w:rPr>
        <w:t>115</w:t>
      </w:r>
      <w:r>
        <w:rPr>
          <w:rFonts w:hint="eastAsia" w:ascii="仿宋_GB2312" w:hAnsi="仿宋_GB2312" w:eastAsia="仿宋_GB2312" w:cs="仿宋_GB2312"/>
          <w:color w:val="auto"/>
          <w:kern w:val="0"/>
          <w:sz w:val="32"/>
          <w:szCs w:val="32"/>
          <w:u w:val="none"/>
        </w:rPr>
        <w:t>人次，</w:t>
      </w:r>
      <w:r>
        <w:rPr>
          <w:rFonts w:hint="eastAsia" w:ascii="仿宋_GB2312" w:hAnsi="仿宋_GB2312" w:eastAsia="仿宋_GB2312" w:cs="仿宋_GB2312"/>
          <w:color w:val="auto"/>
          <w:kern w:val="0"/>
          <w:sz w:val="32"/>
          <w:szCs w:val="32"/>
          <w:highlight w:val="none"/>
          <w:u w:val="none"/>
        </w:rPr>
        <w:t>开支内容：</w:t>
      </w:r>
      <w:r>
        <w:rPr>
          <w:rFonts w:hint="eastAsia" w:ascii="仿宋_GB2312" w:hAnsi="仿宋_GB2312" w:eastAsia="仿宋_GB2312" w:cs="仿宋_GB2312"/>
          <w:color w:val="auto"/>
          <w:kern w:val="0"/>
          <w:sz w:val="32"/>
          <w:szCs w:val="32"/>
          <w:highlight w:val="none"/>
          <w:u w:val="none"/>
          <w:lang w:eastAsia="zh-CN"/>
        </w:rPr>
        <w:t>赤峰市司法局（本级）接待外地司法局来我市考察学习、社区矫正工作调研及评查、行政复议办案、法治建设实地督查等，</w:t>
      </w:r>
      <w:r>
        <w:rPr>
          <w:rFonts w:hint="eastAsia" w:ascii="仿宋_GB2312" w:hAnsi="仿宋_GB2312" w:eastAsia="仿宋_GB2312" w:cs="仿宋_GB2312"/>
          <w:color w:val="auto"/>
          <w:kern w:val="0"/>
          <w:sz w:val="32"/>
          <w:szCs w:val="32"/>
          <w:highlight w:val="none"/>
          <w:u w:val="none"/>
          <w:lang w:val="en-US" w:eastAsia="zh-CN"/>
        </w:rPr>
        <w:t>赤峰市强制隔离戒毒所接待</w:t>
      </w:r>
      <w:r>
        <w:rPr>
          <w:rFonts w:hint="eastAsia" w:ascii="仿宋_GB2312" w:hAnsi="仿宋_GB2312" w:eastAsia="仿宋_GB2312" w:cs="仿宋_GB2312"/>
          <w:color w:val="auto"/>
          <w:kern w:val="0"/>
          <w:sz w:val="32"/>
          <w:szCs w:val="32"/>
          <w:highlight w:val="none"/>
          <w:u w:val="none"/>
          <w:lang w:eastAsia="zh-CN"/>
        </w:rPr>
        <w:t>赴所调研学习人员</w:t>
      </w: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u w:val="none"/>
        </w:rPr>
        <w:t>国（境）外公务接待支出 0.00万元，接待0 批次，0 人次。与上年决算相比，</w:t>
      </w:r>
      <w:r>
        <w:rPr>
          <w:rFonts w:hint="eastAsia" w:ascii="仿宋_GB2312" w:hAnsi="仿宋_GB2312" w:eastAsia="仿宋_GB2312" w:cs="仿宋_GB2312"/>
          <w:color w:val="auto"/>
          <w:kern w:val="0"/>
          <w:sz w:val="32"/>
          <w:szCs w:val="32"/>
          <w:u w:val="none"/>
          <w:lang w:eastAsia="zh-CN"/>
        </w:rPr>
        <w:t>增加</w:t>
      </w:r>
      <w:r>
        <w:rPr>
          <w:rFonts w:hint="eastAsia" w:ascii="仿宋_GB2312" w:hAnsi="仿宋_GB2312" w:eastAsia="仿宋_GB2312" w:cs="仿宋_GB2312"/>
          <w:color w:val="auto"/>
          <w:kern w:val="0"/>
          <w:sz w:val="32"/>
          <w:szCs w:val="32"/>
          <w:u w:val="none"/>
          <w:lang w:val="en-US" w:eastAsia="zh-CN"/>
        </w:rPr>
        <w:t>0.15</w:t>
      </w:r>
      <w:r>
        <w:rPr>
          <w:rFonts w:hint="eastAsia" w:ascii="仿宋_GB2312" w:hAnsi="仿宋_GB2312" w:eastAsia="仿宋_GB2312" w:cs="仿宋_GB2312"/>
          <w:color w:val="auto"/>
          <w:kern w:val="0"/>
          <w:sz w:val="32"/>
          <w:szCs w:val="32"/>
          <w:u w:val="none"/>
        </w:rPr>
        <w:t>万元，</w:t>
      </w:r>
      <w:r>
        <w:rPr>
          <w:rFonts w:hint="eastAsia" w:ascii="仿宋_GB2312" w:hAnsi="仿宋_GB2312" w:eastAsia="仿宋_GB2312" w:cs="仿宋_GB2312"/>
          <w:color w:val="auto"/>
          <w:kern w:val="0"/>
          <w:sz w:val="32"/>
          <w:szCs w:val="32"/>
          <w:u w:val="none"/>
          <w:lang w:eastAsia="zh-CN"/>
        </w:rPr>
        <w:t>增加</w:t>
      </w:r>
      <w:r>
        <w:rPr>
          <w:rFonts w:hint="eastAsia" w:ascii="仿宋_GB2312" w:hAnsi="仿宋_GB2312" w:eastAsia="仿宋_GB2312" w:cs="仿宋_GB2312"/>
          <w:color w:val="auto"/>
          <w:kern w:val="0"/>
          <w:sz w:val="32"/>
          <w:szCs w:val="32"/>
          <w:u w:val="none"/>
          <w:lang w:val="en-US" w:eastAsia="zh-CN"/>
        </w:rPr>
        <w:t>14.02</w:t>
      </w:r>
      <w:r>
        <w:rPr>
          <w:rFonts w:hint="eastAsia" w:ascii="仿宋_GB2312" w:hAnsi="仿宋_GB2312" w:eastAsia="仿宋_GB2312" w:cs="仿宋_GB2312"/>
          <w:color w:val="auto"/>
          <w:kern w:val="0"/>
          <w:sz w:val="32"/>
          <w:szCs w:val="32"/>
          <w:u w:val="none"/>
        </w:rPr>
        <w:t>%，变动原因：</w:t>
      </w:r>
      <w:r>
        <w:rPr>
          <w:rFonts w:hint="eastAsia" w:ascii="仿宋_GB2312" w:hAnsi="仿宋_GB2312" w:eastAsia="仿宋_GB2312" w:cs="仿宋_GB2312"/>
          <w:color w:val="auto"/>
          <w:sz w:val="32"/>
          <w:szCs w:val="32"/>
        </w:rPr>
        <w:t>本年度</w:t>
      </w:r>
      <w:r>
        <w:rPr>
          <w:rFonts w:hint="eastAsia" w:ascii="仿宋_GB2312" w:hAnsi="仿宋_GB2312" w:eastAsia="仿宋_GB2312" w:cs="仿宋_GB2312"/>
          <w:color w:val="auto"/>
          <w:sz w:val="32"/>
          <w:szCs w:val="32"/>
          <w:lang w:eastAsia="zh-CN"/>
        </w:rPr>
        <w:t>赴赤峰市强制隔离戒毒所</w:t>
      </w:r>
      <w:r>
        <w:rPr>
          <w:rFonts w:hint="eastAsia" w:ascii="仿宋_GB2312" w:hAnsi="仿宋_GB2312" w:eastAsia="仿宋_GB2312" w:cs="仿宋_GB2312"/>
          <w:color w:val="auto"/>
          <w:sz w:val="32"/>
          <w:szCs w:val="32"/>
        </w:rPr>
        <w:t>调研学习人数较多</w:t>
      </w:r>
      <w:r>
        <w:rPr>
          <w:rFonts w:hint="eastAsia" w:ascii="仿宋_GB2312" w:hAnsi="仿宋_GB2312" w:eastAsia="仿宋_GB2312" w:cs="仿宋_GB2312"/>
          <w:color w:val="auto"/>
          <w:kern w:val="0"/>
          <w:sz w:val="32"/>
          <w:szCs w:val="32"/>
          <w:u w:val="none"/>
        </w:rPr>
        <w:t>。</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九、政府性基金预算财政拨款支出决算情况说明</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赤峰市司法局（部门） 202</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年度政府性基金预算财政拨款支出决算 0.00万元。与上年决算相比，增加0.00万元，增长</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%，变动原因</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本</w:t>
      </w:r>
      <w:r>
        <w:rPr>
          <w:rFonts w:hint="eastAsia" w:ascii="仿宋_GB2312" w:hAnsi="仿宋_GB2312" w:eastAsia="仿宋_GB2312" w:cs="仿宋_GB2312"/>
          <w:color w:val="auto"/>
          <w:kern w:val="0"/>
          <w:sz w:val="32"/>
          <w:szCs w:val="32"/>
          <w:lang w:eastAsia="zh-CN"/>
        </w:rPr>
        <w:t>部门</w:t>
      </w:r>
      <w:r>
        <w:rPr>
          <w:rFonts w:hint="eastAsia" w:ascii="仿宋_GB2312" w:hAnsi="仿宋_GB2312" w:eastAsia="仿宋_GB2312" w:cs="仿宋_GB2312"/>
          <w:color w:val="auto"/>
          <w:kern w:val="0"/>
          <w:sz w:val="32"/>
          <w:szCs w:val="32"/>
        </w:rPr>
        <w:t>无政府性基金预算财政拨款</w:t>
      </w:r>
      <w:r>
        <w:rPr>
          <w:rFonts w:hint="eastAsia" w:ascii="仿宋_GB2312" w:hAnsi="仿宋_GB2312" w:eastAsia="仿宋_GB2312" w:cs="仿宋_GB2312"/>
          <w:color w:val="auto"/>
          <w:kern w:val="0"/>
          <w:sz w:val="32"/>
          <w:szCs w:val="32"/>
          <w:lang w:eastAsia="zh-CN"/>
        </w:rPr>
        <w:t>收、支、余</w:t>
      </w:r>
      <w:r>
        <w:rPr>
          <w:rFonts w:hint="eastAsia" w:ascii="仿宋_GB2312" w:hAnsi="仿宋_GB2312" w:eastAsia="仿宋_GB2312" w:cs="仿宋_GB2312"/>
          <w:color w:val="auto"/>
          <w:kern w:val="0"/>
          <w:sz w:val="32"/>
          <w:szCs w:val="32"/>
        </w:rPr>
        <w:t>。</w:t>
      </w:r>
    </w:p>
    <w:p>
      <w:pPr>
        <w:keepNext w:val="0"/>
        <w:keepLines w:val="0"/>
        <w:pageBreakBefore w:val="0"/>
        <w:widowControl/>
        <w:kinsoku/>
        <w:wordWrap/>
        <w:overflowPunct/>
        <w:topLinePunct w:val="0"/>
        <w:autoSpaceDE/>
        <w:autoSpaceDN/>
        <w:bidi w:val="0"/>
        <w:adjustRightInd/>
        <w:snapToGrid/>
        <w:spacing w:line="580" w:lineRule="exact"/>
        <w:ind w:left="0" w:leftChars="0"/>
        <w:jc w:val="left"/>
        <w:textAlignment w:val="auto"/>
        <w:rPr>
          <w:rFonts w:hint="eastAsia" w:ascii="黑体" w:hAnsi="黑体" w:eastAsia="黑体" w:cs="黑体"/>
          <w:b w:val="0"/>
          <w:bCs w:val="0"/>
          <w:color w:val="auto"/>
          <w:kern w:val="0"/>
          <w:sz w:val="32"/>
          <w:szCs w:val="32"/>
        </w:rPr>
      </w:pPr>
      <w:r>
        <w:rPr>
          <w:rFonts w:ascii="Calibri" w:hAnsi="Calibri" w:eastAsia="Calibri" w:cs="Calibri"/>
          <w:b/>
          <w:bCs/>
          <w:color w:val="auto"/>
          <w:kern w:val="0"/>
          <w:sz w:val="27"/>
          <w:szCs w:val="27"/>
        </w:rPr>
        <w:t> </w:t>
      </w:r>
      <w:r>
        <w:rPr>
          <w:rFonts w:hint="eastAsia" w:ascii="Calibri" w:hAnsi="Calibri" w:cs="Calibri"/>
          <w:b/>
          <w:bCs/>
          <w:color w:val="auto"/>
          <w:kern w:val="0"/>
          <w:sz w:val="27"/>
          <w:szCs w:val="27"/>
          <w:lang w:val="en-US" w:eastAsia="zh-CN"/>
        </w:rPr>
        <w:t xml:space="preserve">    </w:t>
      </w:r>
      <w:r>
        <w:rPr>
          <w:rFonts w:hint="eastAsia" w:ascii="黑体" w:hAnsi="黑体" w:eastAsia="黑体" w:cs="黑体"/>
          <w:b w:val="0"/>
          <w:bCs w:val="0"/>
          <w:color w:val="auto"/>
          <w:kern w:val="0"/>
          <w:sz w:val="32"/>
          <w:szCs w:val="32"/>
        </w:rPr>
        <w:t>十、国有资本经营预算财政拨款支出决算情况说明</w:t>
      </w:r>
    </w:p>
    <w:p>
      <w:pPr>
        <w:keepNext w:val="0"/>
        <w:keepLines w:val="0"/>
        <w:pageBreakBefore w:val="0"/>
        <w:widowControl/>
        <w:kinsoku/>
        <w:wordWrap/>
        <w:overflowPunct/>
        <w:topLinePunct w:val="0"/>
        <w:autoSpaceDE/>
        <w:autoSpaceDN/>
        <w:bidi w:val="0"/>
        <w:adjustRightInd/>
        <w:snapToGrid/>
        <w:spacing w:line="580" w:lineRule="exact"/>
        <w:ind w:left="0" w:leftChars="0"/>
        <w:textAlignment w:val="auto"/>
        <w:rPr>
          <w:rFonts w:hint="eastAsia" w:ascii="仿宋_GB2312" w:hAnsi="仿宋_GB2312" w:eastAsia="仿宋_GB2312" w:cs="仿宋_GB2312"/>
          <w:color w:val="auto"/>
          <w:kern w:val="0"/>
          <w:sz w:val="32"/>
          <w:szCs w:val="32"/>
        </w:rPr>
      </w:pPr>
      <w:r>
        <w:rPr>
          <w:rFonts w:ascii="fang_song_gb2312" w:hAnsi="fang_song_gb2312" w:eastAsia="fang_song_gb2312" w:cs="fang_song_gb2312"/>
          <w:color w:val="auto"/>
          <w:kern w:val="0"/>
          <w:sz w:val="27"/>
          <w:szCs w:val="27"/>
        </w:rPr>
        <w:t xml:space="preserve">    </w:t>
      </w:r>
      <w:r>
        <w:rPr>
          <w:rFonts w:hint="eastAsia" w:ascii="fang_song_gb2312" w:hAnsi="fang_song_gb2312" w:eastAsia="fang_song_gb2312" w:cs="fang_song_gb2312"/>
          <w:color w:val="auto"/>
          <w:kern w:val="0"/>
          <w:sz w:val="27"/>
          <w:szCs w:val="27"/>
          <w:lang w:val="en-US" w:eastAsia="zh-CN"/>
        </w:rPr>
        <w:t xml:space="preserve">  </w:t>
      </w:r>
      <w:r>
        <w:rPr>
          <w:rFonts w:hint="eastAsia" w:ascii="仿宋_GB2312" w:hAnsi="仿宋_GB2312" w:eastAsia="仿宋_GB2312" w:cs="仿宋_GB2312"/>
          <w:color w:val="auto"/>
          <w:kern w:val="0"/>
          <w:sz w:val="32"/>
          <w:szCs w:val="32"/>
        </w:rPr>
        <w:t>赤峰市司法局（部门） 202</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年度国有资本经营预算财政拨款支出决算 0.00万元。与上年决算相比，增加 0.00万元，增长</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%，变动原因：本部门无国有资本经营预算财政拨款收、支、余。</w:t>
      </w:r>
    </w:p>
    <w:p>
      <w:pPr>
        <w:keepNext w:val="0"/>
        <w:keepLines w:val="0"/>
        <w:pageBreakBefore w:val="0"/>
        <w:widowControl/>
        <w:kinsoku/>
        <w:wordWrap/>
        <w:overflowPunct/>
        <w:topLinePunct w:val="0"/>
        <w:autoSpaceDE/>
        <w:autoSpaceDN/>
        <w:bidi w:val="0"/>
        <w:adjustRightInd/>
        <w:snapToGrid/>
        <w:spacing w:line="580" w:lineRule="exact"/>
        <w:ind w:left="0" w:leftChars="0" w:firstLine="542" w:firstLineChars="200"/>
        <w:textAlignment w:val="auto"/>
        <w:rPr>
          <w:rFonts w:hint="eastAsia" w:ascii="黑体" w:hAnsi="黑体" w:eastAsia="黑体" w:cs="黑体"/>
          <w:b w:val="0"/>
          <w:bCs w:val="0"/>
          <w:color w:val="auto"/>
          <w:kern w:val="0"/>
          <w:sz w:val="32"/>
          <w:szCs w:val="32"/>
        </w:rPr>
      </w:pPr>
      <w:r>
        <w:rPr>
          <w:rFonts w:ascii="黑体" w:hAnsi="黑体" w:eastAsia="黑体" w:cs="黑体"/>
          <w:b/>
          <w:bCs/>
          <w:color w:val="auto"/>
          <w:kern w:val="0"/>
          <w:sz w:val="27"/>
          <w:szCs w:val="27"/>
        </w:rPr>
        <w:t xml:space="preserve"> </w:t>
      </w:r>
      <w:r>
        <w:rPr>
          <w:rFonts w:hint="eastAsia" w:ascii="黑体" w:hAnsi="黑体" w:eastAsia="黑体" w:cs="黑体"/>
          <w:b w:val="0"/>
          <w:bCs w:val="0"/>
          <w:color w:val="auto"/>
          <w:kern w:val="0"/>
          <w:sz w:val="32"/>
          <w:szCs w:val="32"/>
        </w:rPr>
        <w:t>十一、机构运行经费支出决算情况说明</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赤峰市司法局（部门） 202</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 xml:space="preserve">年度机构运行经费支出决算 </w:t>
      </w:r>
      <w:r>
        <w:rPr>
          <w:rFonts w:hint="eastAsia" w:ascii="仿宋_GB2312" w:hAnsi="仿宋_GB2312" w:eastAsia="仿宋_GB2312" w:cs="仿宋_GB2312"/>
          <w:color w:val="auto"/>
          <w:kern w:val="0"/>
          <w:sz w:val="32"/>
          <w:szCs w:val="32"/>
          <w:lang w:val="en-US" w:eastAsia="zh-CN"/>
        </w:rPr>
        <w:t>405.57</w:t>
      </w:r>
      <w:r>
        <w:rPr>
          <w:rFonts w:hint="eastAsia" w:ascii="仿宋_GB2312" w:hAnsi="仿宋_GB2312" w:eastAsia="仿宋_GB2312" w:cs="仿宋_GB2312"/>
          <w:color w:val="auto"/>
          <w:kern w:val="0"/>
          <w:sz w:val="32"/>
          <w:szCs w:val="32"/>
        </w:rPr>
        <w:t xml:space="preserve">万元。比上年决算相比，增加 </w:t>
      </w:r>
      <w:r>
        <w:rPr>
          <w:rFonts w:hint="eastAsia" w:ascii="仿宋_GB2312" w:hAnsi="仿宋_GB2312" w:eastAsia="仿宋_GB2312" w:cs="仿宋_GB2312"/>
          <w:color w:val="auto"/>
          <w:kern w:val="0"/>
          <w:sz w:val="32"/>
          <w:szCs w:val="32"/>
          <w:lang w:val="en-US" w:eastAsia="zh-CN"/>
        </w:rPr>
        <w:t>6.15</w:t>
      </w:r>
      <w:r>
        <w:rPr>
          <w:rFonts w:hint="eastAsia" w:ascii="仿宋_GB2312" w:hAnsi="仿宋_GB2312" w:eastAsia="仿宋_GB2312" w:cs="仿宋_GB2312"/>
          <w:color w:val="auto"/>
          <w:kern w:val="0"/>
          <w:sz w:val="32"/>
          <w:szCs w:val="32"/>
        </w:rPr>
        <w:t>万元，增长</w:t>
      </w:r>
      <w:r>
        <w:rPr>
          <w:rFonts w:hint="eastAsia" w:ascii="仿宋_GB2312" w:hAnsi="仿宋_GB2312" w:eastAsia="仿宋_GB2312" w:cs="仿宋_GB2312"/>
          <w:color w:val="auto"/>
          <w:kern w:val="0"/>
          <w:sz w:val="32"/>
          <w:szCs w:val="32"/>
          <w:lang w:val="en-US" w:eastAsia="zh-CN"/>
        </w:rPr>
        <w:t>1.54</w:t>
      </w:r>
      <w:r>
        <w:rPr>
          <w:rFonts w:hint="eastAsia" w:ascii="仿宋_GB2312" w:hAnsi="仿宋_GB2312" w:eastAsia="仿宋_GB2312" w:cs="仿宋_GB2312"/>
          <w:color w:val="auto"/>
          <w:kern w:val="0"/>
          <w:sz w:val="32"/>
          <w:szCs w:val="32"/>
        </w:rPr>
        <w:t>%，变动原因：</w:t>
      </w:r>
      <w:r>
        <w:rPr>
          <w:rFonts w:hint="eastAsia" w:ascii="仿宋_GB2312" w:hAnsi="仿宋_GB2312" w:eastAsia="仿宋_GB2312" w:cs="仿宋_GB2312"/>
          <w:color w:val="auto"/>
          <w:kern w:val="0"/>
          <w:sz w:val="32"/>
          <w:szCs w:val="32"/>
          <w:lang w:eastAsia="zh-CN"/>
        </w:rPr>
        <w:t>由于赤峰市强制隔离戒毒所暖气管道及所内设施年久失修本年度维修维护费较多，导致机构运行经费增加。</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十二、政府采购支出决算情况说明</w:t>
      </w:r>
    </w:p>
    <w:p>
      <w:pPr>
        <w:keepNext w:val="0"/>
        <w:keepLines w:val="0"/>
        <w:pageBreakBefore w:val="0"/>
        <w:widowControl/>
        <w:kinsoku/>
        <w:wordWrap/>
        <w:overflowPunct/>
        <w:topLinePunct w:val="0"/>
        <w:autoSpaceDE/>
        <w:autoSpaceDN/>
        <w:bidi w:val="0"/>
        <w:adjustRightInd/>
        <w:snapToGrid/>
        <w:spacing w:line="580" w:lineRule="exact"/>
        <w:ind w:left="0" w:leftChars="0"/>
        <w:textAlignment w:val="auto"/>
        <w:rPr>
          <w:rFonts w:hint="eastAsia" w:ascii="仿宋_GB2312" w:hAnsi="仿宋_GB2312" w:eastAsia="仿宋_GB2312" w:cs="仿宋_GB2312"/>
          <w:color w:val="auto"/>
          <w:kern w:val="0"/>
          <w:sz w:val="32"/>
          <w:szCs w:val="32"/>
          <w:u w:val="none"/>
        </w:rPr>
      </w:pPr>
      <w:r>
        <w:rPr>
          <w:rFonts w:ascii="fang_song_gb2312" w:hAnsi="fang_song_gb2312" w:eastAsia="fang_song_gb2312" w:cs="fang_song_gb2312"/>
          <w:color w:val="auto"/>
          <w:kern w:val="0"/>
          <w:sz w:val="27"/>
          <w:szCs w:val="27"/>
        </w:rPr>
        <w:t xml:space="preserve">    </w:t>
      </w:r>
      <w:r>
        <w:rPr>
          <w:rFonts w:hint="eastAsia" w:ascii="fang_song_gb2312" w:hAnsi="fang_song_gb2312" w:eastAsia="fang_song_gb2312" w:cs="fang_song_gb2312"/>
          <w:color w:val="auto"/>
          <w:kern w:val="0"/>
          <w:sz w:val="27"/>
          <w:szCs w:val="27"/>
          <w:lang w:val="en-US" w:eastAsia="zh-CN"/>
        </w:rPr>
        <w:t xml:space="preserve">  </w:t>
      </w:r>
      <w:r>
        <w:rPr>
          <w:rFonts w:hint="eastAsia" w:ascii="仿宋_GB2312" w:hAnsi="仿宋_GB2312" w:eastAsia="仿宋_GB2312" w:cs="仿宋_GB2312"/>
          <w:color w:val="auto"/>
          <w:kern w:val="0"/>
          <w:sz w:val="32"/>
          <w:szCs w:val="32"/>
          <w:u w:val="none"/>
        </w:rPr>
        <w:t>赤峰市司法局（部门） 202</w:t>
      </w:r>
      <w:r>
        <w:rPr>
          <w:rFonts w:hint="eastAsia" w:ascii="仿宋_GB2312" w:hAnsi="仿宋_GB2312" w:eastAsia="仿宋_GB2312" w:cs="仿宋_GB2312"/>
          <w:color w:val="auto"/>
          <w:kern w:val="0"/>
          <w:sz w:val="32"/>
          <w:szCs w:val="32"/>
          <w:u w:val="none"/>
          <w:lang w:val="en-US" w:eastAsia="zh-CN"/>
        </w:rPr>
        <w:t>4</w:t>
      </w:r>
      <w:r>
        <w:rPr>
          <w:rFonts w:hint="eastAsia" w:ascii="仿宋_GB2312" w:hAnsi="仿宋_GB2312" w:eastAsia="仿宋_GB2312" w:cs="仿宋_GB2312"/>
          <w:color w:val="auto"/>
          <w:kern w:val="0"/>
          <w:sz w:val="32"/>
          <w:szCs w:val="32"/>
          <w:u w:val="none"/>
        </w:rPr>
        <w:t>年度政府采购支出总额</w:t>
      </w:r>
      <w:r>
        <w:rPr>
          <w:rFonts w:hint="eastAsia" w:ascii="仿宋_GB2312" w:hAnsi="仿宋_GB2312" w:eastAsia="仿宋_GB2312" w:cs="仿宋_GB2312"/>
          <w:color w:val="auto"/>
          <w:kern w:val="0"/>
          <w:sz w:val="32"/>
          <w:szCs w:val="32"/>
          <w:u w:val="none"/>
          <w:lang w:val="en-US" w:eastAsia="zh-CN"/>
        </w:rPr>
        <w:t>114.49</w:t>
      </w:r>
      <w:r>
        <w:rPr>
          <w:rFonts w:hint="eastAsia" w:ascii="仿宋_GB2312" w:hAnsi="仿宋_GB2312" w:eastAsia="仿宋_GB2312" w:cs="仿宋_GB2312"/>
          <w:color w:val="auto"/>
          <w:kern w:val="0"/>
          <w:sz w:val="32"/>
          <w:szCs w:val="32"/>
          <w:u w:val="none"/>
        </w:rPr>
        <w:t>万元，其中：政府采购货物支出</w:t>
      </w:r>
      <w:r>
        <w:rPr>
          <w:rFonts w:hint="eastAsia" w:ascii="仿宋_GB2312" w:hAnsi="仿宋_GB2312" w:eastAsia="仿宋_GB2312" w:cs="仿宋_GB2312"/>
          <w:color w:val="auto"/>
          <w:kern w:val="0"/>
          <w:sz w:val="32"/>
          <w:szCs w:val="32"/>
          <w:u w:val="none"/>
          <w:lang w:val="en-US" w:eastAsia="zh-CN"/>
        </w:rPr>
        <w:t>7.43</w:t>
      </w:r>
      <w:r>
        <w:rPr>
          <w:rFonts w:hint="eastAsia" w:ascii="仿宋_GB2312" w:hAnsi="仿宋_GB2312" w:eastAsia="仿宋_GB2312" w:cs="仿宋_GB2312"/>
          <w:color w:val="auto"/>
          <w:kern w:val="0"/>
          <w:sz w:val="32"/>
          <w:szCs w:val="32"/>
          <w:u w:val="none"/>
        </w:rPr>
        <w:t>万元、政府采购工程支出 0.00万元、政府采购服务支出</w:t>
      </w:r>
      <w:r>
        <w:rPr>
          <w:rFonts w:hint="eastAsia" w:ascii="仿宋_GB2312" w:hAnsi="仿宋_GB2312" w:eastAsia="仿宋_GB2312" w:cs="仿宋_GB2312"/>
          <w:color w:val="auto"/>
          <w:kern w:val="0"/>
          <w:sz w:val="32"/>
          <w:szCs w:val="32"/>
          <w:u w:val="none"/>
          <w:lang w:val="en-US" w:eastAsia="zh-CN"/>
        </w:rPr>
        <w:t>107.06</w:t>
      </w:r>
      <w:r>
        <w:rPr>
          <w:rFonts w:hint="eastAsia" w:ascii="仿宋_GB2312" w:hAnsi="仿宋_GB2312" w:eastAsia="仿宋_GB2312" w:cs="仿宋_GB2312"/>
          <w:color w:val="auto"/>
          <w:kern w:val="0"/>
          <w:sz w:val="32"/>
          <w:szCs w:val="32"/>
          <w:u w:val="none"/>
        </w:rPr>
        <w:t xml:space="preserve">万元。政府采购授予中小企业合同金额 </w:t>
      </w:r>
      <w:r>
        <w:rPr>
          <w:rFonts w:hint="eastAsia" w:ascii="仿宋_GB2312" w:hAnsi="仿宋_GB2312" w:eastAsia="仿宋_GB2312" w:cs="仿宋_GB2312"/>
          <w:color w:val="auto"/>
          <w:kern w:val="0"/>
          <w:sz w:val="32"/>
          <w:szCs w:val="32"/>
          <w:u w:val="none"/>
          <w:lang w:val="en-US" w:eastAsia="zh-CN"/>
        </w:rPr>
        <w:t>0</w:t>
      </w:r>
      <w:r>
        <w:rPr>
          <w:rFonts w:hint="eastAsia" w:ascii="仿宋_GB2312" w:hAnsi="仿宋_GB2312" w:eastAsia="仿宋_GB2312" w:cs="仿宋_GB2312"/>
          <w:color w:val="auto"/>
          <w:kern w:val="0"/>
          <w:sz w:val="32"/>
          <w:szCs w:val="32"/>
          <w:u w:val="none"/>
        </w:rPr>
        <w:t>万元，占政府采购支出总额的</w:t>
      </w:r>
      <w:r>
        <w:rPr>
          <w:rFonts w:hint="eastAsia" w:ascii="仿宋_GB2312" w:hAnsi="仿宋_GB2312" w:eastAsia="仿宋_GB2312" w:cs="仿宋_GB2312"/>
          <w:color w:val="auto"/>
          <w:kern w:val="0"/>
          <w:sz w:val="32"/>
          <w:szCs w:val="32"/>
          <w:u w:val="none"/>
          <w:lang w:val="en-US" w:eastAsia="zh-CN"/>
        </w:rPr>
        <w:t>0</w:t>
      </w:r>
      <w:r>
        <w:rPr>
          <w:rFonts w:hint="eastAsia" w:ascii="仿宋_GB2312" w:hAnsi="仿宋_GB2312" w:eastAsia="仿宋_GB2312" w:cs="仿宋_GB2312"/>
          <w:color w:val="auto"/>
          <w:kern w:val="0"/>
          <w:sz w:val="32"/>
          <w:szCs w:val="32"/>
          <w:u w:val="none"/>
        </w:rPr>
        <w:t>%，其中：授予小微企业合同金额 </w:t>
      </w:r>
      <w:r>
        <w:rPr>
          <w:rFonts w:hint="eastAsia" w:ascii="仿宋_GB2312" w:hAnsi="仿宋_GB2312" w:eastAsia="仿宋_GB2312" w:cs="仿宋_GB2312"/>
          <w:color w:val="auto"/>
          <w:kern w:val="0"/>
          <w:sz w:val="32"/>
          <w:szCs w:val="32"/>
          <w:u w:val="none"/>
          <w:lang w:val="en-US" w:eastAsia="zh-CN"/>
        </w:rPr>
        <w:t>0</w:t>
      </w:r>
      <w:r>
        <w:rPr>
          <w:rFonts w:hint="eastAsia" w:ascii="仿宋_GB2312" w:hAnsi="仿宋_GB2312" w:eastAsia="仿宋_GB2312" w:cs="仿宋_GB2312"/>
          <w:color w:val="auto"/>
          <w:kern w:val="0"/>
          <w:sz w:val="32"/>
          <w:szCs w:val="32"/>
          <w:u w:val="none"/>
        </w:rPr>
        <w:t>万元，占政府采购支出总额的</w:t>
      </w:r>
      <w:r>
        <w:rPr>
          <w:rFonts w:hint="eastAsia" w:ascii="仿宋_GB2312" w:hAnsi="仿宋_GB2312" w:eastAsia="仿宋_GB2312" w:cs="仿宋_GB2312"/>
          <w:color w:val="auto"/>
          <w:kern w:val="0"/>
          <w:sz w:val="32"/>
          <w:szCs w:val="32"/>
          <w:u w:val="none"/>
          <w:lang w:val="en-US" w:eastAsia="zh-CN"/>
        </w:rPr>
        <w:t>0</w:t>
      </w:r>
      <w:r>
        <w:rPr>
          <w:rFonts w:hint="eastAsia" w:ascii="仿宋_GB2312" w:hAnsi="仿宋_GB2312" w:eastAsia="仿宋_GB2312" w:cs="仿宋_GB2312"/>
          <w:color w:val="auto"/>
          <w:kern w:val="0"/>
          <w:sz w:val="32"/>
          <w:szCs w:val="32"/>
          <w:u w:val="none"/>
        </w:rPr>
        <w:t>%；货物采购授予中小企业合同金额占货物支出金额的</w:t>
      </w:r>
      <w:r>
        <w:rPr>
          <w:rFonts w:hint="eastAsia" w:ascii="仿宋_GB2312" w:hAnsi="仿宋_GB2312" w:eastAsia="仿宋_GB2312" w:cs="仿宋_GB2312"/>
          <w:color w:val="auto"/>
          <w:kern w:val="0"/>
          <w:sz w:val="32"/>
          <w:szCs w:val="32"/>
          <w:u w:val="none"/>
          <w:lang w:val="en-US" w:eastAsia="zh-CN"/>
        </w:rPr>
        <w:t>0</w:t>
      </w:r>
      <w:r>
        <w:rPr>
          <w:rFonts w:hint="eastAsia" w:ascii="仿宋_GB2312" w:hAnsi="仿宋_GB2312" w:eastAsia="仿宋_GB2312" w:cs="仿宋_GB2312"/>
          <w:color w:val="auto"/>
          <w:kern w:val="0"/>
          <w:sz w:val="32"/>
          <w:szCs w:val="32"/>
          <w:u w:val="none"/>
        </w:rPr>
        <w:t>%，工程采购授予中小企业合同金额占工程支出金额的</w:t>
      </w:r>
      <w:r>
        <w:rPr>
          <w:rFonts w:hint="eastAsia" w:ascii="仿宋_GB2312" w:hAnsi="仿宋_GB2312" w:eastAsia="仿宋_GB2312" w:cs="仿宋_GB2312"/>
          <w:color w:val="auto"/>
          <w:kern w:val="0"/>
          <w:sz w:val="32"/>
          <w:szCs w:val="32"/>
          <w:u w:val="none"/>
          <w:lang w:val="en-US" w:eastAsia="zh-CN"/>
        </w:rPr>
        <w:t>0</w:t>
      </w:r>
      <w:r>
        <w:rPr>
          <w:rFonts w:hint="eastAsia" w:ascii="仿宋_GB2312" w:hAnsi="仿宋_GB2312" w:eastAsia="仿宋_GB2312" w:cs="仿宋_GB2312"/>
          <w:color w:val="auto"/>
          <w:kern w:val="0"/>
          <w:sz w:val="32"/>
          <w:szCs w:val="32"/>
          <w:u w:val="none"/>
        </w:rPr>
        <w:t>%，服务采购授予中小企业合同金额占服务支出金额的</w:t>
      </w:r>
      <w:r>
        <w:rPr>
          <w:rFonts w:hint="eastAsia" w:ascii="仿宋_GB2312" w:hAnsi="仿宋_GB2312" w:eastAsia="仿宋_GB2312" w:cs="仿宋_GB2312"/>
          <w:color w:val="auto"/>
          <w:kern w:val="0"/>
          <w:sz w:val="32"/>
          <w:szCs w:val="32"/>
          <w:u w:val="none"/>
          <w:lang w:val="en-US" w:eastAsia="zh-CN"/>
        </w:rPr>
        <w:t>0</w:t>
      </w:r>
      <w:r>
        <w:rPr>
          <w:rFonts w:hint="eastAsia" w:ascii="仿宋_GB2312" w:hAnsi="仿宋_GB2312" w:eastAsia="仿宋_GB2312" w:cs="仿宋_GB2312"/>
          <w:color w:val="auto"/>
          <w:kern w:val="0"/>
          <w:sz w:val="32"/>
          <w:szCs w:val="32"/>
          <w:u w:val="none"/>
        </w:rPr>
        <w:t>%。</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十三、国有资产占用情况说明</w:t>
      </w:r>
    </w:p>
    <w:p>
      <w:pPr>
        <w:keepNext w:val="0"/>
        <w:keepLines w:val="0"/>
        <w:pageBreakBefore w:val="0"/>
        <w:widowControl/>
        <w:kinsoku/>
        <w:wordWrap/>
        <w:overflowPunct/>
        <w:topLinePunct w:val="0"/>
        <w:autoSpaceDE/>
        <w:autoSpaceDN/>
        <w:bidi w:val="0"/>
        <w:adjustRightInd/>
        <w:snapToGrid/>
        <w:spacing w:line="580" w:lineRule="exact"/>
        <w:ind w:left="0" w:leftChars="0"/>
        <w:textAlignment w:val="auto"/>
        <w:rPr>
          <w:rFonts w:hint="eastAsia" w:ascii="仿宋_GB2312" w:hAnsi="仿宋_GB2312" w:eastAsia="仿宋_GB2312" w:cs="仿宋_GB2312"/>
          <w:color w:val="auto"/>
          <w:kern w:val="0"/>
          <w:sz w:val="32"/>
          <w:szCs w:val="32"/>
          <w:u w:val="none"/>
        </w:rPr>
      </w:pPr>
      <w:r>
        <w:rPr>
          <w:rFonts w:ascii="fang_song_gb2312" w:hAnsi="fang_song_gb2312" w:eastAsia="fang_song_gb2312" w:cs="fang_song_gb2312"/>
          <w:color w:val="auto"/>
          <w:kern w:val="0"/>
          <w:sz w:val="27"/>
          <w:szCs w:val="27"/>
        </w:rPr>
        <w:t xml:space="preserve">    </w:t>
      </w:r>
      <w:r>
        <w:rPr>
          <w:rFonts w:hint="eastAsia" w:ascii="fang_song_gb2312" w:hAnsi="fang_song_gb2312" w:eastAsia="fang_song_gb2312" w:cs="fang_song_gb2312"/>
          <w:color w:val="auto"/>
          <w:kern w:val="0"/>
          <w:sz w:val="27"/>
          <w:szCs w:val="27"/>
          <w:lang w:val="en-US" w:eastAsia="zh-CN"/>
        </w:rPr>
        <w:t xml:space="preserve">  </w:t>
      </w:r>
      <w:r>
        <w:rPr>
          <w:rFonts w:hint="eastAsia" w:ascii="仿宋_GB2312" w:hAnsi="仿宋_GB2312" w:eastAsia="仿宋_GB2312" w:cs="仿宋_GB2312"/>
          <w:color w:val="auto"/>
          <w:kern w:val="0"/>
          <w:sz w:val="32"/>
          <w:szCs w:val="32"/>
          <w:u w:val="none"/>
        </w:rPr>
        <w:t>赤峰市司法局（部门） 截至202</w:t>
      </w:r>
      <w:r>
        <w:rPr>
          <w:rFonts w:hint="eastAsia" w:ascii="仿宋_GB2312" w:hAnsi="仿宋_GB2312" w:eastAsia="仿宋_GB2312" w:cs="仿宋_GB2312"/>
          <w:color w:val="auto"/>
          <w:kern w:val="0"/>
          <w:sz w:val="32"/>
          <w:szCs w:val="32"/>
          <w:u w:val="none"/>
          <w:lang w:val="en-US" w:eastAsia="zh-CN"/>
        </w:rPr>
        <w:t>4</w:t>
      </w:r>
      <w:r>
        <w:rPr>
          <w:rFonts w:hint="eastAsia" w:ascii="仿宋_GB2312" w:hAnsi="仿宋_GB2312" w:eastAsia="仿宋_GB2312" w:cs="仿宋_GB2312"/>
          <w:color w:val="auto"/>
          <w:kern w:val="0"/>
          <w:sz w:val="32"/>
          <w:szCs w:val="32"/>
          <w:u w:val="none"/>
        </w:rPr>
        <w:t>年12月31日，本部门共有车辆 13辆，其中：副部（省）级及以上领导用车0 辆、主要负责人用车 0辆、机要通信用车 2辆、应急保障用车 1辆、执法执勤用车 9辆、特种专业技术用车 0辆、离退休干部服务用车 1辆，其他用车 0辆；单价100万元（含）以上的设备（不含车辆） 0台（套）。</w:t>
      </w:r>
    </w:p>
    <w:p>
      <w:pPr>
        <w:pStyle w:val="30"/>
        <w:keepNext w:val="0"/>
        <w:keepLines w:val="0"/>
        <w:pageBreakBefore w:val="0"/>
        <w:widowControl/>
        <w:kinsoku/>
        <w:wordWrap/>
        <w:overflowPunct/>
        <w:topLinePunct w:val="0"/>
        <w:autoSpaceDE/>
        <w:autoSpaceDN/>
        <w:bidi w:val="0"/>
        <w:adjustRightInd/>
        <w:snapToGrid/>
        <w:spacing w:line="580" w:lineRule="exact"/>
        <w:ind w:left="0" w:leftChars="0" w:firstLine="643"/>
        <w:jc w:val="left"/>
        <w:textAlignment w:val="auto"/>
        <w:rPr>
          <w:rFonts w:ascii="Times New Roman" w:hAnsi="Times New Roman" w:eastAsia="Times New Roman" w:cs="Times New Roman"/>
          <w:b w:val="0"/>
          <w:bCs w:val="0"/>
          <w:color w:val="auto"/>
          <w:kern w:val="0"/>
          <w:sz w:val="24"/>
        </w:rPr>
      </w:pPr>
      <w:r>
        <w:rPr>
          <w:rFonts w:ascii="黑体" w:hAnsi="黑体" w:eastAsia="黑体" w:cs="黑体"/>
          <w:b w:val="0"/>
          <w:bCs w:val="0"/>
          <w:color w:val="auto"/>
          <w:kern w:val="0"/>
          <w:sz w:val="32"/>
          <w:szCs w:val="32"/>
        </w:rPr>
        <w:t>十四、预算绩效情况说明</w:t>
      </w:r>
    </w:p>
    <w:p>
      <w:pPr>
        <w:pStyle w:val="30"/>
        <w:keepNext w:val="0"/>
        <w:keepLines w:val="0"/>
        <w:pageBreakBefore w:val="0"/>
        <w:widowControl/>
        <w:kinsoku/>
        <w:wordWrap/>
        <w:overflowPunct/>
        <w:topLinePunct w:val="0"/>
        <w:autoSpaceDE/>
        <w:autoSpaceDN/>
        <w:bidi w:val="0"/>
        <w:adjustRightInd/>
        <w:snapToGrid/>
        <w:spacing w:line="580" w:lineRule="exact"/>
        <w:ind w:left="0" w:leftChars="0" w:firstLine="643"/>
        <w:jc w:val="left"/>
        <w:textAlignment w:val="auto"/>
        <w:rPr>
          <w:rFonts w:hint="eastAsia" w:ascii="楷体" w:hAnsi="楷体" w:eastAsia="楷体" w:cs="楷体"/>
          <w:b w:val="0"/>
          <w:bCs w:val="0"/>
          <w:color w:val="auto"/>
          <w:kern w:val="0"/>
          <w:sz w:val="32"/>
          <w:szCs w:val="32"/>
        </w:rPr>
      </w:pPr>
      <w:r>
        <w:rPr>
          <w:rFonts w:ascii="楷体" w:hAnsi="楷体" w:eastAsia="楷体" w:cs="楷体"/>
          <w:b w:val="0"/>
          <w:bCs w:val="0"/>
          <w:color w:val="auto"/>
          <w:kern w:val="0"/>
          <w:sz w:val="32"/>
          <w:szCs w:val="32"/>
        </w:rPr>
        <w:t>（</w:t>
      </w:r>
      <w:r>
        <w:rPr>
          <w:rFonts w:hint="eastAsia" w:ascii="楷体" w:hAnsi="楷体" w:eastAsia="楷体" w:cs="楷体"/>
          <w:b w:val="0"/>
          <w:bCs w:val="0"/>
          <w:color w:val="auto"/>
          <w:kern w:val="0"/>
          <w:sz w:val="32"/>
          <w:szCs w:val="32"/>
        </w:rPr>
        <w:t>一）预算绩效管理工作开展情况。</w:t>
      </w:r>
    </w:p>
    <w:p>
      <w:pPr>
        <w:pStyle w:val="31"/>
        <w:keepNext w:val="0"/>
        <w:keepLines w:val="0"/>
        <w:pageBreakBefore w:val="0"/>
        <w:widowControl/>
        <w:kinsoku/>
        <w:wordWrap/>
        <w:overflowPunct/>
        <w:topLinePunct w:val="0"/>
        <w:autoSpaceDE/>
        <w:autoSpaceDN/>
        <w:bidi w:val="0"/>
        <w:adjustRightInd/>
        <w:snapToGrid/>
        <w:spacing w:line="580" w:lineRule="exact"/>
        <w:ind w:left="0" w:leftChars="0" w:firstLine="640"/>
        <w:jc w:val="both"/>
        <w:textAlignment w:val="auto"/>
        <w:rPr>
          <w:rFonts w:hint="eastAsia" w:ascii="仿宋_GB2312" w:hAnsi="仿宋_GB2312" w:eastAsia="仿宋_GB2312" w:cs="仿宋_GB2312"/>
          <w:color w:val="auto"/>
          <w:kern w:val="0"/>
          <w:sz w:val="32"/>
          <w:szCs w:val="32"/>
          <w:u w:val="none"/>
          <w:lang w:eastAsia="zh-CN"/>
        </w:rPr>
      </w:pPr>
      <w:r>
        <w:rPr>
          <w:rFonts w:hint="eastAsia" w:ascii="仿宋_GB2312" w:hAnsi="仿宋_GB2312" w:eastAsia="仿宋_GB2312" w:cs="仿宋_GB2312"/>
          <w:color w:val="auto"/>
          <w:kern w:val="0"/>
          <w:sz w:val="32"/>
          <w:szCs w:val="32"/>
          <w:u w:val="none"/>
          <w:lang w:eastAsia="zh-CN"/>
        </w:rPr>
        <w:t>赤峰市司法局部门根据预算绩效管理要求组织对</w:t>
      </w:r>
      <w:r>
        <w:rPr>
          <w:rFonts w:hint="eastAsia" w:ascii="仿宋_GB2312" w:hAnsi="仿宋_GB2312" w:eastAsia="仿宋_GB2312" w:cs="仿宋_GB2312"/>
          <w:color w:val="auto"/>
          <w:kern w:val="0"/>
          <w:sz w:val="32"/>
          <w:szCs w:val="32"/>
          <w:u w:val="none"/>
          <w:lang w:val="en-US" w:eastAsia="zh-CN"/>
        </w:rPr>
        <w:t>2024</w:t>
      </w:r>
      <w:r>
        <w:rPr>
          <w:rFonts w:hint="eastAsia" w:ascii="仿宋_GB2312" w:hAnsi="仿宋_GB2312" w:eastAsia="仿宋_GB2312" w:cs="仿宋_GB2312"/>
          <w:color w:val="auto"/>
          <w:kern w:val="0"/>
          <w:sz w:val="32"/>
          <w:szCs w:val="32"/>
          <w:u w:val="none"/>
          <w:lang w:eastAsia="zh-CN"/>
        </w:rPr>
        <w:t>年项目支出开展绩效自评。其中一般公共预算项目</w:t>
      </w:r>
      <w:r>
        <w:rPr>
          <w:rFonts w:hint="eastAsia" w:ascii="仿宋_GB2312" w:hAnsi="仿宋_GB2312" w:eastAsia="仿宋_GB2312" w:cs="仿宋_GB2312"/>
          <w:color w:val="auto"/>
          <w:kern w:val="0"/>
          <w:sz w:val="32"/>
          <w:szCs w:val="32"/>
          <w:u w:val="none"/>
          <w:lang w:val="en-US" w:eastAsia="zh-CN"/>
        </w:rPr>
        <w:t>12</w:t>
      </w:r>
      <w:r>
        <w:rPr>
          <w:rFonts w:hint="eastAsia" w:ascii="仿宋_GB2312" w:hAnsi="仿宋_GB2312" w:eastAsia="仿宋_GB2312" w:cs="仿宋_GB2312"/>
          <w:color w:val="auto"/>
          <w:kern w:val="0"/>
          <w:sz w:val="32"/>
          <w:szCs w:val="32"/>
          <w:u w:val="none"/>
          <w:lang w:eastAsia="zh-CN"/>
        </w:rPr>
        <w:t>个，涉及资金</w:t>
      </w:r>
      <w:r>
        <w:rPr>
          <w:rFonts w:hint="eastAsia" w:ascii="仿宋_GB2312" w:hAnsi="仿宋_GB2312" w:eastAsia="仿宋_GB2312" w:cs="仿宋_GB2312"/>
          <w:color w:val="auto"/>
          <w:kern w:val="0"/>
          <w:sz w:val="32"/>
          <w:szCs w:val="32"/>
          <w:u w:val="none"/>
          <w:lang w:val="en-US" w:eastAsia="zh-CN"/>
        </w:rPr>
        <w:t>631.77</w:t>
      </w:r>
      <w:r>
        <w:rPr>
          <w:rFonts w:hint="eastAsia" w:ascii="仿宋_GB2312" w:hAnsi="仿宋_GB2312" w:eastAsia="仿宋_GB2312" w:cs="仿宋_GB2312"/>
          <w:color w:val="auto"/>
          <w:kern w:val="0"/>
          <w:sz w:val="32"/>
          <w:szCs w:val="32"/>
          <w:u w:val="none"/>
          <w:lang w:eastAsia="zh-CN"/>
        </w:rPr>
        <w:t>万元，占一般公共预算项目支出总额的</w:t>
      </w:r>
      <w:r>
        <w:rPr>
          <w:rFonts w:hint="eastAsia" w:ascii="仿宋_GB2312" w:hAnsi="仿宋_GB2312" w:eastAsia="仿宋_GB2312" w:cs="仿宋_GB2312"/>
          <w:color w:val="auto"/>
          <w:kern w:val="0"/>
          <w:sz w:val="32"/>
          <w:szCs w:val="32"/>
          <w:u w:val="none"/>
          <w:lang w:eastAsia="en-US"/>
        </w:rPr>
        <w:t>100%</w:t>
      </w:r>
      <w:r>
        <w:rPr>
          <w:rFonts w:hint="eastAsia" w:ascii="仿宋_GB2312" w:hAnsi="仿宋_GB2312" w:eastAsia="仿宋_GB2312" w:cs="仿宋_GB2312"/>
          <w:color w:val="auto"/>
          <w:kern w:val="0"/>
          <w:sz w:val="32"/>
          <w:szCs w:val="32"/>
          <w:u w:val="none"/>
          <w:lang w:eastAsia="zh-CN"/>
        </w:rPr>
        <w:t>；政府性基金预算项目</w:t>
      </w:r>
      <w:r>
        <w:rPr>
          <w:rFonts w:hint="eastAsia" w:ascii="仿宋_GB2312" w:hAnsi="仿宋_GB2312" w:eastAsia="仿宋_GB2312" w:cs="仿宋_GB2312"/>
          <w:color w:val="auto"/>
          <w:kern w:val="0"/>
          <w:sz w:val="32"/>
          <w:szCs w:val="32"/>
          <w:u w:val="none"/>
          <w:lang w:val="en-US" w:eastAsia="zh-CN"/>
        </w:rPr>
        <w:t>0</w:t>
      </w:r>
      <w:r>
        <w:rPr>
          <w:rFonts w:hint="eastAsia" w:ascii="仿宋_GB2312" w:hAnsi="仿宋_GB2312" w:eastAsia="仿宋_GB2312" w:cs="仿宋_GB2312"/>
          <w:color w:val="auto"/>
          <w:kern w:val="0"/>
          <w:sz w:val="32"/>
          <w:szCs w:val="32"/>
          <w:u w:val="none"/>
          <w:lang w:eastAsia="zh-CN"/>
        </w:rPr>
        <w:t>个，涉及资金</w:t>
      </w:r>
      <w:r>
        <w:rPr>
          <w:rFonts w:hint="eastAsia" w:ascii="仿宋_GB2312" w:hAnsi="仿宋_GB2312" w:eastAsia="仿宋_GB2312" w:cs="仿宋_GB2312"/>
          <w:color w:val="auto"/>
          <w:kern w:val="0"/>
          <w:sz w:val="32"/>
          <w:szCs w:val="32"/>
          <w:u w:val="none"/>
          <w:lang w:val="en-US" w:eastAsia="zh-CN"/>
        </w:rPr>
        <w:t>0</w:t>
      </w:r>
      <w:r>
        <w:rPr>
          <w:rFonts w:hint="eastAsia" w:ascii="仿宋_GB2312" w:hAnsi="仿宋_GB2312" w:eastAsia="仿宋_GB2312" w:cs="仿宋_GB2312"/>
          <w:color w:val="auto"/>
          <w:kern w:val="0"/>
          <w:sz w:val="32"/>
          <w:szCs w:val="32"/>
          <w:u w:val="none"/>
          <w:lang w:eastAsia="zh-CN"/>
        </w:rPr>
        <w:t>万元，占应纳入绩效自评的政府性基金预算项目支出总额的</w:t>
      </w:r>
      <w:r>
        <w:rPr>
          <w:rFonts w:hint="eastAsia" w:ascii="仿宋_GB2312" w:hAnsi="仿宋_GB2312" w:eastAsia="仿宋_GB2312" w:cs="仿宋_GB2312"/>
          <w:color w:val="auto"/>
          <w:kern w:val="0"/>
          <w:sz w:val="32"/>
          <w:szCs w:val="32"/>
          <w:u w:val="none"/>
          <w:lang w:eastAsia="en-US"/>
        </w:rPr>
        <w:t>100%</w:t>
      </w:r>
      <w:r>
        <w:rPr>
          <w:rFonts w:hint="eastAsia" w:ascii="仿宋_GB2312" w:hAnsi="仿宋_GB2312" w:eastAsia="仿宋_GB2312" w:cs="仿宋_GB2312"/>
          <w:color w:val="auto"/>
          <w:kern w:val="0"/>
          <w:sz w:val="32"/>
          <w:szCs w:val="32"/>
          <w:u w:val="none"/>
          <w:lang w:eastAsia="zh-CN"/>
        </w:rPr>
        <w:t>。</w:t>
      </w:r>
    </w:p>
    <w:p>
      <w:pPr>
        <w:pStyle w:val="31"/>
        <w:keepNext w:val="0"/>
        <w:keepLines w:val="0"/>
        <w:pageBreakBefore w:val="0"/>
        <w:widowControl/>
        <w:kinsoku/>
        <w:wordWrap/>
        <w:overflowPunct/>
        <w:topLinePunct w:val="0"/>
        <w:autoSpaceDE/>
        <w:autoSpaceDN/>
        <w:bidi w:val="0"/>
        <w:adjustRightInd/>
        <w:snapToGrid/>
        <w:spacing w:line="580" w:lineRule="exact"/>
        <w:ind w:left="0" w:leftChars="0" w:firstLine="640"/>
        <w:jc w:val="both"/>
        <w:textAlignment w:val="auto"/>
        <w:rPr>
          <w:rFonts w:hint="eastAsia" w:ascii="仿宋_GB2312" w:hAnsi="仿宋_GB2312" w:eastAsia="仿宋_GB2312" w:cs="仿宋_GB2312"/>
          <w:color w:val="auto"/>
          <w:kern w:val="0"/>
          <w:sz w:val="32"/>
          <w:szCs w:val="32"/>
          <w:u w:val="none"/>
          <w:lang w:eastAsia="zh-CN"/>
        </w:rPr>
      </w:pPr>
      <w:r>
        <w:rPr>
          <w:rFonts w:hint="eastAsia" w:ascii="仿宋_GB2312" w:hAnsi="仿宋_GB2312" w:eastAsia="仿宋_GB2312" w:cs="仿宋_GB2312"/>
          <w:color w:val="auto"/>
          <w:kern w:val="0"/>
          <w:sz w:val="32"/>
          <w:szCs w:val="32"/>
          <w:u w:val="none"/>
          <w:lang w:eastAsia="zh-CN"/>
        </w:rPr>
        <w:t>组织对“基层司法业务经费”、“普法宣传经费”、“社区矫正工作经费”等</w:t>
      </w:r>
      <w:r>
        <w:rPr>
          <w:rFonts w:hint="eastAsia" w:ascii="仿宋_GB2312" w:hAnsi="仿宋_GB2312" w:eastAsia="仿宋_GB2312" w:cs="仿宋_GB2312"/>
          <w:color w:val="auto"/>
          <w:kern w:val="0"/>
          <w:sz w:val="32"/>
          <w:szCs w:val="32"/>
          <w:u w:val="none"/>
          <w:lang w:val="en-US" w:eastAsia="zh-CN"/>
        </w:rPr>
        <w:t>12</w:t>
      </w:r>
      <w:r>
        <w:rPr>
          <w:rFonts w:hint="eastAsia" w:ascii="仿宋_GB2312" w:hAnsi="仿宋_GB2312" w:eastAsia="仿宋_GB2312" w:cs="仿宋_GB2312"/>
          <w:color w:val="auto"/>
          <w:kern w:val="0"/>
          <w:sz w:val="32"/>
          <w:szCs w:val="32"/>
          <w:u w:val="none"/>
          <w:lang w:eastAsia="zh-CN"/>
        </w:rPr>
        <w:t>个项目开展了部门评价，涉及一般公共预算支出</w:t>
      </w:r>
      <w:r>
        <w:rPr>
          <w:rFonts w:hint="eastAsia" w:ascii="仿宋_GB2312" w:hAnsi="仿宋_GB2312" w:eastAsia="仿宋_GB2312" w:cs="仿宋_GB2312"/>
          <w:color w:val="auto"/>
          <w:kern w:val="0"/>
          <w:sz w:val="32"/>
          <w:szCs w:val="32"/>
          <w:u w:val="none"/>
          <w:lang w:val="en-US" w:eastAsia="zh-CN"/>
        </w:rPr>
        <w:t>631.77</w:t>
      </w:r>
      <w:r>
        <w:rPr>
          <w:rFonts w:hint="eastAsia" w:ascii="仿宋_GB2312" w:hAnsi="仿宋_GB2312" w:eastAsia="仿宋_GB2312" w:cs="仿宋_GB2312"/>
          <w:color w:val="auto"/>
          <w:kern w:val="0"/>
          <w:sz w:val="32"/>
          <w:szCs w:val="32"/>
          <w:u w:val="none"/>
          <w:lang w:eastAsia="zh-CN"/>
        </w:rPr>
        <w:t>万元，政府性基金支出</w:t>
      </w:r>
      <w:r>
        <w:rPr>
          <w:rFonts w:hint="eastAsia" w:ascii="仿宋_GB2312" w:hAnsi="仿宋_GB2312" w:eastAsia="仿宋_GB2312" w:cs="仿宋_GB2312"/>
          <w:color w:val="auto"/>
          <w:kern w:val="0"/>
          <w:sz w:val="32"/>
          <w:szCs w:val="32"/>
          <w:u w:val="none"/>
          <w:lang w:val="en-US" w:eastAsia="zh-CN"/>
        </w:rPr>
        <w:t>0</w:t>
      </w:r>
      <w:r>
        <w:rPr>
          <w:rFonts w:hint="eastAsia" w:ascii="仿宋_GB2312" w:hAnsi="仿宋_GB2312" w:eastAsia="仿宋_GB2312" w:cs="仿宋_GB2312"/>
          <w:color w:val="auto"/>
          <w:kern w:val="0"/>
          <w:sz w:val="32"/>
          <w:szCs w:val="32"/>
          <w:u w:val="none"/>
          <w:lang w:eastAsia="zh-CN"/>
        </w:rPr>
        <w:t>万元。从评价情况看，以上项目均按照预算安排支出，对</w:t>
      </w:r>
      <w:r>
        <w:rPr>
          <w:rFonts w:hint="default" w:ascii="仿宋_GB2312" w:hAnsi="仿宋_GB2312" w:eastAsia="仿宋_GB2312" w:cs="仿宋_GB2312"/>
          <w:color w:val="auto"/>
          <w:kern w:val="0"/>
          <w:sz w:val="32"/>
          <w:szCs w:val="32"/>
          <w:u w:val="none"/>
          <w:lang w:eastAsia="zh-CN"/>
        </w:rPr>
        <w:t>资金产出及其效益进行综合评价和判断，达到</w:t>
      </w:r>
      <w:r>
        <w:rPr>
          <w:rFonts w:hint="eastAsia" w:ascii="仿宋_GB2312" w:hAnsi="仿宋_GB2312" w:eastAsia="仿宋_GB2312" w:cs="仿宋_GB2312"/>
          <w:color w:val="auto"/>
          <w:kern w:val="0"/>
          <w:sz w:val="32"/>
          <w:szCs w:val="32"/>
          <w:u w:val="none"/>
          <w:lang w:eastAsia="zh-CN"/>
        </w:rPr>
        <w:t>了</w:t>
      </w:r>
      <w:r>
        <w:rPr>
          <w:rFonts w:hint="default" w:ascii="仿宋_GB2312" w:hAnsi="仿宋_GB2312" w:eastAsia="仿宋_GB2312" w:cs="仿宋_GB2312"/>
          <w:color w:val="auto"/>
          <w:kern w:val="0"/>
          <w:sz w:val="32"/>
          <w:szCs w:val="32"/>
          <w:u w:val="none"/>
          <w:lang w:eastAsia="zh-CN"/>
        </w:rPr>
        <w:t>科学使用资金，确保</w:t>
      </w:r>
      <w:r>
        <w:rPr>
          <w:rFonts w:hint="eastAsia" w:ascii="仿宋_GB2312" w:hAnsi="仿宋_GB2312" w:eastAsia="仿宋_GB2312" w:cs="仿宋_GB2312"/>
          <w:color w:val="auto"/>
          <w:kern w:val="0"/>
          <w:sz w:val="32"/>
          <w:szCs w:val="32"/>
          <w:u w:val="none"/>
          <w:lang w:eastAsia="zh-CN"/>
        </w:rPr>
        <w:t>了</w:t>
      </w:r>
      <w:r>
        <w:rPr>
          <w:rFonts w:hint="default" w:ascii="仿宋_GB2312" w:hAnsi="仿宋_GB2312" w:eastAsia="仿宋_GB2312" w:cs="仿宋_GB2312"/>
          <w:color w:val="auto"/>
          <w:kern w:val="0"/>
          <w:sz w:val="32"/>
          <w:szCs w:val="32"/>
          <w:u w:val="none"/>
          <w:lang w:eastAsia="zh-CN"/>
        </w:rPr>
        <w:t>资金使用效益</w:t>
      </w:r>
      <w:r>
        <w:rPr>
          <w:rFonts w:hint="eastAsia" w:ascii="仿宋_GB2312" w:hAnsi="仿宋_GB2312" w:eastAsia="仿宋_GB2312" w:cs="仿宋_GB2312"/>
          <w:color w:val="auto"/>
          <w:kern w:val="0"/>
          <w:sz w:val="32"/>
          <w:szCs w:val="32"/>
          <w:u w:val="none"/>
          <w:lang w:eastAsia="zh-CN"/>
        </w:rPr>
        <w:t>。</w:t>
      </w:r>
    </w:p>
    <w:p>
      <w:pPr>
        <w:pStyle w:val="30"/>
        <w:keepNext w:val="0"/>
        <w:keepLines w:val="0"/>
        <w:pageBreakBefore w:val="0"/>
        <w:widowControl/>
        <w:kinsoku/>
        <w:wordWrap/>
        <w:overflowPunct/>
        <w:topLinePunct w:val="0"/>
        <w:autoSpaceDE/>
        <w:autoSpaceDN/>
        <w:bidi w:val="0"/>
        <w:adjustRightInd/>
        <w:snapToGrid/>
        <w:spacing w:line="580" w:lineRule="exact"/>
        <w:ind w:left="0" w:leftChars="0" w:firstLine="643"/>
        <w:jc w:val="left"/>
        <w:textAlignment w:val="auto"/>
        <w:rPr>
          <w:rFonts w:ascii="Times New Roman" w:hAnsi="Times New Roman" w:eastAsia="Times New Roman" w:cs="Times New Roman"/>
          <w:b w:val="0"/>
          <w:bCs w:val="0"/>
          <w:color w:val="auto"/>
          <w:kern w:val="0"/>
          <w:sz w:val="32"/>
          <w:szCs w:val="32"/>
        </w:rPr>
      </w:pPr>
      <w:r>
        <w:rPr>
          <w:rFonts w:ascii="楷体" w:hAnsi="楷体" w:eastAsia="楷体" w:cs="楷体"/>
          <w:b w:val="0"/>
          <w:bCs w:val="0"/>
          <w:color w:val="auto"/>
          <w:kern w:val="0"/>
          <w:sz w:val="32"/>
          <w:szCs w:val="32"/>
        </w:rPr>
        <w:t>（二）部门决算中项目绩效自评结果。</w:t>
      </w:r>
    </w:p>
    <w:p>
      <w:pPr>
        <w:pStyle w:val="31"/>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kern w:val="0"/>
          <w:sz w:val="32"/>
          <w:szCs w:val="32"/>
          <w:u w:val="none"/>
          <w:lang w:eastAsia="zh-CN"/>
        </w:rPr>
      </w:pPr>
      <w:r>
        <w:rPr>
          <w:rFonts w:hint="eastAsia" w:ascii="仿宋_GB2312" w:hAnsi="仿宋_GB2312" w:eastAsia="仿宋_GB2312" w:cs="仿宋_GB2312"/>
          <w:color w:val="auto"/>
          <w:kern w:val="0"/>
          <w:sz w:val="32"/>
          <w:szCs w:val="32"/>
          <w:u w:val="none"/>
          <w:lang w:eastAsia="zh-CN"/>
        </w:rPr>
        <w:t>赤峰市司法局</w:t>
      </w:r>
      <w:r>
        <w:rPr>
          <w:rFonts w:hint="eastAsia" w:ascii="仿宋_GB2312" w:hAnsi="仿宋_GB2312" w:eastAsia="仿宋_GB2312" w:cs="仿宋_GB2312"/>
          <w:color w:val="auto"/>
          <w:kern w:val="0"/>
          <w:sz w:val="32"/>
          <w:szCs w:val="32"/>
          <w:u w:val="none"/>
          <w:lang w:val="en-US" w:eastAsia="zh-CN"/>
        </w:rPr>
        <w:t>本级2024</w:t>
      </w:r>
      <w:r>
        <w:rPr>
          <w:rFonts w:hint="eastAsia" w:ascii="仿宋_GB2312" w:hAnsi="仿宋_GB2312" w:eastAsia="仿宋_GB2312" w:cs="仿宋_GB2312"/>
          <w:color w:val="auto"/>
          <w:kern w:val="0"/>
          <w:sz w:val="32"/>
          <w:szCs w:val="32"/>
          <w:u w:val="none"/>
          <w:lang w:eastAsia="zh-CN"/>
        </w:rPr>
        <w:t>年度在决算中反映“法治建设经费”、“基层司法业务经费”、“普法宣传经费”、“社区矫正工作经费”等</w:t>
      </w:r>
      <w:r>
        <w:rPr>
          <w:rFonts w:hint="eastAsia" w:ascii="仿宋_GB2312" w:hAnsi="仿宋_GB2312" w:eastAsia="仿宋_GB2312" w:cs="仿宋_GB2312"/>
          <w:color w:val="auto"/>
          <w:kern w:val="0"/>
          <w:sz w:val="32"/>
          <w:szCs w:val="32"/>
          <w:u w:val="none"/>
          <w:lang w:val="en-US" w:eastAsia="zh-CN"/>
        </w:rPr>
        <w:t>12</w:t>
      </w:r>
      <w:r>
        <w:rPr>
          <w:rFonts w:hint="eastAsia" w:ascii="仿宋_GB2312" w:hAnsi="仿宋_GB2312" w:eastAsia="仿宋_GB2312" w:cs="仿宋_GB2312"/>
          <w:color w:val="auto"/>
          <w:kern w:val="0"/>
          <w:sz w:val="32"/>
          <w:szCs w:val="32"/>
          <w:u w:val="none"/>
          <w:lang w:eastAsia="zh-CN"/>
        </w:rPr>
        <w:t>个一般公共预算项目，以及</w:t>
      </w:r>
      <w:r>
        <w:rPr>
          <w:rFonts w:hint="eastAsia" w:ascii="仿宋_GB2312" w:hAnsi="仿宋_GB2312" w:eastAsia="仿宋_GB2312" w:cs="仿宋_GB2312"/>
          <w:color w:val="auto"/>
          <w:kern w:val="0"/>
          <w:sz w:val="32"/>
          <w:szCs w:val="32"/>
          <w:u w:val="none"/>
          <w:lang w:val="en-US" w:eastAsia="zh-CN"/>
        </w:rPr>
        <w:t>0</w:t>
      </w:r>
      <w:r>
        <w:rPr>
          <w:rFonts w:hint="eastAsia" w:ascii="仿宋_GB2312" w:hAnsi="仿宋_GB2312" w:eastAsia="仿宋_GB2312" w:cs="仿宋_GB2312"/>
          <w:color w:val="auto"/>
          <w:kern w:val="0"/>
          <w:sz w:val="32"/>
          <w:szCs w:val="32"/>
          <w:u w:val="none"/>
          <w:lang w:eastAsia="zh-CN"/>
        </w:rPr>
        <w:t>个政府性基金项目，共</w:t>
      </w:r>
      <w:r>
        <w:rPr>
          <w:rFonts w:hint="eastAsia" w:ascii="仿宋_GB2312" w:hAnsi="仿宋_GB2312" w:eastAsia="仿宋_GB2312" w:cs="仿宋_GB2312"/>
          <w:color w:val="auto"/>
          <w:kern w:val="0"/>
          <w:sz w:val="32"/>
          <w:szCs w:val="32"/>
          <w:u w:val="none"/>
          <w:lang w:val="en-US" w:eastAsia="zh-CN"/>
        </w:rPr>
        <w:t>12</w:t>
      </w:r>
      <w:r>
        <w:rPr>
          <w:rFonts w:hint="eastAsia" w:ascii="仿宋_GB2312" w:hAnsi="仿宋_GB2312" w:eastAsia="仿宋_GB2312" w:cs="仿宋_GB2312"/>
          <w:color w:val="auto"/>
          <w:kern w:val="0"/>
          <w:sz w:val="32"/>
          <w:szCs w:val="32"/>
          <w:u w:val="none"/>
          <w:lang w:eastAsia="zh-CN"/>
        </w:rPr>
        <w:t>个项目的绩效自评结果。</w:t>
      </w:r>
    </w:p>
    <w:p>
      <w:pPr>
        <w:pStyle w:val="31"/>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kern w:val="0"/>
          <w:sz w:val="32"/>
          <w:szCs w:val="32"/>
          <w:u w:val="none"/>
          <w:lang w:eastAsia="zh-CN"/>
        </w:rPr>
      </w:pPr>
      <w:r>
        <w:rPr>
          <w:rFonts w:hint="eastAsia" w:ascii="仿宋_GB2312" w:hAnsi="仿宋_GB2312" w:eastAsia="仿宋_GB2312" w:cs="仿宋_GB2312"/>
          <w:color w:val="auto"/>
          <w:kern w:val="0"/>
          <w:sz w:val="32"/>
          <w:szCs w:val="32"/>
          <w:u w:val="none"/>
          <w:lang w:eastAsia="zh-CN"/>
        </w:rPr>
        <w:t>赤峰市强制隔离戒毒所单位2024年度在决算中反映“深化信创项目”“对口援疆补助经费项目”、“人民警察参与社区矫正工作经费项目”、“对口援疆补助经费项目”等4个一般公共预算项目，共 1 个项目的绩效自评结果，其他项目为涉密项目，不需要绩效自评。部分项目自评表见附件。</w:t>
      </w:r>
    </w:p>
    <w:p>
      <w:pPr>
        <w:keepNext w:val="0"/>
        <w:keepLines w:val="0"/>
        <w:pageBreakBefore w:val="0"/>
        <w:numPr>
          <w:ilvl w:val="0"/>
          <w:numId w:val="1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kern w:val="0"/>
          <w:sz w:val="32"/>
          <w:szCs w:val="32"/>
          <w:u w:val="none"/>
          <w:lang w:val="en-US" w:eastAsia="en-US" w:bidi="ar-SA"/>
        </w:rPr>
      </w:pPr>
      <w:r>
        <w:rPr>
          <w:rFonts w:hint="eastAsia" w:ascii="仿宋_GB2312" w:hAnsi="仿宋_GB2312" w:eastAsia="仿宋_GB2312" w:cs="仿宋_GB2312"/>
          <w:color w:val="auto"/>
          <w:kern w:val="0"/>
          <w:sz w:val="32"/>
          <w:szCs w:val="32"/>
          <w:u w:val="none"/>
          <w:lang w:val="en-US" w:eastAsia="en-US" w:bidi="ar-SA"/>
        </w:rPr>
        <w:t>法治建设经费项目自评综述：根据年初设定的绩效目标，项目自评得分</w:t>
      </w:r>
      <w:r>
        <w:rPr>
          <w:rFonts w:hint="eastAsia" w:ascii="仿宋_GB2312" w:hAnsi="仿宋_GB2312" w:eastAsia="仿宋_GB2312" w:cs="仿宋_GB2312"/>
          <w:color w:val="auto"/>
          <w:kern w:val="0"/>
          <w:sz w:val="32"/>
          <w:szCs w:val="32"/>
          <w:u w:val="none"/>
          <w:lang w:val="en-US" w:eastAsia="zh-CN" w:bidi="ar-SA"/>
        </w:rPr>
        <w:t>7.84</w:t>
      </w:r>
      <w:r>
        <w:rPr>
          <w:rFonts w:hint="eastAsia" w:ascii="仿宋_GB2312" w:hAnsi="仿宋_GB2312" w:eastAsia="仿宋_GB2312" w:cs="仿宋_GB2312"/>
          <w:color w:val="auto"/>
          <w:kern w:val="0"/>
          <w:sz w:val="32"/>
          <w:szCs w:val="32"/>
          <w:u w:val="none"/>
          <w:lang w:val="en-US" w:eastAsia="en-US" w:bidi="ar-SA"/>
        </w:rPr>
        <w:t>分。全年预算数为</w:t>
      </w:r>
      <w:r>
        <w:rPr>
          <w:rFonts w:hint="eastAsia" w:ascii="仿宋_GB2312" w:hAnsi="仿宋_GB2312" w:eastAsia="仿宋_GB2312" w:cs="仿宋_GB2312"/>
          <w:color w:val="auto"/>
          <w:kern w:val="0"/>
          <w:sz w:val="32"/>
          <w:szCs w:val="32"/>
          <w:u w:val="none"/>
          <w:lang w:val="en-US" w:eastAsia="zh-CN" w:bidi="ar-SA"/>
        </w:rPr>
        <w:t>45</w:t>
      </w:r>
      <w:r>
        <w:rPr>
          <w:rFonts w:hint="eastAsia" w:ascii="仿宋_GB2312" w:hAnsi="仿宋_GB2312" w:eastAsia="仿宋_GB2312" w:cs="仿宋_GB2312"/>
          <w:color w:val="auto"/>
          <w:kern w:val="0"/>
          <w:sz w:val="32"/>
          <w:szCs w:val="32"/>
          <w:u w:val="none"/>
          <w:lang w:val="en-US" w:eastAsia="en-US" w:bidi="ar-SA"/>
        </w:rPr>
        <w:t>万元，执行数为</w:t>
      </w:r>
      <w:r>
        <w:rPr>
          <w:rFonts w:hint="eastAsia" w:ascii="仿宋_GB2312" w:hAnsi="仿宋_GB2312" w:eastAsia="仿宋_GB2312" w:cs="仿宋_GB2312"/>
          <w:color w:val="auto"/>
          <w:kern w:val="0"/>
          <w:sz w:val="32"/>
          <w:szCs w:val="32"/>
          <w:u w:val="none"/>
          <w:lang w:val="en-US" w:eastAsia="zh-CN" w:bidi="ar-SA"/>
        </w:rPr>
        <w:t>35.29</w:t>
      </w:r>
      <w:r>
        <w:rPr>
          <w:rFonts w:hint="eastAsia" w:ascii="仿宋_GB2312" w:hAnsi="仿宋_GB2312" w:eastAsia="仿宋_GB2312" w:cs="仿宋_GB2312"/>
          <w:color w:val="auto"/>
          <w:kern w:val="0"/>
          <w:sz w:val="32"/>
          <w:szCs w:val="32"/>
          <w:u w:val="none"/>
          <w:lang w:val="en-US" w:eastAsia="en-US" w:bidi="ar-SA"/>
        </w:rPr>
        <w:t>万元，完成预算的</w:t>
      </w:r>
      <w:r>
        <w:rPr>
          <w:rFonts w:hint="eastAsia" w:ascii="仿宋_GB2312" w:hAnsi="仿宋_GB2312" w:eastAsia="仿宋_GB2312" w:cs="仿宋_GB2312"/>
          <w:color w:val="auto"/>
          <w:kern w:val="0"/>
          <w:sz w:val="32"/>
          <w:szCs w:val="32"/>
          <w:u w:val="none"/>
          <w:lang w:val="en-US" w:eastAsia="zh-CN" w:bidi="ar-SA"/>
        </w:rPr>
        <w:t>78.42</w:t>
      </w:r>
      <w:r>
        <w:rPr>
          <w:rFonts w:hint="eastAsia" w:ascii="仿宋_GB2312" w:hAnsi="仿宋_GB2312" w:eastAsia="仿宋_GB2312" w:cs="仿宋_GB2312"/>
          <w:color w:val="auto"/>
          <w:kern w:val="0"/>
          <w:sz w:val="32"/>
          <w:szCs w:val="32"/>
          <w:u w:val="none"/>
          <w:lang w:val="en-US" w:eastAsia="en-US" w:bidi="ar-SA"/>
        </w:rPr>
        <w:t>%。项目绩效目标完成情况：完成全面依法治市、法治政府建设、立法、行政执法监督工作，推进法治建设水平；完成行政复议体制改革，推动行政复议与应诉办案能力。发现的主要问题及原因：年度内</w:t>
      </w:r>
      <w:r>
        <w:rPr>
          <w:rFonts w:hint="eastAsia" w:ascii="仿宋_GB2312" w:hAnsi="仿宋_GB2312" w:eastAsia="仿宋_GB2312" w:cs="仿宋_GB2312"/>
          <w:color w:val="auto"/>
          <w:kern w:val="0"/>
          <w:sz w:val="32"/>
          <w:szCs w:val="32"/>
          <w:u w:val="none"/>
          <w:lang w:val="en-US" w:eastAsia="zh-CN" w:bidi="ar-SA"/>
        </w:rPr>
        <w:t>法治建设工作培训及会议开展较少，行政复议</w:t>
      </w:r>
      <w:r>
        <w:rPr>
          <w:rFonts w:hint="eastAsia" w:ascii="仿宋_GB2312" w:hAnsi="仿宋_GB2312" w:eastAsia="仿宋_GB2312" w:cs="仿宋_GB2312"/>
          <w:color w:val="auto"/>
          <w:kern w:val="0"/>
          <w:sz w:val="32"/>
          <w:szCs w:val="32"/>
          <w:u w:val="none"/>
          <w:lang w:val="en-US" w:eastAsia="en-US" w:bidi="ar-SA"/>
        </w:rPr>
        <w:t>案件</w:t>
      </w:r>
      <w:r>
        <w:rPr>
          <w:rFonts w:hint="eastAsia" w:ascii="仿宋_GB2312" w:hAnsi="仿宋_GB2312" w:eastAsia="仿宋_GB2312" w:cs="仿宋_GB2312"/>
          <w:color w:val="auto"/>
          <w:kern w:val="0"/>
          <w:sz w:val="32"/>
          <w:szCs w:val="32"/>
          <w:u w:val="none"/>
          <w:lang w:val="en-US" w:eastAsia="zh-CN" w:bidi="ar-SA"/>
        </w:rPr>
        <w:t>有所</w:t>
      </w:r>
      <w:r>
        <w:rPr>
          <w:rFonts w:hint="eastAsia" w:ascii="仿宋_GB2312" w:hAnsi="仿宋_GB2312" w:eastAsia="仿宋_GB2312" w:cs="仿宋_GB2312"/>
          <w:color w:val="auto"/>
          <w:kern w:val="0"/>
          <w:sz w:val="32"/>
          <w:szCs w:val="32"/>
          <w:u w:val="none"/>
          <w:lang w:val="en-US" w:eastAsia="en-US" w:bidi="ar-SA"/>
        </w:rPr>
        <w:t>减少</w:t>
      </w:r>
      <w:r>
        <w:rPr>
          <w:rFonts w:hint="eastAsia" w:ascii="仿宋_GB2312" w:hAnsi="仿宋_GB2312" w:eastAsia="仿宋_GB2312" w:cs="仿宋_GB2312"/>
          <w:color w:val="auto"/>
          <w:kern w:val="0"/>
          <w:sz w:val="32"/>
          <w:szCs w:val="32"/>
          <w:u w:val="none"/>
          <w:lang w:val="en-US" w:eastAsia="zh-CN" w:bidi="ar-SA"/>
        </w:rPr>
        <w:t>。</w:t>
      </w:r>
      <w:r>
        <w:rPr>
          <w:rFonts w:hint="eastAsia" w:ascii="仿宋_GB2312" w:hAnsi="仿宋_GB2312" w:eastAsia="仿宋_GB2312" w:cs="仿宋_GB2312"/>
          <w:color w:val="auto"/>
          <w:kern w:val="0"/>
          <w:sz w:val="32"/>
          <w:szCs w:val="32"/>
          <w:u w:val="none"/>
          <w:lang w:val="en-US" w:eastAsia="en-US" w:bidi="ar-SA"/>
        </w:rPr>
        <w:t>下一步改进措施：</w:t>
      </w:r>
      <w:r>
        <w:rPr>
          <w:rFonts w:hint="eastAsia" w:ascii="仿宋_GB2312" w:hAnsi="仿宋_GB2312" w:eastAsia="仿宋_GB2312" w:cs="仿宋_GB2312"/>
          <w:color w:val="auto"/>
          <w:kern w:val="0"/>
          <w:sz w:val="32"/>
          <w:szCs w:val="32"/>
          <w:u w:val="none"/>
          <w:lang w:val="en-US" w:eastAsia="zh-CN" w:bidi="ar-SA"/>
        </w:rPr>
        <w:t>加强法治建设工作业务培训及行政复议办案能力，持续提高法治建设水平</w:t>
      </w:r>
      <w:r>
        <w:rPr>
          <w:rFonts w:hint="eastAsia" w:ascii="仿宋_GB2312" w:hAnsi="仿宋_GB2312" w:eastAsia="仿宋_GB2312" w:cs="仿宋_GB2312"/>
          <w:color w:val="auto"/>
          <w:kern w:val="0"/>
          <w:sz w:val="32"/>
          <w:szCs w:val="32"/>
          <w:u w:val="none"/>
          <w:lang w:val="en-US" w:eastAsia="en-US" w:bidi="ar-SA"/>
        </w:rPr>
        <w:t>。</w:t>
      </w:r>
    </w:p>
    <w:p>
      <w:pPr>
        <w:keepNext w:val="0"/>
        <w:keepLines w:val="0"/>
        <w:pageBreakBefore w:val="0"/>
        <w:numPr>
          <w:ilvl w:val="0"/>
          <w:numId w:val="1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kern w:val="0"/>
          <w:sz w:val="32"/>
          <w:szCs w:val="32"/>
          <w:u w:val="none"/>
          <w:lang w:val="en-US" w:eastAsia="en-US" w:bidi="ar-SA"/>
        </w:rPr>
      </w:pPr>
      <w:r>
        <w:rPr>
          <w:rFonts w:hint="eastAsia" w:ascii="仿宋_GB2312" w:hAnsi="仿宋_GB2312" w:eastAsia="仿宋_GB2312" w:cs="仿宋_GB2312"/>
          <w:color w:val="auto"/>
          <w:kern w:val="0"/>
          <w:sz w:val="32"/>
          <w:szCs w:val="32"/>
          <w:u w:val="none"/>
          <w:lang w:val="en-US" w:eastAsia="en-US" w:bidi="ar-SA"/>
        </w:rPr>
        <w:t>公共法律服务工作经费项目自评综述：根据年初设定的绩效目标，项目自评得分</w:t>
      </w:r>
      <w:r>
        <w:rPr>
          <w:rFonts w:hint="eastAsia" w:ascii="仿宋_GB2312" w:hAnsi="仿宋_GB2312" w:eastAsia="仿宋_GB2312" w:cs="仿宋_GB2312"/>
          <w:color w:val="auto"/>
          <w:kern w:val="0"/>
          <w:sz w:val="32"/>
          <w:szCs w:val="32"/>
          <w:u w:val="none"/>
          <w:lang w:val="en-US" w:eastAsia="zh-CN" w:bidi="ar-SA"/>
        </w:rPr>
        <w:t>7.02</w:t>
      </w:r>
      <w:r>
        <w:rPr>
          <w:rFonts w:hint="eastAsia" w:ascii="仿宋_GB2312" w:hAnsi="仿宋_GB2312" w:eastAsia="仿宋_GB2312" w:cs="仿宋_GB2312"/>
          <w:color w:val="auto"/>
          <w:kern w:val="0"/>
          <w:sz w:val="32"/>
          <w:szCs w:val="32"/>
          <w:u w:val="none"/>
          <w:lang w:val="en-US" w:eastAsia="en-US" w:bidi="ar-SA"/>
        </w:rPr>
        <w:t>分。全年预算数为</w:t>
      </w:r>
      <w:r>
        <w:rPr>
          <w:rFonts w:hint="eastAsia" w:ascii="仿宋_GB2312" w:hAnsi="仿宋_GB2312" w:eastAsia="仿宋_GB2312" w:cs="仿宋_GB2312"/>
          <w:color w:val="auto"/>
          <w:kern w:val="0"/>
          <w:sz w:val="32"/>
          <w:szCs w:val="32"/>
          <w:u w:val="none"/>
          <w:lang w:val="en-US" w:eastAsia="zh-CN" w:bidi="ar-SA"/>
        </w:rPr>
        <w:t>19.8</w:t>
      </w:r>
      <w:r>
        <w:rPr>
          <w:rFonts w:hint="eastAsia" w:ascii="仿宋_GB2312" w:hAnsi="仿宋_GB2312" w:eastAsia="仿宋_GB2312" w:cs="仿宋_GB2312"/>
          <w:color w:val="auto"/>
          <w:kern w:val="0"/>
          <w:sz w:val="32"/>
          <w:szCs w:val="32"/>
          <w:u w:val="none"/>
          <w:lang w:val="en-US" w:eastAsia="en-US" w:bidi="ar-SA"/>
        </w:rPr>
        <w:t>万元，执行数为</w:t>
      </w:r>
      <w:r>
        <w:rPr>
          <w:rFonts w:hint="eastAsia" w:ascii="仿宋_GB2312" w:hAnsi="仿宋_GB2312" w:eastAsia="仿宋_GB2312" w:cs="仿宋_GB2312"/>
          <w:color w:val="auto"/>
          <w:kern w:val="0"/>
          <w:sz w:val="32"/>
          <w:szCs w:val="32"/>
          <w:u w:val="none"/>
          <w:lang w:val="en-US" w:eastAsia="zh-CN" w:bidi="ar-SA"/>
        </w:rPr>
        <w:t>13.9</w:t>
      </w:r>
      <w:r>
        <w:rPr>
          <w:rFonts w:hint="eastAsia" w:ascii="仿宋_GB2312" w:hAnsi="仿宋_GB2312" w:eastAsia="仿宋_GB2312" w:cs="仿宋_GB2312"/>
          <w:color w:val="auto"/>
          <w:kern w:val="0"/>
          <w:sz w:val="32"/>
          <w:szCs w:val="32"/>
          <w:u w:val="none"/>
          <w:lang w:val="en-US" w:eastAsia="en-US" w:bidi="ar-SA"/>
        </w:rPr>
        <w:t>万元，完成预算的</w:t>
      </w:r>
      <w:r>
        <w:rPr>
          <w:rFonts w:hint="eastAsia" w:ascii="仿宋_GB2312" w:hAnsi="仿宋_GB2312" w:eastAsia="仿宋_GB2312" w:cs="仿宋_GB2312"/>
          <w:color w:val="auto"/>
          <w:kern w:val="0"/>
          <w:sz w:val="32"/>
          <w:szCs w:val="32"/>
          <w:u w:val="none"/>
          <w:lang w:val="en-US" w:eastAsia="zh-CN" w:bidi="ar-SA"/>
        </w:rPr>
        <w:t>70.2</w:t>
      </w:r>
      <w:r>
        <w:rPr>
          <w:rFonts w:hint="eastAsia" w:ascii="仿宋_GB2312" w:hAnsi="仿宋_GB2312" w:eastAsia="仿宋_GB2312" w:cs="仿宋_GB2312"/>
          <w:color w:val="auto"/>
          <w:kern w:val="0"/>
          <w:sz w:val="32"/>
          <w:szCs w:val="32"/>
          <w:u w:val="none"/>
          <w:lang w:val="en-US" w:eastAsia="en-US" w:bidi="ar-SA"/>
        </w:rPr>
        <w:t>%。项目绩效目标完成情况：完成法律援助值班律师服务费发放、法律援助案件评查工作，完成公共法律服务工作出差，提高公共法律服务水平</w:t>
      </w:r>
      <w:r>
        <w:rPr>
          <w:rFonts w:hint="eastAsia" w:ascii="仿宋_GB2312" w:hAnsi="仿宋_GB2312" w:eastAsia="仿宋_GB2312" w:cs="仿宋_GB2312"/>
          <w:color w:val="auto"/>
          <w:kern w:val="0"/>
          <w:sz w:val="32"/>
          <w:szCs w:val="32"/>
          <w:u w:val="none"/>
          <w:lang w:val="en-US" w:eastAsia="zh-CN" w:bidi="ar-SA"/>
        </w:rPr>
        <w:t>。</w:t>
      </w:r>
      <w:r>
        <w:rPr>
          <w:rFonts w:hint="eastAsia" w:ascii="仿宋_GB2312" w:hAnsi="仿宋_GB2312" w:eastAsia="仿宋_GB2312" w:cs="仿宋_GB2312"/>
          <w:color w:val="auto"/>
          <w:kern w:val="0"/>
          <w:sz w:val="32"/>
          <w:szCs w:val="32"/>
          <w:u w:val="none"/>
          <w:lang w:val="en-US" w:eastAsia="en-US" w:bidi="ar-SA"/>
        </w:rPr>
        <w:t>发现的主要问题及原因：</w:t>
      </w:r>
      <w:r>
        <w:rPr>
          <w:rFonts w:hint="eastAsia" w:ascii="仿宋_GB2312" w:hAnsi="仿宋_GB2312" w:eastAsia="仿宋_GB2312" w:cs="仿宋_GB2312"/>
          <w:color w:val="auto"/>
          <w:kern w:val="0"/>
          <w:sz w:val="32"/>
          <w:szCs w:val="32"/>
          <w:u w:val="none"/>
          <w:lang w:val="en-US" w:eastAsia="zh-CN" w:bidi="ar-SA"/>
        </w:rPr>
        <w:t>由于本年度聘用法律顾问合同尚未到期，故本年度</w:t>
      </w:r>
      <w:r>
        <w:rPr>
          <w:rFonts w:hint="eastAsia" w:ascii="仿宋_GB2312" w:hAnsi="仿宋_GB2312" w:eastAsia="仿宋_GB2312" w:cs="仿宋_GB2312"/>
          <w:color w:val="auto"/>
          <w:kern w:val="0"/>
          <w:sz w:val="32"/>
          <w:szCs w:val="32"/>
          <w:u w:val="none"/>
          <w:lang w:val="en-US" w:eastAsia="en-US" w:bidi="ar-SA"/>
        </w:rPr>
        <w:t>未使用公法经费支付法律顾问费</w:t>
      </w:r>
      <w:r>
        <w:rPr>
          <w:rFonts w:hint="eastAsia" w:ascii="仿宋_GB2312" w:hAnsi="仿宋_GB2312" w:eastAsia="仿宋_GB2312" w:cs="仿宋_GB2312"/>
          <w:color w:val="auto"/>
          <w:kern w:val="0"/>
          <w:sz w:val="32"/>
          <w:szCs w:val="32"/>
          <w:u w:val="none"/>
          <w:lang w:val="en-US" w:eastAsia="zh-CN" w:bidi="ar-SA"/>
        </w:rPr>
        <w:t>。</w:t>
      </w:r>
      <w:r>
        <w:rPr>
          <w:rFonts w:hint="eastAsia" w:ascii="仿宋_GB2312" w:hAnsi="仿宋_GB2312" w:eastAsia="仿宋_GB2312" w:cs="仿宋_GB2312"/>
          <w:color w:val="auto"/>
          <w:kern w:val="0"/>
          <w:sz w:val="32"/>
          <w:szCs w:val="32"/>
          <w:u w:val="none"/>
          <w:lang w:val="en-US" w:eastAsia="en-US" w:bidi="ar-SA"/>
        </w:rPr>
        <w:t>下一步改进措施：</w:t>
      </w:r>
      <w:r>
        <w:rPr>
          <w:rFonts w:hint="eastAsia" w:ascii="仿宋_GB2312" w:hAnsi="仿宋_GB2312" w:eastAsia="仿宋_GB2312" w:cs="仿宋_GB2312"/>
          <w:color w:val="auto"/>
          <w:kern w:val="0"/>
          <w:sz w:val="32"/>
          <w:szCs w:val="32"/>
          <w:u w:val="none"/>
          <w:lang w:val="en-US" w:eastAsia="zh-CN" w:bidi="ar-SA"/>
        </w:rPr>
        <w:t>进一步合理安排预算，强化法律援助评查工作</w:t>
      </w:r>
      <w:r>
        <w:rPr>
          <w:rFonts w:hint="eastAsia" w:ascii="仿宋_GB2312" w:hAnsi="仿宋_GB2312" w:eastAsia="仿宋_GB2312" w:cs="仿宋_GB2312"/>
          <w:color w:val="auto"/>
          <w:kern w:val="0"/>
          <w:sz w:val="32"/>
          <w:szCs w:val="32"/>
          <w:u w:val="none"/>
          <w:lang w:val="en-US" w:eastAsia="en-US" w:bidi="ar-SA"/>
        </w:rPr>
        <w:t>，提高公共法律服务水平。</w:t>
      </w:r>
    </w:p>
    <w:p>
      <w:pPr>
        <w:keepNext w:val="0"/>
        <w:keepLines w:val="0"/>
        <w:pageBreakBefore w:val="0"/>
        <w:numPr>
          <w:ilvl w:val="0"/>
          <w:numId w:val="1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kern w:val="0"/>
          <w:sz w:val="32"/>
          <w:szCs w:val="32"/>
          <w:u w:val="none"/>
          <w:lang w:val="en-US" w:eastAsia="en-US" w:bidi="ar-SA"/>
        </w:rPr>
      </w:pPr>
      <w:r>
        <w:rPr>
          <w:rFonts w:hint="eastAsia" w:ascii="仿宋_GB2312" w:hAnsi="仿宋_GB2312" w:eastAsia="仿宋_GB2312" w:cs="仿宋_GB2312"/>
          <w:color w:val="auto"/>
          <w:kern w:val="0"/>
          <w:sz w:val="32"/>
          <w:szCs w:val="32"/>
          <w:u w:val="none"/>
          <w:lang w:val="en-US" w:eastAsia="en-US" w:bidi="ar-SA"/>
        </w:rPr>
        <w:t>基层司法业务经费项目自评综述：根据年初设定的绩效目标，项目自评得分</w:t>
      </w:r>
      <w:r>
        <w:rPr>
          <w:rFonts w:hint="eastAsia" w:ascii="仿宋_GB2312" w:hAnsi="仿宋_GB2312" w:eastAsia="仿宋_GB2312" w:cs="仿宋_GB2312"/>
          <w:color w:val="auto"/>
          <w:kern w:val="0"/>
          <w:sz w:val="32"/>
          <w:szCs w:val="32"/>
          <w:u w:val="none"/>
          <w:lang w:val="en-US" w:eastAsia="zh-CN" w:bidi="ar-SA"/>
        </w:rPr>
        <w:t>6.45</w:t>
      </w:r>
      <w:r>
        <w:rPr>
          <w:rFonts w:hint="eastAsia" w:ascii="仿宋_GB2312" w:hAnsi="仿宋_GB2312" w:eastAsia="仿宋_GB2312" w:cs="仿宋_GB2312"/>
          <w:color w:val="auto"/>
          <w:kern w:val="0"/>
          <w:sz w:val="32"/>
          <w:szCs w:val="32"/>
          <w:u w:val="none"/>
          <w:lang w:val="en-US" w:eastAsia="en-US" w:bidi="ar-SA"/>
        </w:rPr>
        <w:t>分。全年预算数为</w:t>
      </w:r>
      <w:r>
        <w:rPr>
          <w:rFonts w:hint="eastAsia" w:ascii="仿宋_GB2312" w:hAnsi="仿宋_GB2312" w:eastAsia="仿宋_GB2312" w:cs="仿宋_GB2312"/>
          <w:color w:val="auto"/>
          <w:kern w:val="0"/>
          <w:sz w:val="32"/>
          <w:szCs w:val="32"/>
          <w:u w:val="none"/>
          <w:lang w:val="en-US" w:eastAsia="zh-CN" w:bidi="ar-SA"/>
        </w:rPr>
        <w:t>58</w:t>
      </w:r>
      <w:r>
        <w:rPr>
          <w:rFonts w:hint="eastAsia" w:ascii="仿宋_GB2312" w:hAnsi="仿宋_GB2312" w:eastAsia="仿宋_GB2312" w:cs="仿宋_GB2312"/>
          <w:color w:val="auto"/>
          <w:kern w:val="0"/>
          <w:sz w:val="32"/>
          <w:szCs w:val="32"/>
          <w:u w:val="none"/>
          <w:lang w:val="en-US" w:eastAsia="en-US" w:bidi="ar-SA"/>
        </w:rPr>
        <w:t>万元，执行数为</w:t>
      </w:r>
      <w:r>
        <w:rPr>
          <w:rFonts w:hint="eastAsia" w:ascii="仿宋_GB2312" w:hAnsi="仿宋_GB2312" w:eastAsia="仿宋_GB2312" w:cs="仿宋_GB2312"/>
          <w:color w:val="auto"/>
          <w:kern w:val="0"/>
          <w:sz w:val="32"/>
          <w:szCs w:val="32"/>
          <w:u w:val="none"/>
          <w:lang w:val="en-US" w:eastAsia="zh-CN" w:bidi="ar-SA"/>
        </w:rPr>
        <w:t>37.41</w:t>
      </w:r>
      <w:r>
        <w:rPr>
          <w:rFonts w:hint="eastAsia" w:ascii="仿宋_GB2312" w:hAnsi="仿宋_GB2312" w:eastAsia="仿宋_GB2312" w:cs="仿宋_GB2312"/>
          <w:color w:val="auto"/>
          <w:kern w:val="0"/>
          <w:sz w:val="32"/>
          <w:szCs w:val="32"/>
          <w:u w:val="none"/>
          <w:lang w:val="en-US" w:eastAsia="en-US" w:bidi="ar-SA"/>
        </w:rPr>
        <w:t>万元，完成预算的</w:t>
      </w:r>
      <w:r>
        <w:rPr>
          <w:rFonts w:hint="eastAsia" w:ascii="仿宋_GB2312" w:hAnsi="仿宋_GB2312" w:eastAsia="仿宋_GB2312" w:cs="仿宋_GB2312"/>
          <w:color w:val="auto"/>
          <w:kern w:val="0"/>
          <w:sz w:val="32"/>
          <w:szCs w:val="32"/>
          <w:u w:val="none"/>
          <w:lang w:val="en-US" w:eastAsia="zh-CN" w:bidi="ar-SA"/>
        </w:rPr>
        <w:t>64.5</w:t>
      </w:r>
      <w:r>
        <w:rPr>
          <w:rFonts w:hint="eastAsia" w:ascii="仿宋_GB2312" w:hAnsi="仿宋_GB2312" w:eastAsia="仿宋_GB2312" w:cs="仿宋_GB2312"/>
          <w:color w:val="auto"/>
          <w:kern w:val="0"/>
          <w:sz w:val="32"/>
          <w:szCs w:val="32"/>
          <w:u w:val="none"/>
          <w:lang w:val="en-US" w:eastAsia="en-US" w:bidi="ar-SA"/>
        </w:rPr>
        <w:t>%。项目绩效目标完成情况：完成基层司法业务培训，提升业务能力；完成人民调解员调解案件补贴发放，保障矛盾纠纷调解工作</w:t>
      </w:r>
      <w:r>
        <w:rPr>
          <w:rFonts w:hint="eastAsia" w:ascii="仿宋_GB2312" w:hAnsi="仿宋_GB2312" w:eastAsia="仿宋_GB2312" w:cs="仿宋_GB2312"/>
          <w:color w:val="auto"/>
          <w:kern w:val="0"/>
          <w:sz w:val="32"/>
          <w:szCs w:val="32"/>
          <w:u w:val="none"/>
          <w:lang w:val="en-US" w:eastAsia="zh-CN" w:bidi="ar-SA"/>
        </w:rPr>
        <w:t>；</w:t>
      </w:r>
      <w:r>
        <w:rPr>
          <w:rFonts w:hint="eastAsia" w:ascii="仿宋_GB2312" w:hAnsi="仿宋_GB2312" w:eastAsia="仿宋_GB2312" w:cs="仿宋_GB2312"/>
          <w:color w:val="auto"/>
          <w:kern w:val="0"/>
          <w:sz w:val="32"/>
          <w:szCs w:val="32"/>
          <w:u w:val="none"/>
          <w:lang w:val="en-US" w:eastAsia="en-US" w:bidi="ar-SA"/>
        </w:rPr>
        <w:t>完成基层司法业务工作出差，提升基层司法业务工作水平</w:t>
      </w:r>
      <w:r>
        <w:rPr>
          <w:rFonts w:hint="eastAsia" w:ascii="仿宋_GB2312" w:hAnsi="仿宋_GB2312" w:eastAsia="仿宋_GB2312" w:cs="仿宋_GB2312"/>
          <w:color w:val="auto"/>
          <w:kern w:val="0"/>
          <w:sz w:val="32"/>
          <w:szCs w:val="32"/>
          <w:u w:val="none"/>
          <w:lang w:val="en-US" w:eastAsia="zh-CN" w:bidi="ar-SA"/>
        </w:rPr>
        <w:t>。</w:t>
      </w:r>
      <w:r>
        <w:rPr>
          <w:rFonts w:hint="eastAsia" w:ascii="仿宋_GB2312" w:hAnsi="仿宋_GB2312" w:eastAsia="仿宋_GB2312" w:cs="仿宋_GB2312"/>
          <w:color w:val="auto"/>
          <w:kern w:val="0"/>
          <w:sz w:val="32"/>
          <w:szCs w:val="32"/>
          <w:u w:val="none"/>
          <w:lang w:val="en-US" w:eastAsia="en-US" w:bidi="ar-SA"/>
        </w:rPr>
        <w:t>发现的主要问题及原因：年度内</w:t>
      </w:r>
      <w:r>
        <w:rPr>
          <w:rFonts w:hint="eastAsia" w:ascii="仿宋_GB2312" w:hAnsi="仿宋_GB2312" w:eastAsia="仿宋_GB2312" w:cs="仿宋_GB2312"/>
          <w:color w:val="auto"/>
          <w:kern w:val="0"/>
          <w:sz w:val="32"/>
          <w:szCs w:val="32"/>
          <w:u w:val="none"/>
          <w:lang w:val="en-US" w:eastAsia="zh-CN" w:bidi="ar-SA"/>
        </w:rPr>
        <w:t>人民调解案件及人民监督员履职评议尚未审核完成，导致本年人民调解案件补贴和人民监督员履职评议费尚未完成支付。</w:t>
      </w:r>
      <w:r>
        <w:rPr>
          <w:rFonts w:hint="eastAsia" w:ascii="仿宋_GB2312" w:hAnsi="仿宋_GB2312" w:eastAsia="仿宋_GB2312" w:cs="仿宋_GB2312"/>
          <w:color w:val="auto"/>
          <w:kern w:val="0"/>
          <w:sz w:val="32"/>
          <w:szCs w:val="32"/>
          <w:u w:val="none"/>
          <w:lang w:val="en-US" w:eastAsia="en-US" w:bidi="ar-SA"/>
        </w:rPr>
        <w:t>下一步改进措施：</w:t>
      </w:r>
      <w:r>
        <w:rPr>
          <w:rFonts w:hint="eastAsia" w:ascii="仿宋_GB2312" w:hAnsi="仿宋_GB2312" w:eastAsia="仿宋_GB2312" w:cs="仿宋_GB2312"/>
          <w:color w:val="auto"/>
          <w:kern w:val="0"/>
          <w:sz w:val="32"/>
          <w:szCs w:val="32"/>
          <w:u w:val="none"/>
          <w:lang w:val="en-US" w:eastAsia="zh-CN" w:bidi="ar-SA"/>
        </w:rPr>
        <w:t>加强基层司法业务培训，加强调解案件办案费保障能力，加快人民调解案件及人民监督员履职评议审核工作</w:t>
      </w:r>
      <w:r>
        <w:rPr>
          <w:rFonts w:hint="eastAsia" w:ascii="仿宋_GB2312" w:hAnsi="仿宋_GB2312" w:eastAsia="仿宋_GB2312" w:cs="仿宋_GB2312"/>
          <w:color w:val="auto"/>
          <w:kern w:val="0"/>
          <w:sz w:val="32"/>
          <w:szCs w:val="32"/>
          <w:u w:val="none"/>
          <w:lang w:val="en-US" w:eastAsia="en-US" w:bidi="ar-SA"/>
        </w:rPr>
        <w:t>。</w:t>
      </w:r>
    </w:p>
    <w:p>
      <w:pPr>
        <w:keepNext w:val="0"/>
        <w:keepLines w:val="0"/>
        <w:pageBreakBefore w:val="0"/>
        <w:numPr>
          <w:ilvl w:val="0"/>
          <w:numId w:val="1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kern w:val="0"/>
          <w:sz w:val="32"/>
          <w:szCs w:val="32"/>
          <w:u w:val="none"/>
          <w:lang w:val="en-US" w:eastAsia="en-US" w:bidi="ar-SA"/>
        </w:rPr>
      </w:pPr>
      <w:r>
        <w:rPr>
          <w:rFonts w:hint="eastAsia" w:ascii="仿宋_GB2312" w:hAnsi="仿宋_GB2312" w:eastAsia="仿宋_GB2312" w:cs="仿宋_GB2312"/>
          <w:color w:val="auto"/>
          <w:kern w:val="0"/>
          <w:sz w:val="32"/>
          <w:szCs w:val="32"/>
          <w:u w:val="none"/>
          <w:lang w:val="en-US" w:eastAsia="en-US" w:bidi="ar-SA"/>
        </w:rPr>
        <w:t>普法宣传经费项目自评综述：根据年初设定的绩效目标，项目自评得分</w:t>
      </w:r>
      <w:r>
        <w:rPr>
          <w:rFonts w:hint="eastAsia" w:ascii="仿宋_GB2312" w:hAnsi="仿宋_GB2312" w:eastAsia="仿宋_GB2312" w:cs="仿宋_GB2312"/>
          <w:color w:val="auto"/>
          <w:kern w:val="0"/>
          <w:sz w:val="32"/>
          <w:szCs w:val="32"/>
          <w:u w:val="none"/>
          <w:lang w:val="en-US" w:eastAsia="zh-CN" w:bidi="ar-SA"/>
        </w:rPr>
        <w:t>4.59</w:t>
      </w:r>
      <w:r>
        <w:rPr>
          <w:rFonts w:hint="eastAsia" w:ascii="仿宋_GB2312" w:hAnsi="仿宋_GB2312" w:eastAsia="仿宋_GB2312" w:cs="仿宋_GB2312"/>
          <w:color w:val="auto"/>
          <w:kern w:val="0"/>
          <w:sz w:val="32"/>
          <w:szCs w:val="32"/>
          <w:u w:val="none"/>
          <w:lang w:val="en-US" w:eastAsia="en-US" w:bidi="ar-SA"/>
        </w:rPr>
        <w:t>分。全年预算数为</w:t>
      </w:r>
      <w:r>
        <w:rPr>
          <w:rFonts w:hint="eastAsia" w:ascii="仿宋_GB2312" w:hAnsi="仿宋_GB2312" w:eastAsia="仿宋_GB2312" w:cs="仿宋_GB2312"/>
          <w:color w:val="auto"/>
          <w:kern w:val="0"/>
          <w:sz w:val="32"/>
          <w:szCs w:val="32"/>
          <w:u w:val="none"/>
          <w:lang w:val="en-US" w:eastAsia="zh-CN" w:bidi="ar-SA"/>
        </w:rPr>
        <w:t>63</w:t>
      </w:r>
      <w:r>
        <w:rPr>
          <w:rFonts w:hint="eastAsia" w:ascii="仿宋_GB2312" w:hAnsi="仿宋_GB2312" w:eastAsia="仿宋_GB2312" w:cs="仿宋_GB2312"/>
          <w:color w:val="auto"/>
          <w:kern w:val="0"/>
          <w:sz w:val="32"/>
          <w:szCs w:val="32"/>
          <w:u w:val="none"/>
          <w:lang w:val="en-US" w:eastAsia="en-US" w:bidi="ar-SA"/>
        </w:rPr>
        <w:t>万元，执行数为</w:t>
      </w:r>
      <w:r>
        <w:rPr>
          <w:rFonts w:hint="eastAsia" w:ascii="仿宋_GB2312" w:hAnsi="仿宋_GB2312" w:eastAsia="仿宋_GB2312" w:cs="仿宋_GB2312"/>
          <w:color w:val="auto"/>
          <w:kern w:val="0"/>
          <w:sz w:val="32"/>
          <w:szCs w:val="32"/>
          <w:u w:val="none"/>
          <w:lang w:val="en-US" w:eastAsia="zh-CN" w:bidi="ar-SA"/>
        </w:rPr>
        <w:t>28.93</w:t>
      </w:r>
      <w:r>
        <w:rPr>
          <w:rFonts w:hint="eastAsia" w:ascii="仿宋_GB2312" w:hAnsi="仿宋_GB2312" w:eastAsia="仿宋_GB2312" w:cs="仿宋_GB2312"/>
          <w:color w:val="auto"/>
          <w:kern w:val="0"/>
          <w:sz w:val="32"/>
          <w:szCs w:val="32"/>
          <w:u w:val="none"/>
          <w:lang w:val="en-US" w:eastAsia="en-US" w:bidi="ar-SA"/>
        </w:rPr>
        <w:t>万元，完成预算的</w:t>
      </w:r>
      <w:r>
        <w:rPr>
          <w:rFonts w:hint="eastAsia" w:ascii="仿宋_GB2312" w:hAnsi="仿宋_GB2312" w:eastAsia="仿宋_GB2312" w:cs="仿宋_GB2312"/>
          <w:color w:val="auto"/>
          <w:kern w:val="0"/>
          <w:sz w:val="32"/>
          <w:szCs w:val="32"/>
          <w:u w:val="none"/>
          <w:lang w:val="en-US" w:eastAsia="zh-CN" w:bidi="ar-SA"/>
        </w:rPr>
        <w:t>45.92</w:t>
      </w:r>
      <w:r>
        <w:rPr>
          <w:rFonts w:hint="eastAsia" w:ascii="仿宋_GB2312" w:hAnsi="仿宋_GB2312" w:eastAsia="仿宋_GB2312" w:cs="仿宋_GB2312"/>
          <w:color w:val="auto"/>
          <w:kern w:val="0"/>
          <w:sz w:val="32"/>
          <w:szCs w:val="32"/>
          <w:u w:val="none"/>
          <w:lang w:val="en-US" w:eastAsia="en-US" w:bidi="ar-SA"/>
        </w:rPr>
        <w:t>%。项目绩效目标完成情况：完成了年度普法宣传工作任务，完成了“八五”普法</w:t>
      </w:r>
      <w:r>
        <w:rPr>
          <w:rFonts w:hint="eastAsia" w:ascii="仿宋_GB2312" w:hAnsi="仿宋_GB2312" w:eastAsia="仿宋_GB2312" w:cs="仿宋_GB2312"/>
          <w:color w:val="auto"/>
          <w:kern w:val="0"/>
          <w:sz w:val="32"/>
          <w:szCs w:val="32"/>
          <w:u w:val="none"/>
          <w:lang w:val="en-US" w:eastAsia="zh-CN" w:bidi="ar-SA"/>
        </w:rPr>
        <w:t>宣传、督导等</w:t>
      </w:r>
      <w:r>
        <w:rPr>
          <w:rFonts w:hint="eastAsia" w:ascii="仿宋_GB2312" w:hAnsi="仿宋_GB2312" w:eastAsia="仿宋_GB2312" w:cs="仿宋_GB2312"/>
          <w:color w:val="auto"/>
          <w:kern w:val="0"/>
          <w:sz w:val="32"/>
          <w:szCs w:val="32"/>
          <w:u w:val="none"/>
          <w:lang w:val="en-US" w:eastAsia="en-US" w:bidi="ar-SA"/>
        </w:rPr>
        <w:t>各项工作任务，有效提高了普法依法治理能力。发现的主要问题及原因：部分</w:t>
      </w:r>
      <w:r>
        <w:rPr>
          <w:rFonts w:hint="eastAsia" w:ascii="仿宋_GB2312" w:hAnsi="仿宋_GB2312" w:eastAsia="仿宋_GB2312" w:cs="仿宋_GB2312"/>
          <w:color w:val="auto"/>
          <w:kern w:val="0"/>
          <w:sz w:val="32"/>
          <w:szCs w:val="32"/>
          <w:u w:val="none"/>
          <w:lang w:val="en-US" w:eastAsia="zh-CN" w:bidi="ar-SA"/>
        </w:rPr>
        <w:t>宣传活动、</w:t>
      </w:r>
      <w:r>
        <w:rPr>
          <w:rFonts w:hint="eastAsia" w:ascii="仿宋_GB2312" w:hAnsi="仿宋_GB2312" w:eastAsia="仿宋_GB2312" w:cs="仿宋_GB2312"/>
          <w:color w:val="auto"/>
          <w:kern w:val="0"/>
          <w:sz w:val="32"/>
          <w:szCs w:val="32"/>
          <w:u w:val="none"/>
          <w:lang w:val="en-US" w:eastAsia="en-US" w:bidi="ar-SA"/>
        </w:rPr>
        <w:t>检查督导</w:t>
      </w:r>
      <w:r>
        <w:rPr>
          <w:rFonts w:hint="eastAsia" w:ascii="仿宋_GB2312" w:hAnsi="仿宋_GB2312" w:eastAsia="仿宋_GB2312" w:cs="仿宋_GB2312"/>
          <w:color w:val="auto"/>
          <w:kern w:val="0"/>
          <w:sz w:val="32"/>
          <w:szCs w:val="32"/>
          <w:u w:val="none"/>
          <w:lang w:val="en-US" w:eastAsia="zh-CN" w:bidi="ar-SA"/>
        </w:rPr>
        <w:t>等</w:t>
      </w:r>
      <w:r>
        <w:rPr>
          <w:rFonts w:hint="eastAsia" w:ascii="仿宋_GB2312" w:hAnsi="仿宋_GB2312" w:eastAsia="仿宋_GB2312" w:cs="仿宋_GB2312"/>
          <w:color w:val="auto"/>
          <w:kern w:val="0"/>
          <w:sz w:val="32"/>
          <w:szCs w:val="32"/>
          <w:u w:val="none"/>
          <w:lang w:val="en-US" w:eastAsia="en-US" w:bidi="ar-SA"/>
        </w:rPr>
        <w:t>“八五”普法工作未能开展。下一步改进措施：</w:t>
      </w:r>
      <w:r>
        <w:rPr>
          <w:rFonts w:hint="eastAsia" w:ascii="仿宋_GB2312" w:hAnsi="仿宋_GB2312" w:eastAsia="仿宋_GB2312" w:cs="仿宋_GB2312"/>
          <w:color w:val="auto"/>
          <w:kern w:val="0"/>
          <w:sz w:val="32"/>
          <w:szCs w:val="32"/>
          <w:u w:val="none"/>
          <w:lang w:val="en-US" w:eastAsia="zh-CN" w:bidi="ar-SA"/>
        </w:rPr>
        <w:t>加快“八五”普法各项工作的逐步推进</w:t>
      </w:r>
      <w:r>
        <w:rPr>
          <w:rFonts w:hint="eastAsia" w:ascii="仿宋_GB2312" w:hAnsi="仿宋_GB2312" w:eastAsia="仿宋_GB2312" w:cs="仿宋_GB2312"/>
          <w:color w:val="auto"/>
          <w:kern w:val="0"/>
          <w:sz w:val="32"/>
          <w:szCs w:val="32"/>
          <w:u w:val="none"/>
          <w:lang w:val="en-US" w:eastAsia="en-US" w:bidi="ar-SA"/>
        </w:rPr>
        <w:t>。</w:t>
      </w:r>
    </w:p>
    <w:p>
      <w:pPr>
        <w:keepNext w:val="0"/>
        <w:keepLines w:val="0"/>
        <w:pageBreakBefore w:val="0"/>
        <w:numPr>
          <w:ilvl w:val="0"/>
          <w:numId w:val="1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kern w:val="0"/>
          <w:sz w:val="32"/>
          <w:szCs w:val="32"/>
          <w:u w:val="none"/>
          <w:lang w:val="en-US" w:eastAsia="en-US" w:bidi="ar-SA"/>
        </w:rPr>
      </w:pPr>
      <w:r>
        <w:rPr>
          <w:rFonts w:hint="eastAsia" w:ascii="仿宋_GB2312" w:hAnsi="仿宋_GB2312" w:eastAsia="仿宋_GB2312" w:cs="仿宋_GB2312"/>
          <w:color w:val="auto"/>
          <w:kern w:val="0"/>
          <w:sz w:val="32"/>
          <w:szCs w:val="32"/>
          <w:u w:val="none"/>
          <w:lang w:val="en-US" w:eastAsia="en-US" w:bidi="ar-SA"/>
        </w:rPr>
        <w:t>社区矫正工作经费项目自评综述：根据年初设定的绩效目标，项目自评得分</w:t>
      </w:r>
      <w:r>
        <w:rPr>
          <w:rFonts w:hint="eastAsia" w:ascii="仿宋_GB2312" w:hAnsi="仿宋_GB2312" w:eastAsia="仿宋_GB2312" w:cs="仿宋_GB2312"/>
          <w:color w:val="auto"/>
          <w:kern w:val="0"/>
          <w:sz w:val="32"/>
          <w:szCs w:val="32"/>
          <w:u w:val="none"/>
          <w:lang w:val="en-US" w:eastAsia="zh-CN" w:bidi="ar-SA"/>
        </w:rPr>
        <w:t>4.28</w:t>
      </w:r>
      <w:r>
        <w:rPr>
          <w:rFonts w:hint="eastAsia" w:ascii="仿宋_GB2312" w:hAnsi="仿宋_GB2312" w:eastAsia="仿宋_GB2312" w:cs="仿宋_GB2312"/>
          <w:color w:val="auto"/>
          <w:kern w:val="0"/>
          <w:sz w:val="32"/>
          <w:szCs w:val="32"/>
          <w:u w:val="none"/>
          <w:lang w:val="en-US" w:eastAsia="en-US" w:bidi="ar-SA"/>
        </w:rPr>
        <w:t>分。全年预算数为</w:t>
      </w:r>
      <w:r>
        <w:rPr>
          <w:rFonts w:hint="eastAsia" w:ascii="仿宋_GB2312" w:hAnsi="仿宋_GB2312" w:eastAsia="仿宋_GB2312" w:cs="仿宋_GB2312"/>
          <w:color w:val="auto"/>
          <w:kern w:val="0"/>
          <w:sz w:val="32"/>
          <w:szCs w:val="32"/>
          <w:u w:val="none"/>
          <w:lang w:val="en-US" w:eastAsia="zh-CN" w:bidi="ar-SA"/>
        </w:rPr>
        <w:t>18</w:t>
      </w:r>
      <w:r>
        <w:rPr>
          <w:rFonts w:hint="eastAsia" w:ascii="仿宋_GB2312" w:hAnsi="仿宋_GB2312" w:eastAsia="仿宋_GB2312" w:cs="仿宋_GB2312"/>
          <w:color w:val="auto"/>
          <w:kern w:val="0"/>
          <w:sz w:val="32"/>
          <w:szCs w:val="32"/>
          <w:u w:val="none"/>
          <w:lang w:val="en-US" w:eastAsia="en-US" w:bidi="ar-SA"/>
        </w:rPr>
        <w:t>万元，执行数为</w:t>
      </w:r>
      <w:r>
        <w:rPr>
          <w:rFonts w:hint="eastAsia" w:ascii="仿宋_GB2312" w:hAnsi="仿宋_GB2312" w:eastAsia="仿宋_GB2312" w:cs="仿宋_GB2312"/>
          <w:color w:val="auto"/>
          <w:kern w:val="0"/>
          <w:sz w:val="32"/>
          <w:szCs w:val="32"/>
          <w:u w:val="none"/>
          <w:lang w:val="en-US" w:eastAsia="zh-CN" w:bidi="ar-SA"/>
        </w:rPr>
        <w:t>7.7</w:t>
      </w:r>
      <w:r>
        <w:rPr>
          <w:rFonts w:hint="eastAsia" w:ascii="仿宋_GB2312" w:hAnsi="仿宋_GB2312" w:eastAsia="仿宋_GB2312" w:cs="仿宋_GB2312"/>
          <w:color w:val="auto"/>
          <w:kern w:val="0"/>
          <w:sz w:val="32"/>
          <w:szCs w:val="32"/>
          <w:u w:val="none"/>
          <w:lang w:val="en-US" w:eastAsia="en-US" w:bidi="ar-SA"/>
        </w:rPr>
        <w:t>万元，完成预算的</w:t>
      </w:r>
      <w:r>
        <w:rPr>
          <w:rFonts w:hint="eastAsia" w:ascii="仿宋_GB2312" w:hAnsi="仿宋_GB2312" w:eastAsia="仿宋_GB2312" w:cs="仿宋_GB2312"/>
          <w:color w:val="auto"/>
          <w:kern w:val="0"/>
          <w:sz w:val="32"/>
          <w:szCs w:val="32"/>
          <w:u w:val="none"/>
          <w:lang w:val="en-US" w:eastAsia="zh-CN" w:bidi="ar-SA"/>
        </w:rPr>
        <w:t>42.78</w:t>
      </w:r>
      <w:r>
        <w:rPr>
          <w:rFonts w:hint="eastAsia" w:ascii="仿宋_GB2312" w:hAnsi="仿宋_GB2312" w:eastAsia="仿宋_GB2312" w:cs="仿宋_GB2312"/>
          <w:color w:val="auto"/>
          <w:kern w:val="0"/>
          <w:sz w:val="32"/>
          <w:szCs w:val="32"/>
          <w:u w:val="none"/>
          <w:lang w:val="en-US" w:eastAsia="en-US" w:bidi="ar-SA"/>
        </w:rPr>
        <w:t>%。项目绩效目标完成情况：完成《社区矫正法》和《社区矫正实施办法》宣传，提高社区矫正管理水平；完成全市社区矫正人员培训，提升工作人员业务能力。发现的主要问题及原因：由于</w:t>
      </w:r>
      <w:r>
        <w:rPr>
          <w:rFonts w:hint="eastAsia" w:ascii="仿宋_GB2312" w:hAnsi="仿宋_GB2312" w:eastAsia="仿宋_GB2312" w:cs="仿宋_GB2312"/>
          <w:color w:val="auto"/>
          <w:kern w:val="0"/>
          <w:sz w:val="32"/>
          <w:szCs w:val="32"/>
          <w:u w:val="none"/>
          <w:lang w:val="en-US" w:eastAsia="zh-CN" w:bidi="ar-SA"/>
        </w:rPr>
        <w:t>上年度结转了该项目指标</w:t>
      </w:r>
      <w:r>
        <w:rPr>
          <w:rFonts w:hint="eastAsia" w:ascii="仿宋_GB2312" w:hAnsi="仿宋_GB2312" w:eastAsia="仿宋_GB2312" w:cs="仿宋_GB2312"/>
          <w:color w:val="auto"/>
          <w:kern w:val="0"/>
          <w:sz w:val="32"/>
          <w:szCs w:val="32"/>
          <w:u w:val="none"/>
          <w:lang w:val="en-US" w:eastAsia="en-US" w:bidi="ar-SA"/>
        </w:rPr>
        <w:t>，</w:t>
      </w:r>
      <w:r>
        <w:rPr>
          <w:rFonts w:hint="eastAsia" w:ascii="仿宋_GB2312" w:hAnsi="仿宋_GB2312" w:eastAsia="仿宋_GB2312" w:cs="仿宋_GB2312"/>
          <w:color w:val="auto"/>
          <w:kern w:val="0"/>
          <w:sz w:val="32"/>
          <w:szCs w:val="32"/>
          <w:u w:val="none"/>
          <w:lang w:val="en-US" w:eastAsia="zh-CN" w:bidi="ar-SA"/>
        </w:rPr>
        <w:t>本年度指标未全使用。</w:t>
      </w:r>
      <w:r>
        <w:rPr>
          <w:rFonts w:hint="eastAsia" w:ascii="仿宋_GB2312" w:hAnsi="仿宋_GB2312" w:eastAsia="仿宋_GB2312" w:cs="仿宋_GB2312"/>
          <w:color w:val="auto"/>
          <w:kern w:val="0"/>
          <w:sz w:val="32"/>
          <w:szCs w:val="32"/>
          <w:u w:val="none"/>
          <w:lang w:val="en-US" w:eastAsia="en-US" w:bidi="ar-SA"/>
        </w:rPr>
        <w:t>下一步改进措施：</w:t>
      </w:r>
      <w:r>
        <w:rPr>
          <w:rFonts w:hint="eastAsia" w:ascii="仿宋_GB2312" w:hAnsi="仿宋_GB2312" w:eastAsia="仿宋_GB2312" w:cs="仿宋_GB2312"/>
          <w:color w:val="auto"/>
          <w:kern w:val="0"/>
          <w:sz w:val="32"/>
          <w:szCs w:val="32"/>
          <w:u w:val="none"/>
          <w:lang w:val="en-US" w:eastAsia="zh-CN" w:bidi="ar-SA"/>
        </w:rPr>
        <w:t>进一步合理安排预算，加强</w:t>
      </w:r>
      <w:r>
        <w:rPr>
          <w:rFonts w:hint="eastAsia" w:ascii="仿宋_GB2312" w:hAnsi="仿宋_GB2312" w:eastAsia="仿宋_GB2312" w:cs="仿宋_GB2312"/>
          <w:color w:val="auto"/>
          <w:kern w:val="0"/>
          <w:sz w:val="32"/>
          <w:szCs w:val="32"/>
          <w:u w:val="none"/>
          <w:lang w:val="en-US" w:eastAsia="en-US" w:bidi="ar-SA"/>
        </w:rPr>
        <w:t>全市社区矫正人员培训，提升工作人员业务能力。</w:t>
      </w:r>
    </w:p>
    <w:p>
      <w:pPr>
        <w:pStyle w:val="30"/>
        <w:keepNext w:val="0"/>
        <w:keepLines w:val="0"/>
        <w:pageBreakBefore w:val="0"/>
        <w:widowControl/>
        <w:numPr>
          <w:ilvl w:val="0"/>
          <w:numId w:val="11"/>
        </w:numPr>
        <w:kinsoku/>
        <w:wordWrap/>
        <w:overflowPunct/>
        <w:topLinePunct w:val="0"/>
        <w:autoSpaceDE/>
        <w:autoSpaceDN/>
        <w:bidi w:val="0"/>
        <w:adjustRightInd/>
        <w:snapToGrid/>
        <w:spacing w:line="580" w:lineRule="exact"/>
        <w:ind w:left="0" w:leftChars="0" w:firstLine="643"/>
        <w:jc w:val="both"/>
        <w:textAlignment w:val="auto"/>
        <w:rPr>
          <w:rFonts w:ascii="楷体" w:hAnsi="楷体" w:eastAsia="楷体" w:cs="楷体"/>
          <w:b w:val="0"/>
          <w:bCs w:val="0"/>
          <w:color w:val="auto"/>
          <w:kern w:val="0"/>
          <w:sz w:val="32"/>
          <w:szCs w:val="32"/>
        </w:rPr>
      </w:pPr>
      <w:r>
        <w:rPr>
          <w:rFonts w:ascii="楷体" w:hAnsi="楷体" w:eastAsia="楷体" w:cs="楷体"/>
          <w:b w:val="0"/>
          <w:bCs w:val="0"/>
          <w:color w:val="auto"/>
          <w:kern w:val="0"/>
          <w:sz w:val="32"/>
          <w:szCs w:val="32"/>
        </w:rPr>
        <w:t>部门项目绩效评价结果。</w:t>
      </w:r>
    </w:p>
    <w:p>
      <w:pPr>
        <w:pStyle w:val="30"/>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b w:val="0"/>
          <w:bCs w:val="0"/>
          <w:color w:val="auto"/>
          <w:kern w:val="0"/>
          <w:sz w:val="32"/>
          <w:szCs w:val="32"/>
          <w:u w:val="none"/>
          <w:lang w:eastAsia="en-US"/>
        </w:rPr>
      </w:pPr>
      <w:r>
        <w:rPr>
          <w:rFonts w:hint="eastAsia" w:ascii="仿宋_GB2312" w:hAnsi="仿宋_GB2312" w:eastAsia="仿宋_GB2312" w:cs="仿宋_GB2312"/>
          <w:b w:val="0"/>
          <w:bCs w:val="0"/>
          <w:color w:val="auto"/>
          <w:kern w:val="0"/>
          <w:sz w:val="32"/>
          <w:szCs w:val="32"/>
          <w:u w:val="none"/>
        </w:rPr>
        <w:t>以公共法律服务工作经费项目为例，该项目绩效评价综合得分为</w:t>
      </w:r>
      <w:r>
        <w:rPr>
          <w:rFonts w:hint="eastAsia" w:ascii="仿宋_GB2312" w:hAnsi="仿宋_GB2312" w:eastAsia="仿宋_GB2312" w:cs="仿宋_GB2312"/>
          <w:b w:val="0"/>
          <w:bCs w:val="0"/>
          <w:color w:val="auto"/>
          <w:kern w:val="0"/>
          <w:sz w:val="32"/>
          <w:szCs w:val="32"/>
          <w:u w:val="none"/>
          <w:lang w:val="en-US" w:eastAsia="zh-CN"/>
        </w:rPr>
        <w:t>75.13</w:t>
      </w:r>
      <w:r>
        <w:rPr>
          <w:rFonts w:hint="eastAsia" w:ascii="仿宋_GB2312" w:hAnsi="仿宋_GB2312" w:eastAsia="仿宋_GB2312" w:cs="仿宋_GB2312"/>
          <w:b w:val="0"/>
          <w:bCs w:val="0"/>
          <w:color w:val="auto"/>
          <w:kern w:val="0"/>
          <w:sz w:val="32"/>
          <w:szCs w:val="32"/>
          <w:u w:val="none"/>
        </w:rPr>
        <w:t>分，绩效评价结果为“</w:t>
      </w:r>
      <w:r>
        <w:rPr>
          <w:rFonts w:hint="eastAsia" w:ascii="仿宋_GB2312" w:hAnsi="仿宋_GB2312" w:eastAsia="仿宋_GB2312" w:cs="仿宋_GB2312"/>
          <w:b w:val="0"/>
          <w:bCs w:val="0"/>
          <w:color w:val="auto"/>
          <w:kern w:val="0"/>
          <w:sz w:val="32"/>
          <w:szCs w:val="32"/>
          <w:u w:val="none"/>
          <w:lang w:eastAsia="zh-CN"/>
        </w:rPr>
        <w:t>良</w:t>
      </w:r>
      <w:r>
        <w:rPr>
          <w:rFonts w:hint="eastAsia" w:ascii="仿宋_GB2312" w:hAnsi="仿宋_GB2312" w:eastAsia="仿宋_GB2312" w:cs="仿宋_GB2312"/>
          <w:b w:val="0"/>
          <w:bCs w:val="0"/>
          <w:color w:val="auto"/>
          <w:kern w:val="0"/>
          <w:sz w:val="32"/>
          <w:szCs w:val="32"/>
          <w:u w:val="none"/>
        </w:rPr>
        <w:t>”。</w:t>
      </w:r>
      <w:r>
        <w:rPr>
          <w:rFonts w:hint="eastAsia" w:ascii="仿宋_GB2312" w:hAnsi="仿宋_GB2312" w:eastAsia="仿宋_GB2312" w:cs="仿宋_GB2312"/>
          <w:b w:val="0"/>
          <w:bCs w:val="0"/>
          <w:color w:val="auto"/>
          <w:kern w:val="0"/>
          <w:sz w:val="32"/>
          <w:szCs w:val="32"/>
          <w:u w:val="none"/>
          <w:lang w:eastAsia="en-US"/>
        </w:rPr>
        <w:t>A</w:t>
      </w:r>
      <w:r>
        <w:rPr>
          <w:rFonts w:hint="eastAsia" w:ascii="仿宋_GB2312" w:hAnsi="仿宋_GB2312" w:eastAsia="仿宋_GB2312" w:cs="仿宋_GB2312"/>
          <w:b w:val="0"/>
          <w:bCs w:val="0"/>
          <w:color w:val="auto"/>
          <w:kern w:val="0"/>
          <w:sz w:val="32"/>
          <w:szCs w:val="32"/>
          <w:u w:val="none"/>
        </w:rPr>
        <w:t>项目部门评价报告见附件。</w:t>
      </w:r>
      <w:r>
        <w:rPr>
          <w:rFonts w:hint="eastAsia" w:ascii="仿宋_GB2312" w:hAnsi="仿宋_GB2312" w:eastAsia="仿宋_GB2312" w:cs="仿宋_GB2312"/>
          <w:b w:val="0"/>
          <w:bCs w:val="0"/>
          <w:color w:val="auto"/>
          <w:kern w:val="0"/>
          <w:sz w:val="32"/>
          <w:szCs w:val="32"/>
          <w:u w:val="none"/>
          <w:lang w:eastAsia="en-US"/>
        </w:rPr>
        <w:t>﻿</w:t>
      </w:r>
    </w:p>
    <w:p>
      <w:pPr>
        <w:pStyle w:val="30"/>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b w:val="0"/>
          <w:bCs w:val="0"/>
          <w:color w:val="auto"/>
          <w:kern w:val="0"/>
          <w:sz w:val="32"/>
          <w:szCs w:val="32"/>
          <w:u w:val="none"/>
          <w:lang w:eastAsia="en-US"/>
        </w:rPr>
      </w:pPr>
    </w:p>
    <w:p>
      <w:pPr>
        <w:pStyle w:val="30"/>
        <w:keepNext w:val="0"/>
        <w:keepLines w:val="0"/>
        <w:pageBreakBefore w:val="0"/>
        <w:widowControl/>
        <w:numPr>
          <w:ilvl w:val="0"/>
          <w:numId w:val="0"/>
        </w:numPr>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 w:val="0"/>
          <w:bCs w:val="0"/>
          <w:color w:val="auto"/>
          <w:kern w:val="0"/>
          <w:sz w:val="32"/>
          <w:szCs w:val="32"/>
          <w:u w:val="none"/>
          <w:lang w:eastAsia="en-US"/>
        </w:rPr>
      </w:pPr>
    </w:p>
    <w:p>
      <w:pPr>
        <w:pStyle w:val="30"/>
        <w:keepNext w:val="0"/>
        <w:keepLines w:val="0"/>
        <w:pageBreakBefore w:val="0"/>
        <w:widowControl/>
        <w:numPr>
          <w:ilvl w:val="0"/>
          <w:numId w:val="0"/>
        </w:numPr>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 w:val="0"/>
          <w:bCs w:val="0"/>
          <w:color w:val="auto"/>
          <w:kern w:val="0"/>
          <w:sz w:val="32"/>
          <w:szCs w:val="32"/>
          <w:u w:val="none"/>
          <w:lang w:eastAsia="en-US"/>
        </w:rPr>
      </w:pPr>
    </w:p>
    <w:p>
      <w:pPr>
        <w:pStyle w:val="30"/>
        <w:keepNext w:val="0"/>
        <w:keepLines w:val="0"/>
        <w:pageBreakBefore w:val="0"/>
        <w:widowControl/>
        <w:numPr>
          <w:ilvl w:val="0"/>
          <w:numId w:val="0"/>
        </w:numPr>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 w:val="0"/>
          <w:bCs w:val="0"/>
          <w:color w:val="auto"/>
          <w:kern w:val="0"/>
          <w:sz w:val="32"/>
          <w:szCs w:val="32"/>
          <w:u w:val="none"/>
          <w:lang w:eastAsia="en-US"/>
        </w:rPr>
      </w:pPr>
    </w:p>
    <w:p>
      <w:pPr>
        <w:pStyle w:val="30"/>
        <w:keepNext w:val="0"/>
        <w:keepLines w:val="0"/>
        <w:pageBreakBefore w:val="0"/>
        <w:widowControl/>
        <w:numPr>
          <w:ilvl w:val="0"/>
          <w:numId w:val="0"/>
        </w:numPr>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 w:val="0"/>
          <w:bCs w:val="0"/>
          <w:color w:val="auto"/>
          <w:kern w:val="0"/>
          <w:sz w:val="32"/>
          <w:szCs w:val="32"/>
          <w:u w:val="none"/>
          <w:lang w:eastAsia="en-US"/>
        </w:rPr>
      </w:pPr>
    </w:p>
    <w:p>
      <w:pPr>
        <w:pStyle w:val="30"/>
        <w:keepNext w:val="0"/>
        <w:keepLines w:val="0"/>
        <w:pageBreakBefore w:val="0"/>
        <w:widowControl/>
        <w:numPr>
          <w:ilvl w:val="0"/>
          <w:numId w:val="0"/>
        </w:numPr>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 w:val="0"/>
          <w:bCs w:val="0"/>
          <w:color w:val="auto"/>
          <w:kern w:val="0"/>
          <w:sz w:val="32"/>
          <w:szCs w:val="32"/>
          <w:u w:val="none"/>
          <w:lang w:eastAsia="en-US"/>
        </w:rPr>
      </w:pPr>
    </w:p>
    <w:p>
      <w:pPr>
        <w:pStyle w:val="30"/>
        <w:keepNext w:val="0"/>
        <w:keepLines w:val="0"/>
        <w:pageBreakBefore w:val="0"/>
        <w:widowControl/>
        <w:numPr>
          <w:ilvl w:val="0"/>
          <w:numId w:val="0"/>
        </w:numPr>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 w:val="0"/>
          <w:bCs w:val="0"/>
          <w:color w:val="auto"/>
          <w:kern w:val="0"/>
          <w:sz w:val="32"/>
          <w:szCs w:val="32"/>
          <w:u w:val="none"/>
          <w:lang w:eastAsia="en-US"/>
        </w:rPr>
      </w:pPr>
    </w:p>
    <w:p>
      <w:pPr>
        <w:pStyle w:val="30"/>
        <w:keepNext w:val="0"/>
        <w:keepLines w:val="0"/>
        <w:pageBreakBefore w:val="0"/>
        <w:widowControl/>
        <w:numPr>
          <w:ilvl w:val="0"/>
          <w:numId w:val="0"/>
        </w:numPr>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 w:val="0"/>
          <w:bCs w:val="0"/>
          <w:color w:val="auto"/>
          <w:kern w:val="0"/>
          <w:sz w:val="32"/>
          <w:szCs w:val="32"/>
          <w:u w:val="none"/>
          <w:lang w:eastAsia="en-US"/>
        </w:rPr>
      </w:pPr>
    </w:p>
    <w:p>
      <w:pPr>
        <w:pStyle w:val="30"/>
        <w:keepNext w:val="0"/>
        <w:keepLines w:val="0"/>
        <w:pageBreakBefore w:val="0"/>
        <w:widowControl/>
        <w:numPr>
          <w:ilvl w:val="0"/>
          <w:numId w:val="0"/>
        </w:numPr>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 w:val="0"/>
          <w:bCs w:val="0"/>
          <w:color w:val="auto"/>
          <w:kern w:val="0"/>
          <w:sz w:val="32"/>
          <w:szCs w:val="32"/>
          <w:u w:val="none"/>
          <w:lang w:eastAsia="en-US"/>
        </w:rPr>
      </w:pPr>
    </w:p>
    <w:p>
      <w:pPr>
        <w:pStyle w:val="30"/>
        <w:keepNext w:val="0"/>
        <w:keepLines w:val="0"/>
        <w:pageBreakBefore w:val="0"/>
        <w:widowControl/>
        <w:numPr>
          <w:ilvl w:val="0"/>
          <w:numId w:val="0"/>
        </w:numPr>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 w:val="0"/>
          <w:bCs w:val="0"/>
          <w:color w:val="auto"/>
          <w:kern w:val="0"/>
          <w:sz w:val="32"/>
          <w:szCs w:val="32"/>
          <w:u w:val="none"/>
          <w:lang w:eastAsia="en-US"/>
        </w:rPr>
      </w:pPr>
    </w:p>
    <w:p>
      <w:pPr>
        <w:pStyle w:val="30"/>
        <w:keepNext w:val="0"/>
        <w:keepLines w:val="0"/>
        <w:pageBreakBefore w:val="0"/>
        <w:widowControl/>
        <w:numPr>
          <w:ilvl w:val="0"/>
          <w:numId w:val="0"/>
        </w:numPr>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 w:val="0"/>
          <w:bCs w:val="0"/>
          <w:color w:val="auto"/>
          <w:kern w:val="0"/>
          <w:sz w:val="32"/>
          <w:szCs w:val="32"/>
          <w:u w:val="none"/>
          <w:lang w:eastAsia="en-US"/>
        </w:rPr>
      </w:pPr>
    </w:p>
    <w:p>
      <w:pPr>
        <w:pStyle w:val="30"/>
        <w:keepNext w:val="0"/>
        <w:keepLines w:val="0"/>
        <w:pageBreakBefore w:val="0"/>
        <w:widowControl/>
        <w:numPr>
          <w:ilvl w:val="0"/>
          <w:numId w:val="0"/>
        </w:numPr>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 w:val="0"/>
          <w:bCs w:val="0"/>
          <w:color w:val="auto"/>
          <w:kern w:val="0"/>
          <w:sz w:val="32"/>
          <w:szCs w:val="32"/>
          <w:u w:val="none"/>
          <w:lang w:eastAsia="en-US"/>
        </w:rPr>
      </w:pPr>
    </w:p>
    <w:p>
      <w:pPr>
        <w:pStyle w:val="30"/>
        <w:keepNext w:val="0"/>
        <w:keepLines w:val="0"/>
        <w:pageBreakBefore w:val="0"/>
        <w:widowControl/>
        <w:numPr>
          <w:ilvl w:val="0"/>
          <w:numId w:val="0"/>
        </w:numPr>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 w:val="0"/>
          <w:bCs w:val="0"/>
          <w:color w:val="auto"/>
          <w:kern w:val="0"/>
          <w:sz w:val="32"/>
          <w:szCs w:val="32"/>
          <w:u w:val="none"/>
          <w:lang w:eastAsia="en-US"/>
        </w:rPr>
      </w:pPr>
    </w:p>
    <w:p>
      <w:pPr>
        <w:pStyle w:val="30"/>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b w:val="0"/>
          <w:bCs w:val="0"/>
          <w:color w:val="auto"/>
          <w:kern w:val="0"/>
          <w:sz w:val="32"/>
          <w:szCs w:val="32"/>
          <w:u w:val="none"/>
          <w:lang w:eastAsia="en-US"/>
        </w:rPr>
      </w:pPr>
    </w:p>
    <w:p>
      <w:pPr>
        <w:pStyle w:val="5"/>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Chars="0"/>
        <w:jc w:val="center"/>
        <w:textAlignment w:val="auto"/>
        <w:rPr>
          <w:rFonts w:hint="eastAsia" w:ascii="方正小标宋简体" w:hAnsi="方正小标宋简体" w:eastAsia="方正小标宋简体" w:cs="方正小标宋简体"/>
          <w:b w:val="0"/>
          <w:bCs w:val="0"/>
          <w:color w:val="auto"/>
          <w:kern w:val="0"/>
          <w:sz w:val="36"/>
          <w:szCs w:val="36"/>
        </w:rPr>
      </w:pPr>
      <w:r>
        <w:rPr>
          <w:rFonts w:hint="eastAsia" w:ascii="方正小标宋简体" w:hAnsi="方正小标宋简体" w:eastAsia="方正小标宋简体" w:cs="方正小标宋简体"/>
          <w:b w:val="0"/>
          <w:bCs w:val="0"/>
          <w:color w:val="auto"/>
          <w:kern w:val="0"/>
          <w:sz w:val="36"/>
          <w:szCs w:val="36"/>
        </w:rPr>
        <w:t>第三部分  名词解释</w:t>
      </w:r>
    </w:p>
    <w:p>
      <w:pPr>
        <w:keepNext w:val="0"/>
        <w:keepLines w:val="0"/>
        <w:pageBreakBefore w:val="0"/>
        <w:widowControl/>
        <w:kinsoku/>
        <w:wordWrap/>
        <w:overflowPunct/>
        <w:topLinePunct w:val="0"/>
        <w:autoSpaceDE/>
        <w:autoSpaceDN/>
        <w:bidi w:val="0"/>
        <w:adjustRightInd/>
        <w:snapToGrid/>
        <w:spacing w:line="580" w:lineRule="exact"/>
        <w:jc w:val="left"/>
        <w:textAlignment w:val="auto"/>
        <w:rPr>
          <w:rFonts w:hint="eastAsia" w:ascii="黑体" w:hAnsi="黑体" w:eastAsia="黑体" w:cs="黑体"/>
          <w:b w:val="0"/>
          <w:bCs w:val="0"/>
          <w:color w:val="auto"/>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黑体" w:hAnsi="黑体" w:eastAsia="黑体" w:cs="黑体"/>
          <w:b w:val="0"/>
          <w:bCs w:val="0"/>
          <w:color w:val="auto"/>
          <w:kern w:val="0"/>
          <w:sz w:val="32"/>
          <w:szCs w:val="32"/>
          <w:lang w:val="en-US" w:eastAsia="zh-CN"/>
        </w:rPr>
        <w:t>一、财政拨款收入：</w:t>
      </w:r>
      <w:r>
        <w:rPr>
          <w:rFonts w:hint="eastAsia" w:ascii="仿宋_GB2312" w:hAnsi="仿宋_GB2312" w:eastAsia="仿宋_GB2312" w:cs="仿宋_GB2312"/>
          <w:color w:val="auto"/>
          <w:kern w:val="0"/>
          <w:sz w:val="32"/>
          <w:szCs w:val="32"/>
        </w:rPr>
        <w:t>从同级财政部门取得的各类财政拨款，包括一般公共预算财政拨款、政府性基金预算财政拨款、国有资本经营预算财政拨款。</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color w:val="auto"/>
          <w:kern w:val="0"/>
          <w:sz w:val="32"/>
          <w:szCs w:val="32"/>
        </w:rPr>
      </w:pPr>
      <w:r>
        <w:rPr>
          <w:rFonts w:hint="eastAsia" w:ascii="黑体" w:hAnsi="黑体" w:eastAsia="黑体" w:cs="黑体"/>
          <w:b w:val="0"/>
          <w:bCs w:val="0"/>
          <w:color w:val="auto"/>
          <w:kern w:val="0"/>
          <w:sz w:val="32"/>
          <w:szCs w:val="32"/>
          <w:lang w:val="en-US" w:eastAsia="zh-CN"/>
        </w:rPr>
        <w:t>二、上级补助收入：</w:t>
      </w:r>
      <w:r>
        <w:rPr>
          <w:rFonts w:hint="eastAsia" w:ascii="仿宋_GB2312" w:hAnsi="仿宋_GB2312" w:eastAsia="仿宋_GB2312" w:cs="仿宋_GB2312"/>
          <w:color w:val="auto"/>
          <w:kern w:val="0"/>
          <w:sz w:val="32"/>
          <w:szCs w:val="32"/>
        </w:rPr>
        <w:t>指事业单位从主管部门和上级单位取得的非财政补助收入。</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color w:val="auto"/>
          <w:kern w:val="0"/>
          <w:sz w:val="32"/>
          <w:szCs w:val="32"/>
        </w:rPr>
      </w:pPr>
      <w:r>
        <w:rPr>
          <w:rFonts w:hint="eastAsia" w:ascii="黑体" w:hAnsi="黑体" w:eastAsia="黑体" w:cs="黑体"/>
          <w:b w:val="0"/>
          <w:bCs w:val="0"/>
          <w:color w:val="auto"/>
          <w:kern w:val="0"/>
          <w:sz w:val="32"/>
          <w:szCs w:val="32"/>
          <w:lang w:val="en-US" w:eastAsia="zh-CN"/>
        </w:rPr>
        <w:t>三、财政专户管理教育收费：</w:t>
      </w:r>
      <w:r>
        <w:rPr>
          <w:rFonts w:hint="eastAsia" w:ascii="仿宋_GB2312" w:hAnsi="仿宋_GB2312" w:eastAsia="仿宋_GB2312" w:cs="仿宋_GB2312"/>
          <w:color w:val="auto"/>
          <w:kern w:val="0"/>
          <w:sz w:val="32"/>
          <w:szCs w:val="32"/>
        </w:rPr>
        <w:t>指缴入财政专户、实行专项管理的高中以上学费、住宿费、高校委托培养费、函大、电大、夜大及短训班培训费等教育收费。</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color w:val="auto"/>
          <w:kern w:val="0"/>
          <w:sz w:val="32"/>
          <w:szCs w:val="32"/>
        </w:rPr>
      </w:pPr>
      <w:r>
        <w:rPr>
          <w:rFonts w:hint="eastAsia" w:ascii="黑体" w:hAnsi="黑体" w:eastAsia="黑体" w:cs="黑体"/>
          <w:b w:val="0"/>
          <w:bCs w:val="0"/>
          <w:color w:val="auto"/>
          <w:kern w:val="0"/>
          <w:sz w:val="32"/>
          <w:szCs w:val="32"/>
          <w:lang w:val="en-US" w:eastAsia="zh-CN"/>
        </w:rPr>
        <w:t>四、事业收入：</w:t>
      </w:r>
      <w:r>
        <w:rPr>
          <w:rFonts w:hint="eastAsia" w:ascii="仿宋_GB2312" w:hAnsi="仿宋_GB2312" w:eastAsia="仿宋_GB2312" w:cs="仿宋_GB2312"/>
          <w:color w:val="auto"/>
          <w:kern w:val="0"/>
          <w:sz w:val="32"/>
          <w:szCs w:val="32"/>
        </w:rPr>
        <w:t>指事业单位开展专业业务活动及其辅助活动取得的收入。</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color w:val="auto"/>
          <w:kern w:val="0"/>
          <w:sz w:val="32"/>
          <w:szCs w:val="32"/>
        </w:rPr>
      </w:pPr>
      <w:r>
        <w:rPr>
          <w:rFonts w:hint="eastAsia" w:ascii="黑体" w:hAnsi="黑体" w:eastAsia="黑体" w:cs="黑体"/>
          <w:b w:val="0"/>
          <w:bCs w:val="0"/>
          <w:color w:val="auto"/>
          <w:kern w:val="0"/>
          <w:sz w:val="32"/>
          <w:szCs w:val="32"/>
          <w:lang w:val="en-US" w:eastAsia="zh-CN"/>
        </w:rPr>
        <w:t>五、经营收入：</w:t>
      </w:r>
      <w:r>
        <w:rPr>
          <w:rFonts w:hint="eastAsia" w:ascii="仿宋_GB2312" w:hAnsi="仿宋_GB2312" w:eastAsia="仿宋_GB2312" w:cs="仿宋_GB2312"/>
          <w:color w:val="auto"/>
          <w:kern w:val="0"/>
          <w:sz w:val="32"/>
          <w:szCs w:val="32"/>
        </w:rPr>
        <w:t>指事业单位在专业业务活动及其辅助活动之外开展非独立核算经营活动取得的收入。</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color w:val="auto"/>
          <w:kern w:val="0"/>
          <w:sz w:val="32"/>
          <w:szCs w:val="32"/>
        </w:rPr>
      </w:pPr>
      <w:r>
        <w:rPr>
          <w:rFonts w:hint="eastAsia" w:ascii="黑体" w:hAnsi="黑体" w:eastAsia="黑体" w:cs="黑体"/>
          <w:b w:val="0"/>
          <w:bCs w:val="0"/>
          <w:color w:val="auto"/>
          <w:kern w:val="0"/>
          <w:sz w:val="32"/>
          <w:szCs w:val="32"/>
          <w:lang w:val="en-US" w:eastAsia="zh-CN"/>
        </w:rPr>
        <w:t>六、附属单位上缴收入：</w:t>
      </w:r>
      <w:r>
        <w:rPr>
          <w:rFonts w:hint="eastAsia" w:ascii="仿宋_GB2312" w:hAnsi="仿宋_GB2312" w:eastAsia="仿宋_GB2312" w:cs="仿宋_GB2312"/>
          <w:color w:val="auto"/>
          <w:kern w:val="0"/>
          <w:sz w:val="32"/>
          <w:szCs w:val="32"/>
        </w:rPr>
        <w:t>指事业单位取得附属独立核算单位按照有关规定上缴的收入。</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color w:val="auto"/>
          <w:kern w:val="0"/>
          <w:sz w:val="32"/>
          <w:szCs w:val="32"/>
        </w:rPr>
      </w:pPr>
      <w:r>
        <w:rPr>
          <w:rFonts w:hint="eastAsia" w:ascii="黑体" w:hAnsi="黑体" w:eastAsia="黑体" w:cs="黑体"/>
          <w:b w:val="0"/>
          <w:bCs w:val="0"/>
          <w:color w:val="auto"/>
          <w:kern w:val="0"/>
          <w:sz w:val="32"/>
          <w:szCs w:val="32"/>
          <w:lang w:val="en-US" w:eastAsia="zh-CN"/>
        </w:rPr>
        <w:t>七、其他收入：</w:t>
      </w:r>
      <w:r>
        <w:rPr>
          <w:rFonts w:hint="eastAsia" w:ascii="仿宋_GB2312" w:hAnsi="仿宋_GB2312" w:eastAsia="仿宋_GB2312" w:cs="仿宋_GB2312"/>
          <w:color w:val="auto"/>
          <w:kern w:val="0"/>
          <w:sz w:val="32"/>
          <w:szCs w:val="32"/>
        </w:rPr>
        <w:t>取得的除上述“财政拨款收入”、“上级补助收入”、“事业收入”、“经营收入”、“附属单位上缴收入”等以外的各项收入。</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w:t>
      </w:r>
      <w:r>
        <w:rPr>
          <w:rFonts w:hint="eastAsia" w:ascii="黑体" w:hAnsi="黑体" w:eastAsia="黑体" w:cs="黑体"/>
          <w:b w:val="0"/>
          <w:bCs w:val="0"/>
          <w:color w:val="auto"/>
          <w:kern w:val="0"/>
          <w:sz w:val="32"/>
          <w:szCs w:val="32"/>
          <w:lang w:val="en-US" w:eastAsia="zh-CN"/>
        </w:rPr>
        <w:t>八、使用非财政拨款结余和专用结余：</w:t>
      </w:r>
      <w:r>
        <w:rPr>
          <w:rFonts w:hint="eastAsia" w:ascii="仿宋_GB2312" w:hAnsi="仿宋_GB2312" w:eastAsia="仿宋_GB2312" w:cs="仿宋_GB2312"/>
          <w:color w:val="auto"/>
          <w:kern w:val="0"/>
          <w:sz w:val="32"/>
          <w:szCs w:val="32"/>
        </w:rPr>
        <w:t>指事业单位按照预算管理要求使用非财政拨款结余和专用结余弥补当年收支差额的数额。</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w:t>
      </w:r>
      <w:r>
        <w:rPr>
          <w:rFonts w:hint="eastAsia" w:ascii="黑体" w:hAnsi="黑体" w:eastAsia="黑体" w:cs="黑体"/>
          <w:b w:val="0"/>
          <w:bCs w:val="0"/>
          <w:color w:val="auto"/>
          <w:kern w:val="0"/>
          <w:sz w:val="32"/>
          <w:szCs w:val="32"/>
          <w:lang w:val="en-US" w:eastAsia="zh-CN"/>
        </w:rPr>
        <w:t>九、年初结转和结余：</w:t>
      </w:r>
      <w:r>
        <w:rPr>
          <w:rFonts w:hint="eastAsia" w:ascii="仿宋_GB2312" w:hAnsi="仿宋_GB2312" w:eastAsia="仿宋_GB2312" w:cs="仿宋_GB2312"/>
          <w:color w:val="auto"/>
          <w:kern w:val="0"/>
          <w:sz w:val="32"/>
          <w:szCs w:val="32"/>
        </w:rPr>
        <w:t>指单位上年结转本年使用的基本支出结转、项目支出结转和结余、经营结余。</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w:t>
      </w:r>
      <w:r>
        <w:rPr>
          <w:rFonts w:hint="eastAsia" w:ascii="黑体" w:hAnsi="黑体" w:eastAsia="黑体" w:cs="黑体"/>
          <w:b w:val="0"/>
          <w:bCs w:val="0"/>
          <w:color w:val="auto"/>
          <w:kern w:val="0"/>
          <w:sz w:val="32"/>
          <w:szCs w:val="32"/>
          <w:lang w:val="en-US" w:eastAsia="zh-CN"/>
        </w:rPr>
        <w:t>十、结余分配：</w:t>
      </w:r>
      <w:r>
        <w:rPr>
          <w:rFonts w:hint="eastAsia" w:ascii="仿宋_GB2312" w:hAnsi="仿宋_GB2312" w:eastAsia="仿宋_GB2312" w:cs="仿宋_GB2312"/>
          <w:color w:val="auto"/>
          <w:kern w:val="0"/>
          <w:sz w:val="32"/>
          <w:szCs w:val="32"/>
        </w:rPr>
        <w:t>指事业单位按规定缴纳企业所得税以及从非财政拨款结余或经营结余中提取各类结余的情况。</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w:t>
      </w:r>
      <w:r>
        <w:rPr>
          <w:rFonts w:hint="eastAsia" w:ascii="黑体" w:hAnsi="黑体" w:eastAsia="黑体" w:cs="黑体"/>
          <w:b w:val="0"/>
          <w:bCs w:val="0"/>
          <w:color w:val="auto"/>
          <w:kern w:val="0"/>
          <w:sz w:val="32"/>
          <w:szCs w:val="32"/>
          <w:lang w:val="en-US" w:eastAsia="zh-CN"/>
        </w:rPr>
        <w:t>十一、年末结转和结余资金：</w:t>
      </w:r>
      <w:r>
        <w:rPr>
          <w:rFonts w:hint="eastAsia" w:ascii="仿宋_GB2312" w:hAnsi="仿宋_GB2312" w:eastAsia="仿宋_GB2312" w:cs="仿宋_GB2312"/>
          <w:color w:val="auto"/>
          <w:kern w:val="0"/>
          <w:sz w:val="32"/>
          <w:szCs w:val="32"/>
        </w:rPr>
        <w:t>指单位结转下年的基本支出结转、项目支出结转和结余、经营结余。</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w:t>
      </w:r>
      <w:r>
        <w:rPr>
          <w:rFonts w:hint="eastAsia" w:ascii="黑体" w:hAnsi="黑体" w:eastAsia="黑体" w:cs="黑体"/>
          <w:b w:val="0"/>
          <w:bCs w:val="0"/>
          <w:color w:val="auto"/>
          <w:kern w:val="0"/>
          <w:sz w:val="32"/>
          <w:szCs w:val="32"/>
          <w:lang w:val="en-US" w:eastAsia="zh-CN"/>
        </w:rPr>
        <w:t>十二、基本支出：</w:t>
      </w:r>
      <w:r>
        <w:rPr>
          <w:rFonts w:hint="eastAsia" w:ascii="仿宋_GB2312" w:hAnsi="仿宋_GB2312" w:eastAsia="仿宋_GB2312" w:cs="仿宋_GB2312"/>
          <w:color w:val="auto"/>
          <w:kern w:val="0"/>
          <w:sz w:val="32"/>
          <w:szCs w:val="32"/>
        </w:rPr>
        <w:t>指为保障机构正常运转、完成日常工作任务所发生的支出，包括人员经费和公用经费。</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w:t>
      </w:r>
      <w:r>
        <w:rPr>
          <w:rFonts w:hint="eastAsia" w:ascii="黑体" w:hAnsi="黑体" w:eastAsia="黑体" w:cs="黑体"/>
          <w:b w:val="0"/>
          <w:bCs w:val="0"/>
          <w:color w:val="auto"/>
          <w:kern w:val="0"/>
          <w:sz w:val="32"/>
          <w:szCs w:val="32"/>
          <w:lang w:val="en-US" w:eastAsia="zh-CN"/>
        </w:rPr>
        <w:t>十三、项目支出：</w:t>
      </w:r>
      <w:r>
        <w:rPr>
          <w:rFonts w:hint="eastAsia" w:ascii="仿宋_GB2312" w:hAnsi="仿宋_GB2312" w:eastAsia="仿宋_GB2312" w:cs="仿宋_GB2312"/>
          <w:color w:val="auto"/>
          <w:kern w:val="0"/>
          <w:sz w:val="32"/>
          <w:szCs w:val="32"/>
        </w:rPr>
        <w:t>指在为完成特定的工作任务和事业发展目标所发生的支出。</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w:t>
      </w:r>
      <w:r>
        <w:rPr>
          <w:rFonts w:hint="eastAsia" w:ascii="黑体" w:hAnsi="黑体" w:eastAsia="黑体" w:cs="黑体"/>
          <w:b w:val="0"/>
          <w:bCs w:val="0"/>
          <w:color w:val="auto"/>
          <w:kern w:val="0"/>
          <w:sz w:val="32"/>
          <w:szCs w:val="32"/>
          <w:lang w:val="en-US" w:eastAsia="zh-CN"/>
        </w:rPr>
        <w:t>十四、上缴上级支出：</w:t>
      </w:r>
      <w:r>
        <w:rPr>
          <w:rFonts w:hint="eastAsia" w:ascii="仿宋_GB2312" w:hAnsi="仿宋_GB2312" w:eastAsia="仿宋_GB2312" w:cs="仿宋_GB2312"/>
          <w:color w:val="auto"/>
          <w:kern w:val="0"/>
          <w:sz w:val="32"/>
          <w:szCs w:val="32"/>
        </w:rPr>
        <w:t>指事业单位按照财政部门和主管部门的规定上缴上级单位的支出。</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w:t>
      </w:r>
      <w:r>
        <w:rPr>
          <w:rFonts w:hint="eastAsia" w:ascii="黑体" w:hAnsi="黑体" w:eastAsia="黑体" w:cs="黑体"/>
          <w:b w:val="0"/>
          <w:bCs w:val="0"/>
          <w:color w:val="auto"/>
          <w:kern w:val="0"/>
          <w:sz w:val="32"/>
          <w:szCs w:val="32"/>
          <w:lang w:val="en-US" w:eastAsia="zh-CN"/>
        </w:rPr>
        <w:t>十五、经营支出：</w:t>
      </w:r>
      <w:r>
        <w:rPr>
          <w:rFonts w:hint="eastAsia" w:ascii="仿宋_GB2312" w:hAnsi="仿宋_GB2312" w:eastAsia="仿宋_GB2312" w:cs="仿宋_GB2312"/>
          <w:color w:val="auto"/>
          <w:kern w:val="0"/>
          <w:sz w:val="32"/>
          <w:szCs w:val="32"/>
        </w:rPr>
        <w:t>指事业单位在专业业务活动及其辅助活动之外开展非独立核算经营活动发生的支出。</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w:t>
      </w:r>
      <w:r>
        <w:rPr>
          <w:rFonts w:hint="eastAsia" w:ascii="黑体" w:hAnsi="黑体" w:eastAsia="黑体" w:cs="黑体"/>
          <w:b w:val="0"/>
          <w:bCs w:val="0"/>
          <w:color w:val="auto"/>
          <w:kern w:val="0"/>
          <w:sz w:val="32"/>
          <w:szCs w:val="32"/>
          <w:lang w:val="en-US" w:eastAsia="zh-CN"/>
        </w:rPr>
        <w:t>十六、对附属单位补助支出：</w:t>
      </w:r>
      <w:r>
        <w:rPr>
          <w:rFonts w:hint="eastAsia" w:ascii="仿宋_GB2312" w:hAnsi="仿宋_GB2312" w:eastAsia="仿宋_GB2312" w:cs="仿宋_GB2312"/>
          <w:color w:val="auto"/>
          <w:kern w:val="0"/>
          <w:sz w:val="32"/>
          <w:szCs w:val="32"/>
        </w:rPr>
        <w:t>指事业单位用财政拨款收入之外的收入对附属单位补助发生的支出。</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w:t>
      </w:r>
      <w:r>
        <w:rPr>
          <w:rFonts w:hint="eastAsia" w:ascii="黑体" w:hAnsi="黑体" w:eastAsia="黑体" w:cs="黑体"/>
          <w:b w:val="0"/>
          <w:bCs w:val="0"/>
          <w:color w:val="auto"/>
          <w:kern w:val="0"/>
          <w:sz w:val="32"/>
          <w:szCs w:val="32"/>
          <w:lang w:val="en-US" w:eastAsia="zh-CN"/>
        </w:rPr>
        <w:t>十七、“三公”经费：</w:t>
      </w:r>
      <w:r>
        <w:rPr>
          <w:rFonts w:hint="eastAsia" w:ascii="仿宋_GB2312" w:hAnsi="仿宋_GB2312" w:eastAsia="仿宋_GB2312" w:cs="仿宋_GB2312"/>
          <w:color w:val="auto"/>
          <w:kern w:val="0"/>
          <w:sz w:val="32"/>
          <w:szCs w:val="32"/>
        </w:rPr>
        <w:t>指部门（单位）用财政拨款安排的因公出国（境）费、公务用车购置及运行维护费和公务接待费。其中，因公出国（境）费反映部门（单位）)公务出国（境）的国际旅费、国外城市间交通费、住宿费、伙食费、培训费、公杂费等支出；公务用车购置及运行维护费反映部门（单位）公务用车购置支出（含车辆购置税、牌照费）以及按规定保留的公务用车燃料费、维修费、过路过桥费、保险费、安全奖励费用等支出；公务接待费反映部门（单位）按规定开支的各类公务接待（含外宾接待）费用。</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color w:val="auto"/>
          <w:kern w:val="0"/>
          <w:sz w:val="32"/>
          <w:szCs w:val="32"/>
        </w:rPr>
      </w:pPr>
      <w:r>
        <w:rPr>
          <w:rFonts w:hint="eastAsia" w:ascii="黑体" w:hAnsi="黑体" w:eastAsia="黑体" w:cs="黑体"/>
          <w:b w:val="0"/>
          <w:bCs w:val="0"/>
          <w:color w:val="auto"/>
          <w:kern w:val="0"/>
          <w:sz w:val="32"/>
          <w:szCs w:val="32"/>
          <w:lang w:val="en-US" w:eastAsia="zh-CN"/>
        </w:rPr>
        <w:t>十八、机构运行经费：</w:t>
      </w:r>
      <w:r>
        <w:rPr>
          <w:rFonts w:hint="eastAsia" w:ascii="仿宋_GB2312" w:hAnsi="仿宋_GB2312" w:eastAsia="仿宋_GB2312" w:cs="仿宋_GB2312"/>
          <w:color w:val="auto"/>
          <w:kern w:val="0"/>
          <w:sz w:val="32"/>
          <w:szCs w:val="32"/>
        </w:rPr>
        <w:t>指部门（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2"/>
      </w:pP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leftChars="0"/>
        <w:jc w:val="center"/>
        <w:textAlignment w:val="auto"/>
        <w:rPr>
          <w:rFonts w:hint="eastAsia" w:ascii="方正小标宋简体" w:hAnsi="方正小标宋简体" w:eastAsia="方正小标宋简体" w:cs="方正小标宋简体"/>
          <w:b w:val="0"/>
          <w:bCs w:val="0"/>
          <w:color w:val="auto"/>
          <w:kern w:val="0"/>
          <w:sz w:val="36"/>
          <w:szCs w:val="36"/>
        </w:rPr>
      </w:pPr>
      <w:r>
        <w:rPr>
          <w:rFonts w:hint="eastAsia" w:ascii="方正小标宋简体" w:hAnsi="方正小标宋简体" w:eastAsia="方正小标宋简体" w:cs="方正小标宋简体"/>
          <w:b w:val="0"/>
          <w:bCs w:val="0"/>
          <w:color w:val="auto"/>
          <w:kern w:val="0"/>
          <w:sz w:val="36"/>
          <w:szCs w:val="36"/>
        </w:rPr>
        <w:t>第四部分 决算公开联系方式及信息反馈渠道</w:t>
      </w:r>
    </w:p>
    <w:p>
      <w:pPr>
        <w:keepNext w:val="0"/>
        <w:keepLines w:val="0"/>
        <w:pageBreakBefore w:val="0"/>
        <w:widowControl/>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color w:val="auto"/>
          <w:kern w:val="0"/>
          <w:sz w:val="32"/>
          <w:szCs w:val="32"/>
        </w:rPr>
      </w:pP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本单位决算公开信息反馈和联系方式：</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联系人：廉岸琦           联系电话：0476-5680089</w:t>
      </w:r>
    </w:p>
    <w:p>
      <w:pPr>
        <w:keepNext w:val="0"/>
        <w:keepLines w:val="0"/>
        <w:pageBreakBefore w:val="0"/>
        <w:widowControl/>
        <w:kinsoku/>
        <w:wordWrap/>
        <w:overflowPunct/>
        <w:topLinePunct w:val="0"/>
        <w:autoSpaceDE/>
        <w:autoSpaceDN/>
        <w:bidi w:val="0"/>
        <w:adjustRightInd/>
        <w:snapToGrid/>
        <w:spacing w:line="580" w:lineRule="exact"/>
        <w:ind w:left="0" w:leftChars="0"/>
        <w:jc w:val="left"/>
        <w:textAlignment w:val="auto"/>
        <w:rPr>
          <w:rFonts w:ascii="Times New Roman" w:hAnsi="Times New Roman" w:eastAsia="Times New Roman" w:cs="Times New Roman"/>
          <w:color w:val="auto"/>
          <w:kern w:val="0"/>
          <w:sz w:val="24"/>
        </w:rPr>
      </w:pPr>
    </w:p>
    <w:p>
      <w:pPr>
        <w:pStyle w:val="5"/>
        <w:keepNext w:val="0"/>
        <w:keepLines w:val="0"/>
        <w:pageBreakBefore w:val="0"/>
        <w:widowControl/>
        <w:kinsoku/>
        <w:wordWrap/>
        <w:overflowPunct/>
        <w:topLinePunct w:val="0"/>
        <w:autoSpaceDE/>
        <w:autoSpaceDN/>
        <w:bidi w:val="0"/>
        <w:adjustRightInd/>
        <w:snapToGrid/>
        <w:spacing w:before="0" w:after="0" w:line="580" w:lineRule="exact"/>
        <w:ind w:left="0" w:leftChars="0"/>
        <w:jc w:val="center"/>
        <w:textAlignment w:val="auto"/>
        <w:rPr>
          <w:rFonts w:hint="eastAsia" w:ascii="方正小标宋简体" w:hAnsi="方正小标宋简体" w:eastAsia="方正小标宋简体" w:cs="方正小标宋简体"/>
          <w:b w:val="0"/>
          <w:bCs w:val="0"/>
          <w:color w:val="auto"/>
          <w:kern w:val="0"/>
          <w:sz w:val="36"/>
          <w:szCs w:val="36"/>
        </w:rPr>
      </w:pPr>
      <w:r>
        <w:rPr>
          <w:rFonts w:hint="eastAsia" w:ascii="方正小标宋简体" w:hAnsi="方正小标宋简体" w:eastAsia="方正小标宋简体" w:cs="方正小标宋简体"/>
          <w:b w:val="0"/>
          <w:bCs w:val="0"/>
          <w:color w:val="auto"/>
          <w:kern w:val="0"/>
          <w:sz w:val="36"/>
          <w:szCs w:val="36"/>
        </w:rPr>
        <w:t>第五部分 部门决算表</w:t>
      </w:r>
    </w:p>
    <w:p>
      <w:pPr>
        <w:keepNext w:val="0"/>
        <w:keepLines w:val="0"/>
        <w:pageBreakBefore w:val="0"/>
        <w:widowControl/>
        <w:kinsoku/>
        <w:wordWrap/>
        <w:overflowPunct/>
        <w:topLinePunct w:val="0"/>
        <w:autoSpaceDE/>
        <w:autoSpaceDN/>
        <w:bidi w:val="0"/>
        <w:adjustRightInd/>
        <w:snapToGrid/>
        <w:spacing w:line="580" w:lineRule="exact"/>
        <w:ind w:left="0" w:leftChars="0"/>
        <w:jc w:val="center"/>
        <w:textAlignment w:val="auto"/>
        <w:rPr>
          <w:rFonts w:ascii="Times New Roman" w:hAnsi="Times New Roman" w:eastAsia="Times New Roman" w:cs="Times New Roman"/>
          <w:color w:val="auto"/>
          <w:kern w:val="0"/>
          <w:sz w:val="24"/>
        </w:rPr>
      </w:pPr>
    </w:p>
    <w:p>
      <w:pPr>
        <w:keepNext w:val="0"/>
        <w:keepLines w:val="0"/>
        <w:pageBreakBefore w:val="0"/>
        <w:widowControl/>
        <w:kinsoku/>
        <w:wordWrap/>
        <w:overflowPunct/>
        <w:topLinePunct w:val="0"/>
        <w:autoSpaceDE/>
        <w:autoSpaceDN/>
        <w:bidi w:val="0"/>
        <w:adjustRightInd/>
        <w:snapToGrid/>
        <w:spacing w:line="580" w:lineRule="exact"/>
        <w:ind w:left="0" w:leftChars="0"/>
        <w:jc w:val="left"/>
        <w:textAlignment w:val="auto"/>
        <w:rPr>
          <w:color w:val="auto"/>
        </w:rPr>
      </w:pPr>
      <w:r>
        <w:rPr>
          <w:rFonts w:ascii="fang_song_gb2312" w:hAnsi="fang_song_gb2312" w:eastAsia="fang_song_gb2312" w:cs="fang_song_gb2312"/>
          <w:color w:val="auto"/>
          <w:kern w:val="0"/>
          <w:sz w:val="27"/>
          <w:szCs w:val="27"/>
        </w:rPr>
        <w:t>   </w:t>
      </w:r>
      <w:r>
        <w:rPr>
          <w:rFonts w:hint="eastAsia" w:ascii="fang_song_gb2312" w:hAnsi="fang_song_gb2312" w:eastAsia="fang_song_gb2312" w:cs="fang_song_gb2312"/>
          <w:color w:val="auto"/>
          <w:kern w:val="0"/>
          <w:sz w:val="27"/>
          <w:szCs w:val="27"/>
          <w:lang w:val="en-US" w:eastAsia="zh-CN"/>
        </w:rPr>
        <w:t xml:space="preserve">    </w:t>
      </w:r>
      <w:r>
        <w:rPr>
          <w:rFonts w:hint="eastAsia" w:ascii="仿宋_GB2312" w:hAnsi="仿宋_GB2312" w:eastAsia="仿宋_GB2312" w:cs="仿宋_GB2312"/>
          <w:color w:val="auto"/>
          <w:kern w:val="0"/>
          <w:sz w:val="32"/>
          <w:szCs w:val="32"/>
        </w:rPr>
        <w:t>见附件。</w:t>
      </w:r>
      <w:bookmarkEnd w:id="0"/>
    </w:p>
    <w:sectPr>
      <w:footerReference r:id="rId3" w:type="default"/>
      <w:pgSz w:w="11906" w:h="16838"/>
      <w:pgMar w:top="2098" w:right="1474" w:bottom="1701" w:left="1474" w:header="0" w:footer="720"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仿宋_GB2312">
    <w:altName w:val="方正仿宋_GBK"/>
    <w:panose1 w:val="00000000000000000000"/>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fang_song_gb2312">
    <w:altName w:val="华文仿宋"/>
    <w:panose1 w:val="00000000000000000000"/>
    <w:charset w:val="00"/>
    <w:family w:val="auto"/>
    <w:pitch w:val="default"/>
    <w:sig w:usb0="00000000" w:usb1="00000000" w:usb2="00000000" w:usb3="00000000" w:csb0="00000000" w:csb1="00000000"/>
  </w:font>
  <w:font w:name="CESI仿宋-GB18030">
    <w:panose1 w:val="02000500000000000000"/>
    <w:charset w:val="86"/>
    <w:family w:val="auto"/>
    <w:pitch w:val="default"/>
    <w:sig w:usb0="A00002BF" w:usb1="38C77CFA" w:usb2="00000016" w:usb3="00000000" w:csb0="0004000F" w:csb1="00000000"/>
  </w:font>
  <w:font w:name="kai_ti_gb2312">
    <w:altName w:val="华文仿宋"/>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方正宋体S-超大字符集">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DejaVu Math TeX Gyre">
    <w:panose1 w:val="02000503000000000000"/>
    <w:charset w:val="00"/>
    <w:family w:val="auto"/>
    <w:pitch w:val="default"/>
    <w:sig w:usb0="A10000EF" w:usb1="4201F9EE" w:usb2="02000000" w:usb3="00000000" w:csb0="60000193" w:csb1="0DD4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 PAGE   \* MERGEFORMAT </w:instrText>
    </w:r>
    <w:r>
      <w:fldChar w:fldCharType="separate"/>
    </w:r>
    <w:r>
      <w:rPr>
        <w:lang w:val="zh-CN"/>
      </w:rPr>
      <w:t>26</w:t>
    </w:r>
    <w:r>
      <w:rPr>
        <w:lang w:val="zh-CN"/>
      </w:rPr>
      <w:fldChar w:fldCharType="end"/>
    </w:r>
  </w:p>
  <w:p>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6387FE"/>
    <w:multiLevelType w:val="singleLevel"/>
    <w:tmpl w:val="856387FE"/>
    <w:lvl w:ilvl="0" w:tentative="0">
      <w:start w:val="1"/>
      <w:numFmt w:val="chineseCounting"/>
      <w:suff w:val="nothing"/>
      <w:lvlText w:val="%1、"/>
      <w:lvlJc w:val="left"/>
      <w:rPr>
        <w:rFonts w:hint="eastAsia"/>
      </w:rPr>
    </w:lvl>
  </w:abstractNum>
  <w:abstractNum w:abstractNumId="1">
    <w:nsid w:val="88B9D40B"/>
    <w:multiLevelType w:val="multilevel"/>
    <w:tmpl w:val="88B9D40B"/>
    <w:lvl w:ilvl="0" w:tentative="0">
      <w:start w:val="1"/>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BAF7DC27"/>
    <w:multiLevelType w:val="singleLevel"/>
    <w:tmpl w:val="BAF7DC27"/>
    <w:lvl w:ilvl="0" w:tentative="0">
      <w:start w:val="1"/>
      <w:numFmt w:val="decimal"/>
      <w:suff w:val="space"/>
      <w:lvlText w:val="%1."/>
      <w:lvlJc w:val="left"/>
    </w:lvl>
  </w:abstractNum>
  <w:abstractNum w:abstractNumId="3">
    <w:nsid w:val="BDDE5ED7"/>
    <w:multiLevelType w:val="singleLevel"/>
    <w:tmpl w:val="BDDE5ED7"/>
    <w:lvl w:ilvl="0" w:tentative="0">
      <w:start w:val="1"/>
      <w:numFmt w:val="decimal"/>
      <w:suff w:val="space"/>
      <w:lvlText w:val="%1."/>
      <w:lvlJc w:val="left"/>
    </w:lvl>
  </w:abstractNum>
  <w:abstractNum w:abstractNumId="4">
    <w:nsid w:val="BEFF0583"/>
    <w:multiLevelType w:val="singleLevel"/>
    <w:tmpl w:val="BEFF0583"/>
    <w:lvl w:ilvl="0" w:tentative="0">
      <w:start w:val="1"/>
      <w:numFmt w:val="decimal"/>
      <w:suff w:val="space"/>
      <w:lvlText w:val="%1."/>
      <w:lvlJc w:val="left"/>
    </w:lvl>
  </w:abstractNum>
  <w:abstractNum w:abstractNumId="5">
    <w:nsid w:val="F6FEB8AB"/>
    <w:multiLevelType w:val="singleLevel"/>
    <w:tmpl w:val="F6FEB8AB"/>
    <w:lvl w:ilvl="0" w:tentative="0">
      <w:start w:val="1"/>
      <w:numFmt w:val="decimal"/>
      <w:suff w:val="space"/>
      <w:lvlText w:val="%1."/>
      <w:lvlJc w:val="left"/>
    </w:lvl>
  </w:abstractNum>
  <w:abstractNum w:abstractNumId="6">
    <w:nsid w:val="FDECAD64"/>
    <w:multiLevelType w:val="singleLevel"/>
    <w:tmpl w:val="FDECAD64"/>
    <w:lvl w:ilvl="0" w:tentative="0">
      <w:start w:val="1"/>
      <w:numFmt w:val="decimal"/>
      <w:suff w:val="space"/>
      <w:lvlText w:val="%1."/>
      <w:lvlJc w:val="left"/>
    </w:lvl>
  </w:abstractNum>
  <w:abstractNum w:abstractNumId="7">
    <w:nsid w:val="26C78345"/>
    <w:multiLevelType w:val="singleLevel"/>
    <w:tmpl w:val="26C78345"/>
    <w:lvl w:ilvl="0" w:tentative="0">
      <w:start w:val="1"/>
      <w:numFmt w:val="chineseCounting"/>
      <w:suff w:val="space"/>
      <w:lvlText w:val="第%1部分"/>
      <w:lvlJc w:val="left"/>
      <w:rPr>
        <w:rFonts w:hint="eastAsia"/>
      </w:rPr>
    </w:lvl>
  </w:abstractNum>
  <w:abstractNum w:abstractNumId="8">
    <w:nsid w:val="426D866A"/>
    <w:multiLevelType w:val="singleLevel"/>
    <w:tmpl w:val="426D866A"/>
    <w:lvl w:ilvl="0" w:tentative="0">
      <w:start w:val="3"/>
      <w:numFmt w:val="chineseCounting"/>
      <w:suff w:val="nothing"/>
      <w:lvlText w:val="（%1）"/>
      <w:lvlJc w:val="left"/>
      <w:rPr>
        <w:rFonts w:hint="eastAsia"/>
      </w:rPr>
    </w:lvl>
  </w:abstractNum>
  <w:abstractNum w:abstractNumId="9">
    <w:nsid w:val="6F0249CB"/>
    <w:multiLevelType w:val="singleLevel"/>
    <w:tmpl w:val="6F0249CB"/>
    <w:lvl w:ilvl="0" w:tentative="0">
      <w:start w:val="1"/>
      <w:numFmt w:val="decimal"/>
      <w:suff w:val="space"/>
      <w:lvlText w:val="%1."/>
      <w:lvlJc w:val="left"/>
    </w:lvl>
  </w:abstractNum>
  <w:abstractNum w:abstractNumId="10">
    <w:nsid w:val="7FDF6413"/>
    <w:multiLevelType w:val="singleLevel"/>
    <w:tmpl w:val="7FDF6413"/>
    <w:lvl w:ilvl="0" w:tentative="0">
      <w:start w:val="1"/>
      <w:numFmt w:val="decimal"/>
      <w:suff w:val="space"/>
      <w:lvlText w:val="%1."/>
      <w:lvlJc w:val="left"/>
    </w:lvl>
  </w:abstractNum>
  <w:num w:numId="1">
    <w:abstractNumId w:val="7"/>
  </w:num>
  <w:num w:numId="2">
    <w:abstractNumId w:val="0"/>
  </w:num>
  <w:num w:numId="3">
    <w:abstractNumId w:val="5"/>
  </w:num>
  <w:num w:numId="4">
    <w:abstractNumId w:val="9"/>
  </w:num>
  <w:num w:numId="5">
    <w:abstractNumId w:val="10"/>
  </w:num>
  <w:num w:numId="6">
    <w:abstractNumId w:val="3"/>
  </w:num>
  <w:num w:numId="7">
    <w:abstractNumId w:val="1"/>
  </w:num>
  <w:num w:numId="8">
    <w:abstractNumId w:val="6"/>
  </w:num>
  <w:num w:numId="9">
    <w:abstractNumId w:val="2"/>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3M2MzNjAyNzdmZDk4NDNkZjA3OTVkMjE4MzU2ZjkifQ=="/>
  </w:docVars>
  <w:rsids>
    <w:rsidRoot w:val="009F0536"/>
    <w:rsid w:val="0000662F"/>
    <w:rsid w:val="00023E75"/>
    <w:rsid w:val="00033C6A"/>
    <w:rsid w:val="00063AC2"/>
    <w:rsid w:val="000774F0"/>
    <w:rsid w:val="0008308B"/>
    <w:rsid w:val="00097269"/>
    <w:rsid w:val="000A769F"/>
    <w:rsid w:val="000D3889"/>
    <w:rsid w:val="0010682D"/>
    <w:rsid w:val="001620BF"/>
    <w:rsid w:val="001814D4"/>
    <w:rsid w:val="00183373"/>
    <w:rsid w:val="001E7634"/>
    <w:rsid w:val="00204509"/>
    <w:rsid w:val="00225D2E"/>
    <w:rsid w:val="0023107E"/>
    <w:rsid w:val="00233241"/>
    <w:rsid w:val="00297C52"/>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67493"/>
    <w:rsid w:val="006C017F"/>
    <w:rsid w:val="006E7255"/>
    <w:rsid w:val="007003B2"/>
    <w:rsid w:val="007402A0"/>
    <w:rsid w:val="00762248"/>
    <w:rsid w:val="00787000"/>
    <w:rsid w:val="007A7BA5"/>
    <w:rsid w:val="007B6706"/>
    <w:rsid w:val="007C1FDD"/>
    <w:rsid w:val="007D6292"/>
    <w:rsid w:val="00857D98"/>
    <w:rsid w:val="00894C48"/>
    <w:rsid w:val="00896385"/>
    <w:rsid w:val="008A10DB"/>
    <w:rsid w:val="008B5455"/>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D3751"/>
    <w:rsid w:val="00D2051A"/>
    <w:rsid w:val="00D96390"/>
    <w:rsid w:val="00E219E7"/>
    <w:rsid w:val="00E60D6A"/>
    <w:rsid w:val="00E73321"/>
    <w:rsid w:val="00E77EC0"/>
    <w:rsid w:val="00E914C1"/>
    <w:rsid w:val="00E97C37"/>
    <w:rsid w:val="00EE533B"/>
    <w:rsid w:val="00F04882"/>
    <w:rsid w:val="00F63327"/>
    <w:rsid w:val="00F80A29"/>
    <w:rsid w:val="00FA7CA5"/>
    <w:rsid w:val="00FD08EC"/>
    <w:rsid w:val="00FD7690"/>
    <w:rsid w:val="01F67D82"/>
    <w:rsid w:val="03FE4C3A"/>
    <w:rsid w:val="05DB66E8"/>
    <w:rsid w:val="06D37FD8"/>
    <w:rsid w:val="08A96597"/>
    <w:rsid w:val="0AEC7357"/>
    <w:rsid w:val="0EF54A4F"/>
    <w:rsid w:val="0FFF1994"/>
    <w:rsid w:val="119EB2F8"/>
    <w:rsid w:val="15B57344"/>
    <w:rsid w:val="17685EB7"/>
    <w:rsid w:val="186FDF1B"/>
    <w:rsid w:val="1AF87926"/>
    <w:rsid w:val="1BE3CFA7"/>
    <w:rsid w:val="1C2C068D"/>
    <w:rsid w:val="1CE62C9E"/>
    <w:rsid w:val="1D9F723F"/>
    <w:rsid w:val="1DDFBCB0"/>
    <w:rsid w:val="1EFFCBA2"/>
    <w:rsid w:val="1FCD6C67"/>
    <w:rsid w:val="22121941"/>
    <w:rsid w:val="23A012DB"/>
    <w:rsid w:val="26AF8D8B"/>
    <w:rsid w:val="2829642B"/>
    <w:rsid w:val="29D78463"/>
    <w:rsid w:val="29F5A4A1"/>
    <w:rsid w:val="2AAF2FB6"/>
    <w:rsid w:val="2BA6110A"/>
    <w:rsid w:val="2BEF8040"/>
    <w:rsid w:val="306541AD"/>
    <w:rsid w:val="332C6B2D"/>
    <w:rsid w:val="35F47DCA"/>
    <w:rsid w:val="36F6F7DA"/>
    <w:rsid w:val="36FF1AB3"/>
    <w:rsid w:val="36FFD87E"/>
    <w:rsid w:val="3794166E"/>
    <w:rsid w:val="39405C84"/>
    <w:rsid w:val="397F1475"/>
    <w:rsid w:val="3AB16FD4"/>
    <w:rsid w:val="3AC248BA"/>
    <w:rsid w:val="3CFB5BE3"/>
    <w:rsid w:val="3F7D3592"/>
    <w:rsid w:val="3FDB4B8A"/>
    <w:rsid w:val="3FDF4D49"/>
    <w:rsid w:val="3FF03F62"/>
    <w:rsid w:val="3FFD6FE1"/>
    <w:rsid w:val="45F7B6BC"/>
    <w:rsid w:val="46000073"/>
    <w:rsid w:val="47EFF56A"/>
    <w:rsid w:val="49774ED2"/>
    <w:rsid w:val="4BFF3E83"/>
    <w:rsid w:val="4CC52337"/>
    <w:rsid w:val="4DAFF493"/>
    <w:rsid w:val="4E8E8E8E"/>
    <w:rsid w:val="4ECB6487"/>
    <w:rsid w:val="4FA9F7E7"/>
    <w:rsid w:val="4FEBED59"/>
    <w:rsid w:val="4FF060C1"/>
    <w:rsid w:val="50487318"/>
    <w:rsid w:val="52E52FC3"/>
    <w:rsid w:val="55F5DD93"/>
    <w:rsid w:val="57B782F7"/>
    <w:rsid w:val="57FD2EDF"/>
    <w:rsid w:val="586621FB"/>
    <w:rsid w:val="5A6F9DCE"/>
    <w:rsid w:val="5ADEA19B"/>
    <w:rsid w:val="5B9D1D09"/>
    <w:rsid w:val="5C8C34A3"/>
    <w:rsid w:val="5D37E564"/>
    <w:rsid w:val="5DFD5454"/>
    <w:rsid w:val="5DFF0C4D"/>
    <w:rsid w:val="5F374193"/>
    <w:rsid w:val="5F3B7EF2"/>
    <w:rsid w:val="5FF76EDB"/>
    <w:rsid w:val="5FF7D8C3"/>
    <w:rsid w:val="5FFFB031"/>
    <w:rsid w:val="60A14FAB"/>
    <w:rsid w:val="633F6D2F"/>
    <w:rsid w:val="63860FC2"/>
    <w:rsid w:val="64EE2391"/>
    <w:rsid w:val="66037B5E"/>
    <w:rsid w:val="667CEDE9"/>
    <w:rsid w:val="6693498E"/>
    <w:rsid w:val="66B86B2E"/>
    <w:rsid w:val="66EFEE36"/>
    <w:rsid w:val="675C1E33"/>
    <w:rsid w:val="67FFA9CB"/>
    <w:rsid w:val="69FFD387"/>
    <w:rsid w:val="6A77D17E"/>
    <w:rsid w:val="6ACA582D"/>
    <w:rsid w:val="6BE5B30C"/>
    <w:rsid w:val="6BF16E50"/>
    <w:rsid w:val="6CED562C"/>
    <w:rsid w:val="6DBFD0D5"/>
    <w:rsid w:val="6E7FE2C6"/>
    <w:rsid w:val="6EF3BD88"/>
    <w:rsid w:val="6F37F22F"/>
    <w:rsid w:val="6F3EE17C"/>
    <w:rsid w:val="6F7BE803"/>
    <w:rsid w:val="6FABFB87"/>
    <w:rsid w:val="71F7F202"/>
    <w:rsid w:val="73AA4B0C"/>
    <w:rsid w:val="74C21556"/>
    <w:rsid w:val="75EFBE55"/>
    <w:rsid w:val="76E7E3CC"/>
    <w:rsid w:val="76F9EA06"/>
    <w:rsid w:val="7757ADEE"/>
    <w:rsid w:val="777A853D"/>
    <w:rsid w:val="777E9D20"/>
    <w:rsid w:val="77B728AE"/>
    <w:rsid w:val="77BFCC68"/>
    <w:rsid w:val="77BFDF22"/>
    <w:rsid w:val="77C200A5"/>
    <w:rsid w:val="77F9FBBC"/>
    <w:rsid w:val="77FE5C92"/>
    <w:rsid w:val="77FF9B24"/>
    <w:rsid w:val="78FFBCB0"/>
    <w:rsid w:val="7A6F4D90"/>
    <w:rsid w:val="7AFB279A"/>
    <w:rsid w:val="7B37E08F"/>
    <w:rsid w:val="7BBEC540"/>
    <w:rsid w:val="7BC30A63"/>
    <w:rsid w:val="7BFB090C"/>
    <w:rsid w:val="7CF626E3"/>
    <w:rsid w:val="7D6F0DD4"/>
    <w:rsid w:val="7DAF3D55"/>
    <w:rsid w:val="7DEDAC8E"/>
    <w:rsid w:val="7DF79DAB"/>
    <w:rsid w:val="7DF7CA9B"/>
    <w:rsid w:val="7DF9D21B"/>
    <w:rsid w:val="7E5FAAD7"/>
    <w:rsid w:val="7E77E4E3"/>
    <w:rsid w:val="7ECBE163"/>
    <w:rsid w:val="7ECDF6F4"/>
    <w:rsid w:val="7EDF4876"/>
    <w:rsid w:val="7EEB6C44"/>
    <w:rsid w:val="7EF8875C"/>
    <w:rsid w:val="7EFB944C"/>
    <w:rsid w:val="7EFDC91E"/>
    <w:rsid w:val="7F325FDD"/>
    <w:rsid w:val="7F5BA913"/>
    <w:rsid w:val="7F73DC9B"/>
    <w:rsid w:val="7F7F0430"/>
    <w:rsid w:val="7F7FDBB8"/>
    <w:rsid w:val="7FEF3B89"/>
    <w:rsid w:val="7FFB0401"/>
    <w:rsid w:val="956F750D"/>
    <w:rsid w:val="97E7EBA1"/>
    <w:rsid w:val="9B3FC36B"/>
    <w:rsid w:val="9FDC4ADD"/>
    <w:rsid w:val="9FF9F35A"/>
    <w:rsid w:val="A48FFBB2"/>
    <w:rsid w:val="B3BF6B3F"/>
    <w:rsid w:val="B6B5D847"/>
    <w:rsid w:val="B7F7D72E"/>
    <w:rsid w:val="BA7B23C6"/>
    <w:rsid w:val="BB6D8E45"/>
    <w:rsid w:val="BB9F0A81"/>
    <w:rsid w:val="BBF33338"/>
    <w:rsid w:val="BC6F8850"/>
    <w:rsid w:val="BDDD95D3"/>
    <w:rsid w:val="BEE7EEA6"/>
    <w:rsid w:val="BF97FF41"/>
    <w:rsid w:val="BFBAF451"/>
    <w:rsid w:val="BFD60651"/>
    <w:rsid w:val="C7E2EFFD"/>
    <w:rsid w:val="CABF3430"/>
    <w:rsid w:val="CAFA3B58"/>
    <w:rsid w:val="CFC7D4AE"/>
    <w:rsid w:val="D1C14E02"/>
    <w:rsid w:val="D31FEFF2"/>
    <w:rsid w:val="D7EBE10B"/>
    <w:rsid w:val="DBA74E71"/>
    <w:rsid w:val="DCF62791"/>
    <w:rsid w:val="DCFF24A6"/>
    <w:rsid w:val="DD7F85E5"/>
    <w:rsid w:val="DF1F3C25"/>
    <w:rsid w:val="DF562D8F"/>
    <w:rsid w:val="DF6DBE7C"/>
    <w:rsid w:val="DF7F2F2D"/>
    <w:rsid w:val="DFBF8358"/>
    <w:rsid w:val="DFEFFB3E"/>
    <w:rsid w:val="DFF77598"/>
    <w:rsid w:val="DFF7AE13"/>
    <w:rsid w:val="E5D36D0D"/>
    <w:rsid w:val="E5DB9582"/>
    <w:rsid w:val="E6ED69FC"/>
    <w:rsid w:val="E7768014"/>
    <w:rsid w:val="E7EF804B"/>
    <w:rsid w:val="EC1F5C10"/>
    <w:rsid w:val="ED7B59D8"/>
    <w:rsid w:val="EDBEF1F7"/>
    <w:rsid w:val="EF77A662"/>
    <w:rsid w:val="EF7F59A8"/>
    <w:rsid w:val="EFA7BF80"/>
    <w:rsid w:val="EFBE910B"/>
    <w:rsid w:val="EFBF7963"/>
    <w:rsid w:val="EFFEE99D"/>
    <w:rsid w:val="F37EA91E"/>
    <w:rsid w:val="F3E6F742"/>
    <w:rsid w:val="F5F525E6"/>
    <w:rsid w:val="F73FEA56"/>
    <w:rsid w:val="F77F9F47"/>
    <w:rsid w:val="F7C7F8B7"/>
    <w:rsid w:val="F7F5DE55"/>
    <w:rsid w:val="F7FE5DCA"/>
    <w:rsid w:val="F7FF85E1"/>
    <w:rsid w:val="F8BD687A"/>
    <w:rsid w:val="F9AFBC15"/>
    <w:rsid w:val="FA7FE1DF"/>
    <w:rsid w:val="FACBB27C"/>
    <w:rsid w:val="FB7D581D"/>
    <w:rsid w:val="FBB9E4B3"/>
    <w:rsid w:val="FBDC9F4B"/>
    <w:rsid w:val="FBFBDBDF"/>
    <w:rsid w:val="FBFECADC"/>
    <w:rsid w:val="FCE33F51"/>
    <w:rsid w:val="FCEFAD37"/>
    <w:rsid w:val="FCEFF784"/>
    <w:rsid w:val="FCFB8239"/>
    <w:rsid w:val="FCFFC421"/>
    <w:rsid w:val="FDF00CA9"/>
    <w:rsid w:val="FE472D3D"/>
    <w:rsid w:val="FE734873"/>
    <w:rsid w:val="FE9C18E4"/>
    <w:rsid w:val="FEA7B1DB"/>
    <w:rsid w:val="FEAD1D80"/>
    <w:rsid w:val="FEB74F76"/>
    <w:rsid w:val="FEBFC1AB"/>
    <w:rsid w:val="FED3F143"/>
    <w:rsid w:val="FEF11496"/>
    <w:rsid w:val="FF2A1700"/>
    <w:rsid w:val="FF5FF9D6"/>
    <w:rsid w:val="FF739497"/>
    <w:rsid w:val="FF7FE899"/>
    <w:rsid w:val="FFDF76D4"/>
    <w:rsid w:val="FFE270E5"/>
    <w:rsid w:val="FFEBC390"/>
    <w:rsid w:val="FFF50A7C"/>
    <w:rsid w:val="FFF9725D"/>
    <w:rsid w:val="FFFB6D32"/>
    <w:rsid w:val="FFFE1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29"/>
    <w:qFormat/>
    <w:uiPriority w:val="0"/>
    <w:pPr>
      <w:keepNext/>
      <w:keepLines/>
      <w:spacing w:before="260" w:after="260" w:line="416" w:lineRule="auto"/>
      <w:outlineLvl w:val="2"/>
    </w:pPr>
    <w:rPr>
      <w:b/>
      <w:bCs/>
      <w:sz w:val="32"/>
      <w:szCs w:val="32"/>
    </w:rPr>
  </w:style>
  <w:style w:type="paragraph" w:styleId="7">
    <w:name w:val="heading 4"/>
    <w:basedOn w:val="1"/>
    <w:next w:val="1"/>
    <w:link w:val="24"/>
    <w:qFormat/>
    <w:uiPriority w:val="0"/>
    <w:pPr>
      <w:keepNext/>
      <w:keepLines/>
      <w:spacing w:before="280" w:after="290" w:line="376" w:lineRule="auto"/>
      <w:outlineLvl w:val="3"/>
    </w:pPr>
    <w:rPr>
      <w:rFonts w:ascii="Cambria" w:hAnsi="Cambria"/>
      <w:b/>
      <w:bCs/>
      <w:sz w:val="28"/>
      <w:szCs w:val="28"/>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autoSpaceDE/>
      <w:autoSpaceDN/>
      <w:adjustRightInd/>
      <w:spacing w:beforeLines="0" w:afterLines="0"/>
      <w:ind w:firstLine="420"/>
    </w:pPr>
    <w:rPr>
      <w:rFonts w:hint="eastAsia" w:ascii="宋体" w:hAnsi="宋体" w:eastAsia="宋体"/>
      <w:sz w:val="24"/>
      <w:szCs w:val="24"/>
    </w:rPr>
  </w:style>
  <w:style w:type="paragraph" w:styleId="3">
    <w:name w:val="Body Text Indent"/>
    <w:basedOn w:val="1"/>
    <w:unhideWhenUsed/>
    <w:qFormat/>
    <w:uiPriority w:val="99"/>
    <w:pPr>
      <w:spacing w:beforeLines="0" w:after="120" w:afterLines="0"/>
      <w:ind w:left="420" w:leftChars="200"/>
    </w:pPr>
    <w:rPr>
      <w:rFonts w:hint="eastAsia"/>
      <w:sz w:val="24"/>
      <w:szCs w:val="24"/>
    </w:rPr>
  </w:style>
  <w:style w:type="paragraph" w:styleId="8">
    <w:name w:val="toc 7"/>
    <w:basedOn w:val="1"/>
    <w:next w:val="1"/>
    <w:qFormat/>
    <w:uiPriority w:val="0"/>
    <w:pPr>
      <w:ind w:left="1260"/>
      <w:jc w:val="left"/>
    </w:pPr>
    <w:rPr>
      <w:sz w:val="20"/>
      <w:szCs w:val="20"/>
    </w:rPr>
  </w:style>
  <w:style w:type="paragraph" w:styleId="9">
    <w:name w:val="Document Map"/>
    <w:basedOn w:val="1"/>
    <w:qFormat/>
    <w:uiPriority w:val="0"/>
    <w:pPr>
      <w:shd w:val="clear" w:color="auto" w:fill="000080"/>
    </w:pPr>
  </w:style>
  <w:style w:type="paragraph" w:styleId="10">
    <w:name w:val="toc 5"/>
    <w:basedOn w:val="1"/>
    <w:next w:val="1"/>
    <w:qFormat/>
    <w:uiPriority w:val="0"/>
    <w:pPr>
      <w:ind w:left="840"/>
      <w:jc w:val="left"/>
    </w:pPr>
    <w:rPr>
      <w:sz w:val="20"/>
      <w:szCs w:val="20"/>
    </w:rPr>
  </w:style>
  <w:style w:type="paragraph" w:styleId="11">
    <w:name w:val="toc 3"/>
    <w:basedOn w:val="1"/>
    <w:next w:val="1"/>
    <w:qFormat/>
    <w:uiPriority w:val="0"/>
    <w:pPr>
      <w:adjustRightInd w:val="0"/>
      <w:snapToGrid w:val="0"/>
      <w:spacing w:line="360" w:lineRule="auto"/>
      <w:ind w:firstLine="400" w:firstLineChars="400"/>
      <w:jc w:val="left"/>
    </w:pPr>
    <w:rPr>
      <w:sz w:val="24"/>
      <w:szCs w:val="20"/>
    </w:rPr>
  </w:style>
  <w:style w:type="paragraph" w:styleId="12">
    <w:name w:val="toc 8"/>
    <w:basedOn w:val="1"/>
    <w:next w:val="1"/>
    <w:qFormat/>
    <w:uiPriority w:val="0"/>
    <w:pPr>
      <w:ind w:left="1470"/>
      <w:jc w:val="left"/>
    </w:pPr>
    <w:rPr>
      <w:sz w:val="20"/>
      <w:szCs w:val="20"/>
    </w:rPr>
  </w:style>
  <w:style w:type="paragraph" w:styleId="13">
    <w:name w:val="footer"/>
    <w:basedOn w:val="1"/>
    <w:link w:val="27"/>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adjustRightInd w:val="0"/>
      <w:snapToGrid w:val="0"/>
      <w:spacing w:line="360" w:lineRule="auto"/>
      <w:jc w:val="left"/>
    </w:pPr>
    <w:rPr>
      <w:b/>
      <w:bCs/>
      <w:sz w:val="24"/>
      <w:szCs w:val="20"/>
    </w:rPr>
  </w:style>
  <w:style w:type="paragraph" w:styleId="16">
    <w:name w:val="toc 4"/>
    <w:basedOn w:val="1"/>
    <w:next w:val="1"/>
    <w:qFormat/>
    <w:uiPriority w:val="0"/>
    <w:pPr>
      <w:ind w:left="630"/>
      <w:jc w:val="left"/>
    </w:pPr>
    <w:rPr>
      <w:sz w:val="20"/>
      <w:szCs w:val="20"/>
    </w:rPr>
  </w:style>
  <w:style w:type="paragraph" w:styleId="17">
    <w:name w:val="toc 6"/>
    <w:basedOn w:val="1"/>
    <w:next w:val="1"/>
    <w:qFormat/>
    <w:uiPriority w:val="0"/>
    <w:pPr>
      <w:ind w:left="1050"/>
      <w:jc w:val="left"/>
    </w:pPr>
    <w:rPr>
      <w:sz w:val="20"/>
      <w:szCs w:val="20"/>
    </w:rPr>
  </w:style>
  <w:style w:type="paragraph" w:styleId="18">
    <w:name w:val="toc 2"/>
    <w:basedOn w:val="1"/>
    <w:next w:val="1"/>
    <w:qFormat/>
    <w:uiPriority w:val="0"/>
    <w:pPr>
      <w:adjustRightInd w:val="0"/>
      <w:snapToGrid w:val="0"/>
      <w:spacing w:line="360" w:lineRule="auto"/>
      <w:ind w:firstLine="200" w:firstLineChars="200"/>
      <w:jc w:val="left"/>
    </w:pPr>
    <w:rPr>
      <w:iCs/>
      <w:sz w:val="24"/>
      <w:szCs w:val="20"/>
    </w:rPr>
  </w:style>
  <w:style w:type="paragraph" w:styleId="19">
    <w:name w:val="toc 9"/>
    <w:basedOn w:val="1"/>
    <w:next w:val="1"/>
    <w:qFormat/>
    <w:uiPriority w:val="0"/>
    <w:pPr>
      <w:ind w:left="1680"/>
      <w:jc w:val="left"/>
    </w:pPr>
    <w:rPr>
      <w:sz w:val="20"/>
      <w:szCs w:val="20"/>
    </w:rPr>
  </w:style>
  <w:style w:type="character" w:styleId="22">
    <w:name w:val="page number"/>
    <w:basedOn w:val="21"/>
    <w:qFormat/>
    <w:uiPriority w:val="0"/>
  </w:style>
  <w:style w:type="character" w:styleId="23">
    <w:name w:val="Hyperlink"/>
    <w:basedOn w:val="21"/>
    <w:qFormat/>
    <w:uiPriority w:val="0"/>
    <w:rPr>
      <w:color w:val="0000FF"/>
      <w:u w:val="single"/>
    </w:rPr>
  </w:style>
  <w:style w:type="character" w:customStyle="1" w:styleId="24">
    <w:name w:val="标题 4 字符"/>
    <w:basedOn w:val="21"/>
    <w:link w:val="7"/>
    <w:qFormat/>
    <w:uiPriority w:val="0"/>
    <w:rPr>
      <w:rFonts w:ascii="Cambria" w:hAnsi="Cambria"/>
      <w:b/>
      <w:bCs/>
      <w:kern w:val="2"/>
      <w:sz w:val="28"/>
      <w:szCs w:val="28"/>
    </w:rPr>
  </w:style>
  <w:style w:type="paragraph" w:styleId="25">
    <w:name w:val="No Spacing"/>
    <w:link w:val="26"/>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6">
    <w:name w:val="无间隔 字符"/>
    <w:link w:val="25"/>
    <w:qFormat/>
    <w:locked/>
    <w:uiPriority w:val="0"/>
    <w:rPr>
      <w:rFonts w:eastAsia="仿宋_GB2312"/>
      <w:sz w:val="30"/>
      <w:szCs w:val="22"/>
      <w:lang w:bidi="ar-SA"/>
    </w:rPr>
  </w:style>
  <w:style w:type="character" w:customStyle="1" w:styleId="27">
    <w:name w:val="页脚 字符"/>
    <w:basedOn w:val="21"/>
    <w:link w:val="13"/>
    <w:qFormat/>
    <w:uiPriority w:val="0"/>
    <w:rPr>
      <w:kern w:val="2"/>
      <w:sz w:val="18"/>
      <w:szCs w:val="18"/>
    </w:rPr>
  </w:style>
  <w:style w:type="paragraph" w:styleId="28">
    <w:name w:val="List Paragraph"/>
    <w:basedOn w:val="1"/>
    <w:qFormat/>
    <w:uiPriority w:val="0"/>
    <w:pPr>
      <w:ind w:firstLine="420" w:firstLineChars="200"/>
    </w:pPr>
  </w:style>
  <w:style w:type="character" w:customStyle="1" w:styleId="29">
    <w:name w:val="标题 3 字符"/>
    <w:basedOn w:val="21"/>
    <w:link w:val="6"/>
    <w:qFormat/>
    <w:uiPriority w:val="0"/>
    <w:rPr>
      <w:b/>
      <w:bCs/>
      <w:kern w:val="2"/>
      <w:sz w:val="32"/>
      <w:szCs w:val="32"/>
    </w:rPr>
  </w:style>
  <w:style w:type="paragraph" w:customStyle="1" w:styleId="30">
    <w:name w:val="MsoNormal"/>
    <w:basedOn w:val="1"/>
    <w:qFormat/>
    <w:uiPriority w:val="0"/>
  </w:style>
  <w:style w:type="paragraph" w:customStyle="1" w:styleId="31">
    <w:name w:val="MsoBodyText"/>
    <w:basedOn w:val="1"/>
    <w:qFormat/>
    <w:uiPriority w:val="0"/>
  </w:style>
  <w:style w:type="paragraph" w:customStyle="1" w:styleId="32">
    <w:name w:val="MsoBodyTextFirstIndent2"/>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800" b="1" i="0" u="none" strike="noStrike" kern="1200" baseline="0">
              <a:solidFill>
                <a:schemeClr val="dk1">
                  <a:lumMod val="75000"/>
                  <a:lumOff val="25000"/>
                </a:schemeClr>
              </a:solidFill>
              <a:latin typeface="+mn-lt"/>
              <a:ea typeface="+mn-ea"/>
              <a:cs typeface="+mn-cs"/>
            </a:defRPr>
          </a:pPr>
        </a:p>
      </c:txPr>
    </c:title>
    <c:autoTitleDeleted val="false"/>
    <c:plotArea>
      <c:layout/>
      <c:pieChart>
        <c:varyColors val="true"/>
        <c:ser>
          <c:idx val="0"/>
          <c:order val="0"/>
          <c:tx>
            <c:strRef>
              <c:f>Sheet1!$B$1</c:f>
              <c:strCache>
                <c:ptCount val="1"/>
                <c:pt idx="0">
                  <c:v>收入决算图</c:v>
                </c:pt>
              </c:strCache>
            </c:strRef>
          </c:tx>
          <c:spPr/>
          <c:explosion val="0"/>
          <c:dPt>
            <c:idx val="0"/>
            <c:bubble3D val="false"/>
            <c:spPr>
              <a:solidFill>
                <a:schemeClr val="accent1"/>
              </a:solidFill>
              <a:ln>
                <a:noFill/>
              </a:ln>
              <a:effectLst>
                <a:outerShdw blurRad="254000" sx="102000" sy="102000" algn="ctr" rotWithShape="0">
                  <a:prstClr val="black">
                    <a:alpha val="20000"/>
                  </a:prstClr>
                </a:outerShdw>
              </a:effectLst>
            </c:spPr>
          </c:dPt>
          <c:dPt>
            <c:idx val="1"/>
            <c:bubble3D val="false"/>
            <c:spPr>
              <a:solidFill>
                <a:schemeClr val="accent2"/>
              </a:solidFill>
              <a:ln>
                <a:noFill/>
              </a:ln>
              <a:effectLst>
                <a:outerShdw blurRad="254000" sx="102000" sy="102000" algn="ctr" rotWithShape="0">
                  <a:prstClr val="black">
                    <a:alpha val="20000"/>
                  </a:prstClr>
                </a:outerShdw>
              </a:effectLst>
            </c:spPr>
          </c:dPt>
          <c:dPt>
            <c:idx val="2"/>
            <c:bubble3D val="false"/>
            <c:spPr>
              <a:solidFill>
                <a:schemeClr val="accent3"/>
              </a:solidFill>
              <a:ln>
                <a:noFill/>
              </a:ln>
              <a:effectLst>
                <a:outerShdw blurRad="254000" sx="102000" sy="102000" algn="ctr" rotWithShape="0">
                  <a:prstClr val="black">
                    <a:alpha val="20000"/>
                  </a:prstClr>
                </a:outerShdw>
              </a:effectLst>
            </c:spPr>
          </c:dPt>
          <c:dPt>
            <c:idx val="3"/>
            <c:bubble3D val="false"/>
            <c:spPr>
              <a:solidFill>
                <a:schemeClr val="accent4"/>
              </a:solidFill>
              <a:ln>
                <a:noFill/>
              </a:ln>
              <a:effectLst>
                <a:outerShdw blurRad="254000" sx="102000" sy="102000" algn="ctr" rotWithShape="0">
                  <a:prstClr val="black">
                    <a:alpha val="20000"/>
                  </a:prstClr>
                </a:outerShdw>
              </a:effectLst>
            </c:spPr>
          </c:dPt>
          <c:dPt>
            <c:idx val="4"/>
            <c:bubble3D val="false"/>
            <c:spPr>
              <a:solidFill>
                <a:schemeClr val="accent5"/>
              </a:solidFill>
              <a:ln>
                <a:noFill/>
              </a:ln>
              <a:effectLst>
                <a:outerShdw blurRad="254000" sx="102000" sy="102000" algn="ctr" rotWithShape="0">
                  <a:prstClr val="black">
                    <a:alpha val="20000"/>
                  </a:prstClr>
                </a:outerShdw>
              </a:effectLst>
            </c:spPr>
          </c:dPt>
          <c:dPt>
            <c:idx val="5"/>
            <c:bubble3D val="false"/>
            <c:spPr>
              <a:solidFill>
                <a:schemeClr val="accent6"/>
              </a:solidFill>
              <a:ln>
                <a:noFill/>
              </a:ln>
              <a:effectLst>
                <a:outerShdw blurRad="254000" sx="102000" sy="102000" algn="ctr" rotWithShape="0">
                  <a:prstClr val="black">
                    <a:alpha val="20000"/>
                  </a:prstClr>
                </a:outerShdw>
              </a:effectLst>
            </c:spPr>
          </c:dPt>
          <c:dPt>
            <c:idx val="6"/>
            <c:bubble3D val="false"/>
            <c:spPr>
              <a:solidFill>
                <a:schemeClr val="accent1">
                  <a:lumMod val="60000"/>
                </a:schemeClr>
              </a:solidFill>
              <a:ln>
                <a:noFill/>
              </a:ln>
              <a:effectLst>
                <a:outerShdw blurRad="254000" sx="102000" sy="102000" algn="ctr" rotWithShape="0">
                  <a:prstClr val="black">
                    <a:alpha val="20000"/>
                  </a:prstClr>
                </a:outerShdw>
              </a:effectLst>
            </c:spPr>
          </c:dPt>
          <c:dPt>
            <c:idx val="7"/>
            <c:bubble3D val="false"/>
            <c:spPr>
              <a:solidFill>
                <a:schemeClr val="accent2">
                  <a:lumMod val="60000"/>
                </a:schemeClr>
              </a:solidFill>
              <a:ln>
                <a:noFill/>
              </a:ln>
              <a:effectLst>
                <a:outerShdw blurRad="254000" sx="102000" sy="102000" algn="ctr" rotWithShape="0">
                  <a:prstClr val="black">
                    <a:alpha val="20000"/>
                  </a:prstClr>
                </a:outerShdw>
              </a:effectLst>
            </c:spPr>
          </c:dPt>
          <c:dLbls>
            <c:dLbl>
              <c:idx val="0"/>
              <c:layout/>
              <c:tx>
                <c:rich>
                  <a:bodyPr rot="0" spcFirstLastPara="0" vertOverflow="ellipsis" vert="horz" wrap="square" lIns="38100" tIns="19050" rIns="38100" bIns="19050" anchor="ctr" anchorCtr="true"/>
                  <a:lstStyle/>
                  <a:p>
                    <a:pPr defTabSz="914400">
                      <a:defRPr lang="zh-CN" sz="1000" b="1" i="0" u="none" strike="noStrike" kern="1200" baseline="0">
                        <a:solidFill>
                          <a:schemeClr val="lt1"/>
                        </a:solidFill>
                        <a:latin typeface="+mn-lt"/>
                        <a:ea typeface="+mn-ea"/>
                        <a:cs typeface="+mn-cs"/>
                      </a:defRPr>
                    </a:pPr>
                    <a:r>
                      <a:rPr lang="en-US" altLang="zh-CN"/>
                      <a:t>85.87</a:t>
                    </a:r>
                    <a:r>
                      <a:t>%</a:t>
                    </a:r>
                  </a:p>
                </c:rich>
              </c:tx>
              <c:dLblPos val="bestFit"/>
              <c:showLegendKey val="false"/>
              <c:showVal val="true"/>
              <c:showCatName val="false"/>
              <c:showSerName val="false"/>
              <c:showPercent val="false"/>
              <c:showBubbleSize val="false"/>
              <c:extLst>
                <c:ext xmlns:c15="http://schemas.microsoft.com/office/drawing/2012/chart" uri="{CE6537A1-D6FC-4f65-9D91-7224C49458BB}"/>
              </c:extLst>
            </c:dLbl>
            <c:dLbl>
              <c:idx val="7"/>
              <c:layout/>
              <c:tx>
                <c:rich>
                  <a:bodyPr rot="0" spcFirstLastPara="0" vertOverflow="ellipsis" vert="horz" wrap="square" lIns="38100" tIns="19050" rIns="38100" bIns="19050" anchor="ctr" anchorCtr="true"/>
                  <a:lstStyle/>
                  <a:p>
                    <a:pPr defTabSz="914400">
                      <a:defRPr lang="zh-CN" sz="1000" b="1" i="0" u="none" strike="noStrike" kern="1200" baseline="0">
                        <a:solidFill>
                          <a:schemeClr val="lt1"/>
                        </a:solidFill>
                        <a:latin typeface="+mn-lt"/>
                        <a:ea typeface="+mn-ea"/>
                        <a:cs typeface="+mn-cs"/>
                      </a:defRPr>
                    </a:pPr>
                    <a:r>
                      <a:rPr lang="en-US" altLang="zh-CN"/>
                      <a:t>14.13</a:t>
                    </a:r>
                    <a:r>
                      <a:t>%</a:t>
                    </a:r>
                  </a:p>
                </c:rich>
              </c:tx>
              <c:dLblPos val="bestFit"/>
              <c:showLegendKey val="false"/>
              <c:showVal val="true"/>
              <c:showCatName val="false"/>
              <c:showSerName val="false"/>
              <c:showPercent val="false"/>
              <c:showBubbleSize val="false"/>
              <c:extLst>
                <c:ext xmlns:c15="http://schemas.microsoft.com/office/drawing/2012/chart" uri="{CE6537A1-D6FC-4f65-9D91-7224C49458BB}"/>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true"/>
              <a:lstStyle/>
              <a:p>
                <a:pPr>
                  <a:defRPr lang="zh-CN" sz="1000" b="1" i="0" u="none" strike="noStrike" kern="1200" baseline="0">
                    <a:solidFill>
                      <a:schemeClr val="lt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a:solidFill>
                        <a:schemeClr val="dk1">
                          <a:lumMod val="50000"/>
                          <a:lumOff val="50000"/>
                        </a:schemeClr>
                      </a:solidFill>
                    </a:ln>
                    <a:effectLst/>
                  </c:spPr>
                </c15:leaderLines>
              </c:ext>
            </c:extLst>
          </c:dLbls>
          <c:cat>
            <c:strRef>
              <c:f>Sheet1!$A$2:$A$9</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Sheet1!$B$2:$B$9</c:f>
              <c:numCache>
                <c:formatCode>0.00%</c:formatCode>
                <c:ptCount val="8"/>
                <c:pt idx="0">
                  <c:v>0.8724</c:v>
                </c:pt>
                <c:pt idx="1" c:formatCode="General">
                  <c:v>0</c:v>
                </c:pt>
                <c:pt idx="2" c:formatCode="General">
                  <c:v>0</c:v>
                </c:pt>
                <c:pt idx="3" c:formatCode="General">
                  <c:v>0</c:v>
                </c:pt>
                <c:pt idx="4" c:formatCode="General">
                  <c:v>0</c:v>
                </c:pt>
                <c:pt idx="5" c:formatCode="General">
                  <c:v>0</c:v>
                </c:pt>
                <c:pt idx="6" c:formatCode="General">
                  <c:v>0</c:v>
                </c:pt>
                <c:pt idx="7">
                  <c:v>0.1276</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r"/>
      <c:layout/>
      <c:overlay val="false"/>
      <c:spPr>
        <a:solidFill>
          <a:schemeClr val="lt1">
            <a:lumMod val="95000"/>
            <a:alpha val="39000"/>
          </a:schemeClr>
        </a:solidFill>
        <a:ln>
          <a:noFill/>
        </a:ln>
        <a:effectLst/>
      </c:spPr>
      <c:txPr>
        <a:bodyPr rot="0" spcFirstLastPara="0" vertOverflow="ellipsis" vert="horz" wrap="square" anchor="ctr" anchorCtr="true"/>
        <a:lstStyle/>
        <a:p>
          <a:pPr>
            <a:defRPr lang="zh-CN" sz="900" b="0" i="0" u="none" strike="noStrike" kern="1200" baseline="0">
              <a:solidFill>
                <a:schemeClr val="dk1">
                  <a:lumMod val="75000"/>
                  <a:lumOff val="25000"/>
                </a:schemeClr>
              </a:solidFill>
              <a:latin typeface="+mn-lt"/>
              <a:ea typeface="+mn-ea"/>
              <a:cs typeface="+mn-cs"/>
            </a:defRPr>
          </a:pPr>
        </a:p>
      </c:txPr>
    </c:legend>
    <c:plotVisOnly val="true"/>
    <c:dispBlanksAs val="gap"/>
    <c:showDLblsOverMax val="false"/>
  </c:chart>
  <c:spPr>
    <a:gradFill flip="none" rotWithShape="true">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800" b="1" i="0" u="none" strike="noStrike" kern="1200" baseline="0">
              <a:solidFill>
                <a:schemeClr val="dk1">
                  <a:lumMod val="75000"/>
                  <a:lumOff val="25000"/>
                </a:schemeClr>
              </a:solidFill>
              <a:latin typeface="+mn-lt"/>
              <a:ea typeface="+mn-ea"/>
              <a:cs typeface="+mn-cs"/>
            </a:defRPr>
          </a:pPr>
        </a:p>
      </c:txPr>
    </c:title>
    <c:autoTitleDeleted val="false"/>
    <c:plotArea>
      <c:layout/>
      <c:pieChart>
        <c:varyColors val="true"/>
        <c:ser>
          <c:idx val="0"/>
          <c:order val="0"/>
          <c:tx>
            <c:strRef>
              <c:f>Sheet1!$B$1</c:f>
              <c:strCache>
                <c:ptCount val="1"/>
                <c:pt idx="0">
                  <c:v>支出决算图</c:v>
                </c:pt>
              </c:strCache>
            </c:strRef>
          </c:tx>
          <c:spPr/>
          <c:explosion val="0"/>
          <c:dPt>
            <c:idx val="0"/>
            <c:bubble3D val="false"/>
            <c:spPr>
              <a:solidFill>
                <a:schemeClr val="accent1"/>
              </a:solidFill>
              <a:ln>
                <a:noFill/>
              </a:ln>
              <a:effectLst>
                <a:outerShdw blurRad="254000" sx="102000" sy="102000" algn="ctr" rotWithShape="0">
                  <a:prstClr val="black">
                    <a:alpha val="20000"/>
                  </a:prstClr>
                </a:outerShdw>
              </a:effectLst>
            </c:spPr>
          </c:dPt>
          <c:dPt>
            <c:idx val="1"/>
            <c:bubble3D val="false"/>
            <c:spPr>
              <a:solidFill>
                <a:schemeClr val="accent3"/>
              </a:solidFill>
              <a:ln>
                <a:noFill/>
              </a:ln>
              <a:effectLst>
                <a:outerShdw blurRad="254000" sx="102000" sy="102000" algn="ctr" rotWithShape="0">
                  <a:prstClr val="black">
                    <a:alpha val="20000"/>
                  </a:prstClr>
                </a:outerShdw>
              </a:effectLst>
            </c:spPr>
          </c:dPt>
          <c:dPt>
            <c:idx val="2"/>
            <c:bubble3D val="false"/>
            <c:spPr>
              <a:solidFill>
                <a:schemeClr val="accent5"/>
              </a:solidFill>
              <a:ln>
                <a:noFill/>
              </a:ln>
              <a:effectLst>
                <a:outerShdw blurRad="254000" sx="102000" sy="102000" algn="ctr" rotWithShape="0">
                  <a:prstClr val="black">
                    <a:alpha val="20000"/>
                  </a:prstClr>
                </a:outerShdw>
              </a:effectLst>
            </c:spPr>
          </c:dPt>
          <c:dPt>
            <c:idx val="3"/>
            <c:bubble3D val="false"/>
            <c:spPr>
              <a:solidFill>
                <a:schemeClr val="accent1">
                  <a:lumMod val="60000"/>
                </a:schemeClr>
              </a:solidFill>
              <a:ln>
                <a:noFill/>
              </a:ln>
              <a:effectLst>
                <a:outerShdw blurRad="254000" sx="102000" sy="102000" algn="ctr" rotWithShape="0">
                  <a:prstClr val="black">
                    <a:alpha val="20000"/>
                  </a:prstClr>
                </a:outerShdw>
              </a:effectLst>
            </c:spPr>
          </c:dPt>
          <c:dPt>
            <c:idx val="4"/>
            <c:bubble3D val="false"/>
            <c:spPr>
              <a:solidFill>
                <a:schemeClr val="accent3">
                  <a:lumMod val="60000"/>
                </a:schemeClr>
              </a:solidFill>
              <a:ln>
                <a:noFill/>
              </a:ln>
              <a:effectLst>
                <a:outerShdw blurRad="254000" sx="102000" sy="102000" algn="ctr" rotWithShape="0">
                  <a:prstClr val="black">
                    <a:alpha val="20000"/>
                  </a:prstClr>
                </a:outerShdw>
              </a:effectLst>
            </c:spPr>
          </c:dPt>
          <c:dLbls>
            <c:dLbl>
              <c:idx val="0"/>
              <c:layout/>
              <c:tx>
                <c:rich>
                  <a:bodyPr rot="0" spcFirstLastPara="0" vertOverflow="ellipsis" vert="horz" wrap="square" lIns="38100" tIns="19050" rIns="38100" bIns="19050" anchor="ctr" anchorCtr="true"/>
                  <a:lstStyle/>
                  <a:p>
                    <a:pPr defTabSz="914400">
                      <a:defRPr lang="zh-CN" sz="1000" b="1" i="0" u="none" strike="noStrike" kern="1200" baseline="0">
                        <a:solidFill>
                          <a:schemeClr val="lt1"/>
                        </a:solidFill>
                        <a:latin typeface="+mn-lt"/>
                        <a:ea typeface="+mn-ea"/>
                        <a:cs typeface="+mn-cs"/>
                      </a:defRPr>
                    </a:pPr>
                    <a:r>
                      <a:rPr lang="en-US" altLang="zh-CN"/>
                      <a:t>76.63</a:t>
                    </a:r>
                    <a:r>
                      <a:t>%</a:t>
                    </a:r>
                  </a:p>
                </c:rich>
              </c:tx>
              <c:dLblPos val="bestFit"/>
              <c:showLegendKey val="false"/>
              <c:showVal val="true"/>
              <c:showCatName val="false"/>
              <c:showSerName val="false"/>
              <c:showPercent val="false"/>
              <c:showBubbleSize val="false"/>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true"/>
                  <a:lstStyle/>
                  <a:p>
                    <a:pPr defTabSz="914400">
                      <a:defRPr lang="zh-CN" sz="1000" b="1" i="0" u="none" strike="noStrike" kern="1200" baseline="0">
                        <a:solidFill>
                          <a:schemeClr val="lt1"/>
                        </a:solidFill>
                        <a:latin typeface="+mn-lt"/>
                        <a:ea typeface="+mn-ea"/>
                        <a:cs typeface="+mn-cs"/>
                      </a:defRPr>
                    </a:pPr>
                    <a:r>
                      <a:rPr lang="en-US" altLang="zh-CN"/>
                      <a:t>23.37</a:t>
                    </a:r>
                    <a:r>
                      <a:t>%</a:t>
                    </a:r>
                  </a:p>
                </c:rich>
              </c:tx>
              <c:dLblPos val="bestFit"/>
              <c:showLegendKey val="false"/>
              <c:showVal val="true"/>
              <c:showCatName val="false"/>
              <c:showSerName val="false"/>
              <c:showPercent val="false"/>
              <c:showBubbleSize val="false"/>
              <c:extLst>
                <c:ext xmlns:c15="http://schemas.microsoft.com/office/drawing/2012/chart" uri="{CE6537A1-D6FC-4f65-9D91-7224C49458BB}"/>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true"/>
              <a:lstStyle/>
              <a:p>
                <a:pPr>
                  <a:defRPr lang="zh-CN" sz="1000" b="1" i="0" u="none" strike="noStrike" kern="1200" baseline="0">
                    <a:solidFill>
                      <a:schemeClr val="lt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a:solidFill>
                        <a:schemeClr val="dk1">
                          <a:lumMod val="50000"/>
                          <a:lumOff val="50000"/>
                        </a:schemeClr>
                      </a:solidFill>
                    </a:ln>
                    <a:effectLst/>
                  </c:spPr>
                </c15:leaderLines>
              </c:ext>
            </c:extLst>
          </c:dLbls>
          <c:cat>
            <c:strRef>
              <c:f>Sheet1!$A$2:$A$6</c:f>
              <c:strCache>
                <c:ptCount val="5"/>
                <c:pt idx="0">
                  <c:v>基本支出</c:v>
                </c:pt>
                <c:pt idx="1">
                  <c:v>项目支出</c:v>
                </c:pt>
                <c:pt idx="2">
                  <c:v>上缴上级支出</c:v>
                </c:pt>
                <c:pt idx="3">
                  <c:v>经营支出 </c:v>
                </c:pt>
                <c:pt idx="4">
                  <c:v>对附属单位补助支出</c:v>
                </c:pt>
              </c:strCache>
            </c:strRef>
          </c:cat>
          <c:val>
            <c:numRef>
              <c:f>Sheet1!$B$2:$B$6</c:f>
              <c:numCache>
                <c:formatCode>0.00%</c:formatCode>
                <c:ptCount val="5"/>
                <c:pt idx="0">
                  <c:v>0.6684</c:v>
                </c:pt>
                <c:pt idx="1">
                  <c:v>0.3316</c:v>
                </c:pt>
                <c:pt idx="2" c:formatCode="0%">
                  <c:v>0</c:v>
                </c:pt>
                <c:pt idx="3" c:formatCode="0%">
                  <c:v>0</c:v>
                </c:pt>
                <c:pt idx="4" c:formatCode="0%">
                  <c:v>0</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r"/>
      <c:layout/>
      <c:overlay val="false"/>
      <c:spPr>
        <a:solidFill>
          <a:schemeClr val="lt1">
            <a:lumMod val="95000"/>
            <a:alpha val="39000"/>
          </a:schemeClr>
        </a:solidFill>
        <a:ln>
          <a:noFill/>
        </a:ln>
        <a:effectLst/>
      </c:spPr>
      <c:txPr>
        <a:bodyPr rot="0" spcFirstLastPara="0" vertOverflow="ellipsis" vert="horz" wrap="square" anchor="ctr" anchorCtr="true"/>
        <a:lstStyle/>
        <a:p>
          <a:pPr>
            <a:defRPr lang="zh-CN" sz="900" b="0" i="0" u="none" strike="noStrike" kern="1200" baseline="0">
              <a:solidFill>
                <a:schemeClr val="dk1">
                  <a:lumMod val="75000"/>
                  <a:lumOff val="25000"/>
                </a:schemeClr>
              </a:solidFill>
              <a:latin typeface="+mn-lt"/>
              <a:ea typeface="+mn-ea"/>
              <a:cs typeface="+mn-cs"/>
            </a:defRPr>
          </a:pPr>
        </a:p>
      </c:txPr>
    </c:legend>
    <c:plotVisOnly val="true"/>
    <c:dispBlanksAs val="gap"/>
    <c:showDLblsOverMax val="false"/>
  </c:chart>
  <c:spPr>
    <a:gradFill flip="none" rotWithShape="true">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true">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true">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false"/>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false"/>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true">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true">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false"/>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false"/>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14928</Words>
  <Characters>16388</Characters>
  <Lines>1</Lines>
  <Paragraphs>1</Paragraphs>
  <TotalTime>0</TotalTime>
  <ScaleCrop>false</ScaleCrop>
  <LinksUpToDate>false</LinksUpToDate>
  <CharactersWithSpaces>16783</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2022-03-27T04:40:00Z</dcterms:created>
  <dc:creator>Administrator</dc:creator>
  <cp:lastModifiedBy>root001</cp:lastModifiedBy>
  <cp:lastPrinted>2021-04-19T16:45:00Z</cp:lastPrinted>
  <dcterms:modified xsi:type="dcterms:W3CDTF">2025-07-28T11:03:17Z</dcterms:modified>
  <dc:title>××年度××部门/单位</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y fmtid="{D5CDD505-2E9C-101B-9397-08002B2CF9AE}" pid="3" name="ICV">
    <vt:lpwstr>32946B2CF3BF40ED82B7255107BFFE65_12</vt:lpwstr>
  </property>
</Properties>
</file>