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hint="eastAsia" w:ascii="宋体" w:hAnsi="宋体"/>
          <w:b/>
          <w:bCs/>
          <w:sz w:val="52"/>
          <w:szCs w:val="52"/>
        </w:rPr>
      </w:pPr>
      <w:r>
        <w:rPr>
          <w:rFonts w:ascii="宋体" w:hAnsi="宋体"/>
          <w:b/>
          <w:bCs/>
          <w:sz w:val="52"/>
          <w:szCs w:val="52"/>
        </w:rPr>
        <w:t>2024</w:t>
      </w:r>
      <w:r>
        <w:rPr>
          <w:rFonts w:hint="eastAsia" w:ascii="宋体" w:hAnsi="宋体"/>
          <w:b/>
          <w:bCs/>
          <w:sz w:val="52"/>
          <w:szCs w:val="52"/>
        </w:rPr>
        <w:t>年度赤峰市自然资源局</w:t>
      </w:r>
    </w:p>
    <w:p>
      <w:pPr>
        <w:spacing w:line="360" w:lineRule="auto"/>
        <w:jc w:val="center"/>
        <w:rPr>
          <w:rFonts w:hint="eastAsia" w:ascii="宋体" w:hAnsi="宋体" w:eastAsia="宋体"/>
          <w:b/>
          <w:bCs/>
          <w:sz w:val="52"/>
          <w:szCs w:val="52"/>
          <w:lang w:val="en-US" w:eastAsia="zh-CN"/>
        </w:rPr>
      </w:pPr>
      <w:r>
        <w:rPr>
          <w:rFonts w:hint="eastAsia" w:ascii="宋体" w:hAnsi="宋体"/>
          <w:b/>
          <w:bCs/>
          <w:sz w:val="52"/>
          <w:szCs w:val="52"/>
        </w:rPr>
        <w:t>部门</w:t>
      </w:r>
      <w:r>
        <w:rPr>
          <w:rFonts w:hint="eastAsia" w:ascii="宋体" w:hAnsi="宋体"/>
          <w:b/>
          <w:bCs/>
          <w:sz w:val="52"/>
          <w:szCs w:val="52"/>
          <w:lang w:val="en-US" w:eastAsia="zh-CN"/>
        </w:rPr>
        <w:t>决算公开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both"/>
        <w:rPr>
          <w:rFonts w:ascii="宋体" w:hAnsi="宋体"/>
          <w:b/>
          <w:bCs/>
          <w:sz w:val="52"/>
          <w:szCs w:val="52"/>
        </w:rPr>
      </w:pPr>
    </w:p>
    <w:p>
      <w:pPr>
        <w:spacing w:line="600" w:lineRule="exact"/>
        <w:ind w:firstLine="2560" w:firstLineChars="800"/>
        <w:jc w:val="both"/>
        <w:rPr>
          <w:rFonts w:hint="default" w:ascii="Times New Roman" w:hAnsi="Times New Roman" w:eastAsia="Times New Roman"/>
          <w:color w:val="auto"/>
          <w:kern w:val="2"/>
          <w:sz w:val="21"/>
          <w:szCs w:val="24"/>
          <w:u w:val="none"/>
        </w:rPr>
      </w:pPr>
      <w:r>
        <w:rPr>
          <w:rFonts w:hint="eastAsia" w:ascii="黑体" w:hAnsi="黑体" w:eastAsia="黑体"/>
          <w:color w:val="auto"/>
          <w:kern w:val="2"/>
          <w:sz w:val="32"/>
          <w:szCs w:val="24"/>
          <w:u w:val="none"/>
        </w:rPr>
        <w:t>批复时间：</w:t>
      </w:r>
      <w:r>
        <w:rPr>
          <w:rFonts w:hint="eastAsia" w:ascii="黑体" w:hAnsi="黑体" w:eastAsia="黑体"/>
          <w:color w:val="auto"/>
          <w:kern w:val="2"/>
          <w:sz w:val="32"/>
          <w:szCs w:val="24"/>
          <w:u w:val="single"/>
          <w:lang w:val="en-US" w:eastAsia="zh-CN"/>
        </w:rPr>
        <w:t>2025</w:t>
      </w:r>
      <w:r>
        <w:rPr>
          <w:rFonts w:hint="eastAsia" w:ascii="黑体" w:hAnsi="黑体" w:eastAsia="黑体"/>
          <w:color w:val="auto"/>
          <w:kern w:val="2"/>
          <w:sz w:val="32"/>
          <w:szCs w:val="24"/>
          <w:u w:val="single"/>
        </w:rPr>
        <w:t xml:space="preserve"> </w:t>
      </w:r>
      <w:r>
        <w:rPr>
          <w:rFonts w:hint="eastAsia" w:ascii="黑体" w:hAnsi="黑体" w:eastAsia="黑体"/>
          <w:color w:val="auto"/>
          <w:kern w:val="2"/>
          <w:sz w:val="32"/>
          <w:szCs w:val="24"/>
          <w:u w:val="none"/>
        </w:rPr>
        <w:t>年</w:t>
      </w:r>
      <w:r>
        <w:rPr>
          <w:rFonts w:hint="eastAsia" w:ascii="黑体" w:hAnsi="黑体" w:eastAsia="黑体"/>
          <w:color w:val="auto"/>
          <w:kern w:val="2"/>
          <w:sz w:val="32"/>
          <w:szCs w:val="24"/>
          <w:u w:val="single"/>
          <w:lang w:val="en-US" w:eastAsia="zh-CN"/>
        </w:rPr>
        <w:t>7</w:t>
      </w:r>
      <w:r>
        <w:rPr>
          <w:rFonts w:hint="eastAsia" w:ascii="黑体" w:hAnsi="黑体" w:eastAsia="黑体"/>
          <w:color w:val="auto"/>
          <w:kern w:val="2"/>
          <w:sz w:val="32"/>
          <w:szCs w:val="24"/>
          <w:u w:val="none"/>
        </w:rPr>
        <w:t>月</w:t>
      </w:r>
      <w:r>
        <w:rPr>
          <w:rFonts w:hint="eastAsia" w:ascii="黑体" w:hAnsi="黑体" w:eastAsia="黑体"/>
          <w:color w:val="auto"/>
          <w:kern w:val="2"/>
          <w:sz w:val="32"/>
          <w:szCs w:val="24"/>
          <w:u w:val="single"/>
          <w:lang w:val="en-US" w:eastAsia="zh-CN"/>
        </w:rPr>
        <w:t xml:space="preserve">1 </w:t>
      </w:r>
      <w:r>
        <w:rPr>
          <w:rFonts w:hint="eastAsia" w:ascii="黑体" w:hAnsi="黑体" w:eastAsia="黑体"/>
          <w:color w:val="auto"/>
          <w:kern w:val="2"/>
          <w:sz w:val="32"/>
          <w:szCs w:val="24"/>
          <w:u w:val="none"/>
        </w:rPr>
        <w:t>日</w:t>
      </w:r>
    </w:p>
    <w:p>
      <w:pPr>
        <w:spacing w:line="360" w:lineRule="auto"/>
        <w:ind w:firstLine="2560" w:firstLineChars="800"/>
        <w:jc w:val="left"/>
        <w:rPr>
          <w:rFonts w:ascii="宋体" w:hAnsi="宋体"/>
          <w:sz w:val="32"/>
          <w:szCs w:val="32"/>
        </w:rPr>
      </w:pPr>
      <w:r>
        <w:rPr>
          <w:rFonts w:hint="eastAsia" w:ascii="黑体" w:hAnsi="黑体" w:eastAsia="黑体"/>
          <w:color w:val="auto"/>
          <w:kern w:val="2"/>
          <w:sz w:val="32"/>
          <w:szCs w:val="24"/>
          <w:u w:val="none"/>
        </w:rPr>
        <w:t>公开时间：</w:t>
      </w:r>
      <w:r>
        <w:rPr>
          <w:rFonts w:hint="eastAsia" w:ascii="黑体" w:hAnsi="黑体" w:eastAsia="黑体"/>
          <w:color w:val="auto"/>
          <w:kern w:val="2"/>
          <w:sz w:val="32"/>
          <w:szCs w:val="24"/>
          <w:u w:val="single"/>
          <w:lang w:val="en-US" w:eastAsia="zh-CN"/>
        </w:rPr>
        <w:t xml:space="preserve">2024 </w:t>
      </w:r>
      <w:r>
        <w:rPr>
          <w:rFonts w:hint="eastAsia" w:ascii="黑体" w:hAnsi="黑体" w:eastAsia="黑体"/>
          <w:color w:val="auto"/>
          <w:kern w:val="2"/>
          <w:sz w:val="32"/>
          <w:szCs w:val="24"/>
          <w:u w:val="none"/>
        </w:rPr>
        <w:t>年</w:t>
      </w:r>
      <w:r>
        <w:rPr>
          <w:rFonts w:hint="eastAsia" w:ascii="黑体" w:hAnsi="黑体" w:eastAsia="黑体"/>
          <w:color w:val="auto"/>
          <w:kern w:val="2"/>
          <w:sz w:val="32"/>
          <w:szCs w:val="24"/>
          <w:u w:val="single"/>
          <w:lang w:val="en-US" w:eastAsia="zh-CN"/>
        </w:rPr>
        <w:t>7</w:t>
      </w:r>
      <w:r>
        <w:rPr>
          <w:rFonts w:hint="eastAsia" w:ascii="黑体" w:hAnsi="黑体" w:eastAsia="黑体"/>
          <w:color w:val="auto"/>
          <w:kern w:val="2"/>
          <w:sz w:val="32"/>
          <w:szCs w:val="24"/>
          <w:u w:val="none"/>
        </w:rPr>
        <w:t>月</w:t>
      </w:r>
      <w:r>
        <w:rPr>
          <w:rFonts w:hint="eastAsia" w:ascii="黑体" w:hAnsi="黑体" w:eastAsia="黑体"/>
          <w:color w:val="auto"/>
          <w:kern w:val="2"/>
          <w:sz w:val="32"/>
          <w:szCs w:val="24"/>
          <w:u w:val="single"/>
          <w:lang w:val="en-US" w:eastAsia="zh-CN"/>
        </w:rPr>
        <w:t xml:space="preserve">18 </w:t>
      </w:r>
      <w:r>
        <w:rPr>
          <w:rFonts w:hint="eastAsia" w:ascii="黑体" w:hAnsi="黑体" w:eastAsia="黑体"/>
          <w:color w:val="auto"/>
          <w:kern w:val="2"/>
          <w:sz w:val="32"/>
          <w:szCs w:val="24"/>
          <w:u w:val="none"/>
        </w:rPr>
        <w:t>日</w:t>
      </w:r>
    </w:p>
    <w:p>
      <w:pPr>
        <w:ind w:firstLine="2248" w:firstLineChars="700"/>
        <w:rPr>
          <w:rFonts w:ascii="仿宋" w:hAnsi="仿宋" w:eastAsia="仿宋"/>
          <w:b/>
          <w:sz w:val="32"/>
          <w:szCs w:val="32"/>
        </w:rPr>
      </w:pPr>
    </w:p>
    <w:p>
      <w:pPr>
        <w:ind w:firstLine="2248" w:firstLineChars="700"/>
        <w:rPr>
          <w:rFonts w:ascii="仿宋" w:hAnsi="仿宋" w:eastAsia="仿宋"/>
          <w:b/>
          <w:sz w:val="32"/>
          <w:szCs w:val="32"/>
        </w:rPr>
      </w:pPr>
    </w:p>
    <w:p>
      <w:pPr>
        <w:ind w:firstLine="2248" w:firstLineChars="700"/>
        <w:rPr>
          <w:rFonts w:ascii="仿宋" w:hAnsi="仿宋" w:eastAsia="仿宋"/>
          <w:b/>
          <w:sz w:val="32"/>
          <w:szCs w:val="32"/>
        </w:rPr>
      </w:pPr>
    </w:p>
    <w:p>
      <w:pPr>
        <w:ind w:firstLine="2248" w:firstLineChars="700"/>
        <w:rPr>
          <w:rFonts w:ascii="仿宋" w:hAnsi="仿宋" w:eastAsia="仿宋"/>
          <w:b/>
          <w:sz w:val="32"/>
          <w:szCs w:val="32"/>
        </w:rPr>
      </w:pPr>
    </w:p>
    <w:p>
      <w:pPr>
        <w:ind w:firstLine="2248"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w:t>
      </w:r>
      <w:r>
        <w:rPr>
          <w:rFonts w:ascii="Calibri" w:hAnsi="Calibri" w:eastAsia="Calibri" w:cs="Calibri"/>
          <w:b/>
          <w:bCs/>
          <w:kern w:val="0"/>
          <w:sz w:val="54"/>
          <w:szCs w:val="54"/>
        </w:rPr>
        <w:t> </w:t>
      </w:r>
      <w:r>
        <w:rPr>
          <w:rFonts w:ascii="仿宋_GB2312" w:hAnsi="仿宋_GB2312" w:eastAsia="仿宋_GB2312" w:cs="仿宋_GB2312"/>
          <w:b/>
          <w:bCs/>
          <w:kern w:val="0"/>
          <w:sz w:val="54"/>
          <w:szCs w:val="54"/>
        </w:rPr>
        <w:t>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部门概况</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一、主要职能、职责</w:t>
      </w:r>
    </w:p>
    <w:p>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赤峰市自然资源局是赤峰市人民政府主管自然资源管理市场监督管理责任；自然资源管理地方性法规规章有关政策、准入制度、技术标准等措施办法并监督实施；指导自然资源管理及有关设施规划和管理工作；承担自然资源管理行业管理工作的综合经济部门。</w:t>
      </w:r>
    </w:p>
    <w:p>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贯彻落实国家、自治区、赤峰市关于自然资源管理的法律法规和有关政策、规划；研究拟订自然资源管理地方性法规规章草案；参与拟订自然资源管理发展战略和规划，指导自然资源管理行业体制改革工作。</w:t>
      </w:r>
    </w:p>
    <w:p>
      <w:pPr>
        <w:widowControl/>
        <w:spacing w:before="240" w:after="240"/>
        <w:ind w:firstLine="540" w:firstLineChars="200"/>
        <w:jc w:val="left"/>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负责自然资源管理市场监督管理责任；组织拟订自然资源管理有关政策、准入制度、技术标准等措施办法并监督实施；指导自然资源管理及有关设施规划和管理工作；承担自然资源管理行业管理工作。</w:t>
      </w:r>
    </w:p>
    <w:p>
      <w:pPr>
        <w:widowControl/>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赤峰市不动产登记中心</w:t>
      </w:r>
      <w:r>
        <w:rPr>
          <w:rFonts w:hint="eastAsia" w:ascii="仿宋_GB2312" w:hAnsi="仿宋_GB2312" w:eastAsia="仿宋_GB2312" w:cs="仿宋_GB2312"/>
          <w:kern w:val="0"/>
          <w:sz w:val="27"/>
          <w:szCs w:val="27"/>
          <w:lang w:val="en-US" w:eastAsia="zh-CN"/>
        </w:rPr>
        <w:t>因机构改革，是原赤峰市房屋交易中心与赤峰市不动产登记中心整合单位，</w:t>
      </w:r>
      <w:r>
        <w:rPr>
          <w:rFonts w:hint="eastAsia" w:ascii="仿宋_GB2312" w:hAnsi="仿宋_GB2312" w:eastAsia="仿宋_GB2312" w:cs="仿宋_GB2312"/>
          <w:kern w:val="0"/>
          <w:sz w:val="27"/>
          <w:szCs w:val="27"/>
        </w:rPr>
        <w:t>是赤峰市自然资源局直属的事业单位；赤峰市自然资源局是赤峰市人民政府主管的工作部门，不动产登记中心主要职能包括：</w:t>
      </w:r>
    </w:p>
    <w:p>
      <w:pPr>
        <w:widowControl/>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开展不动产登记理论、政策和技术标准的研究。协助自然资源局开展不动产统登记规范化建设工作,承担不动产权利证书的监制和管理。</w:t>
      </w:r>
    </w:p>
    <w:p>
      <w:pPr>
        <w:widowControl/>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承担各类不动产登记资料的收集、整理和数据分析工作,开展不动产登记资料公开查询,承担不动产登记成果应用与社会化服务等工作。</w:t>
      </w:r>
    </w:p>
    <w:p>
      <w:pPr>
        <w:widowControl/>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承担自然资源局交办的不动产权属争议案件调查、取证和调处工作。</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二、部门机构设置及决算单位构成情况</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rPr>
        <w:t>1.根据部门职责分工，本部门内设机构包括</w:t>
      </w:r>
      <w:r>
        <w:rPr>
          <w:rFonts w:hint="eastAsia" w:ascii="仿宋_GB2312" w:hAnsi="仿宋_GB2312" w:eastAsia="仿宋_GB2312" w:cs="仿宋_GB2312"/>
          <w:kern w:val="0"/>
          <w:sz w:val="27"/>
          <w:szCs w:val="27"/>
          <w:lang w:val="en-US" w:eastAsia="zh-CN"/>
        </w:rPr>
        <w:t>办公室、人事科、综合科、计划财务科、调查确权登记科、所有者权益科、开发利用科、国土空间规划科、国土空间用途管制科、中心城市规划科、市政规划科、村镇规划管理科、国土空间生态修复科、耕地保护监督科、矿业权管理科、矿产资源保护监督科、测绘与科技信息科、执法监察科、机关党组织。本部门下属二级事业单位包括：赤峰市不动产登记中心，赤峰市自然资源储备整理中心。</w:t>
      </w:r>
    </w:p>
    <w:p>
      <w:pPr>
        <w:spacing w:beforeLines="0" w:afterLines="0" w:line="580" w:lineRule="exact"/>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2.从决算单位构成看，纳入本部门（单位）决算编制范围的预算单位共计</w:t>
      </w:r>
      <w:r>
        <w:rPr>
          <w:rFonts w:hint="eastAsia" w:ascii="仿宋_GB2312" w:hAnsi="仿宋_GB2312" w:eastAsia="仿宋_GB2312" w:cs="仿宋_GB2312"/>
          <w:kern w:val="0"/>
          <w:sz w:val="27"/>
          <w:szCs w:val="27"/>
          <w:lang w:val="en-US" w:eastAsia="zh-CN"/>
        </w:rPr>
        <w:t>3</w:t>
      </w:r>
      <w:r>
        <w:rPr>
          <w:rFonts w:hint="eastAsia"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lang w:val="en-US" w:eastAsia="zh-CN"/>
        </w:rPr>
        <w:t>赤峰市自然资源局（</w:t>
      </w:r>
      <w:r>
        <w:rPr>
          <w:rFonts w:hint="eastAsia" w:ascii="仿宋_GB2312" w:hAnsi="仿宋_GB2312" w:eastAsia="仿宋_GB2312" w:cs="仿宋_GB2312"/>
          <w:kern w:val="0"/>
          <w:sz w:val="27"/>
          <w:szCs w:val="27"/>
        </w:rPr>
        <w:t>本级</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赤峰市不动产登记中心，赤峰市自然资源储备整理中心。</w:t>
      </w:r>
      <w:r>
        <w:rPr>
          <w:rFonts w:hint="eastAsia" w:ascii="仿宋_GB2312" w:hAnsi="仿宋_GB2312" w:eastAsia="仿宋_GB2312" w:cs="仿宋_GB2312"/>
          <w:kern w:val="0"/>
          <w:sz w:val="27"/>
          <w:szCs w:val="27"/>
        </w:rPr>
        <w:t>详细情况见表：</w:t>
      </w:r>
    </w:p>
    <w:tbl>
      <w:tblPr>
        <w:tblStyle w:val="22"/>
        <w:tblW w:w="943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097"/>
        <w:gridCol w:w="5452"/>
        <w:gridCol w:w="289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88" w:hRule="atLeast"/>
          <w:tblHeader/>
          <w:tblCellSpacing w:w="15" w:type="dxa"/>
          <w:jc w:val="center"/>
        </w:trPr>
        <w:tc>
          <w:tcPr>
            <w:tcW w:w="105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542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284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01" w:hRule="atLeast"/>
          <w:tblCellSpacing w:w="15" w:type="dxa"/>
          <w:jc w:val="center"/>
        </w:trPr>
        <w:tc>
          <w:tcPr>
            <w:tcW w:w="105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542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hint="default" w:ascii="Times New Roman" w:hAnsi="Times New Roman" w:eastAsia="宋体" w:cs="Times New Roman"/>
                <w:b w:val="0"/>
                <w:bCs w:val="0"/>
                <w:i w:val="0"/>
                <w:iCs w:val="0"/>
                <w:smallCaps w:val="0"/>
                <w:color w:val="000000"/>
                <w:kern w:val="0"/>
                <w:sz w:val="24"/>
                <w:lang w:val="en-US" w:eastAsia="zh-CN"/>
              </w:rPr>
            </w:pPr>
            <w:r>
              <w:rPr>
                <w:rFonts w:hint="eastAsia" w:ascii="仿宋_GB2312" w:hAnsi="仿宋_GB2312" w:eastAsia="仿宋_GB2312" w:cs="仿宋_GB2312"/>
                <w:kern w:val="0"/>
                <w:sz w:val="27"/>
                <w:szCs w:val="27"/>
                <w:lang w:val="en-US" w:eastAsia="zh-CN"/>
              </w:rPr>
              <w:t>赤峰市自然资源局</w:t>
            </w:r>
          </w:p>
        </w:tc>
        <w:tc>
          <w:tcPr>
            <w:tcW w:w="284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财政拨款的行政单位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01" w:hRule="atLeast"/>
          <w:tblCellSpacing w:w="15" w:type="dxa"/>
          <w:jc w:val="center"/>
        </w:trPr>
        <w:tc>
          <w:tcPr>
            <w:tcW w:w="105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2</w:t>
            </w:r>
          </w:p>
        </w:tc>
        <w:tc>
          <w:tcPr>
            <w:tcW w:w="542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kern w:val="0"/>
                <w:sz w:val="27"/>
                <w:szCs w:val="27"/>
                <w:lang w:val="en-US" w:eastAsia="zh-CN"/>
              </w:rPr>
              <w:t>赤峰市不动产登记中心</w:t>
            </w:r>
          </w:p>
        </w:tc>
        <w:tc>
          <w:tcPr>
            <w:tcW w:w="284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公益一类事业单位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01" w:hRule="atLeast"/>
          <w:tblCellSpacing w:w="15" w:type="dxa"/>
          <w:jc w:val="center"/>
        </w:trPr>
        <w:tc>
          <w:tcPr>
            <w:tcW w:w="105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3</w:t>
            </w:r>
          </w:p>
        </w:tc>
        <w:tc>
          <w:tcPr>
            <w:tcW w:w="542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kern w:val="0"/>
                <w:sz w:val="27"/>
                <w:szCs w:val="27"/>
                <w:lang w:val="en-US" w:eastAsia="zh-CN"/>
              </w:rPr>
              <w:t>赤峰市自然资源储备整理中心</w:t>
            </w:r>
          </w:p>
        </w:tc>
        <w:tc>
          <w:tcPr>
            <w:tcW w:w="284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公益一类事业单位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88" w:hRule="atLeast"/>
          <w:tblCellSpacing w:w="15" w:type="dxa"/>
          <w:jc w:val="center"/>
        </w:trPr>
        <w:tc>
          <w:tcPr>
            <w:tcW w:w="105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4</w:t>
            </w:r>
          </w:p>
        </w:tc>
        <w:tc>
          <w:tcPr>
            <w:tcW w:w="542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284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pPr>
        <w:spacing w:beforeLines="0" w:afterLines="0" w:line="580" w:lineRule="exact"/>
        <w:ind w:firstLine="542" w:firstLineChars="200"/>
        <w:rPr>
          <w:rFonts w:ascii="Calibri" w:hAnsi="Calibri" w:eastAsia="Calibri" w:cs="Calibri"/>
          <w:kern w:val="0"/>
          <w:sz w:val="27"/>
          <w:szCs w:val="27"/>
        </w:rPr>
      </w:pPr>
      <w:r>
        <w:rPr>
          <w:rFonts w:ascii="黑体" w:hAnsi="黑体" w:eastAsia="黑体" w:cs="黑体"/>
          <w:b/>
          <w:bCs/>
          <w:kern w:val="0"/>
          <w:sz w:val="27"/>
          <w:szCs w:val="27"/>
        </w:rPr>
        <w:t>三、2024年度部门主要工作完成情况</w:t>
      </w:r>
    </w:p>
    <w:p>
      <w:pPr>
        <w:pStyle w:val="4"/>
        <w:keepNext w:val="0"/>
        <w:keepLines w:val="0"/>
        <w:widowControl/>
        <w:numPr>
          <w:ilvl w:val="0"/>
          <w:numId w:val="1"/>
        </w:numPr>
        <w:spacing w:before="281" w:after="281" w:line="240" w:lineRule="auto"/>
        <w:ind w:firstLine="540" w:firstLineChars="200"/>
        <w:jc w:val="left"/>
        <w:rPr>
          <w:rFonts w:hint="eastAsia" w:ascii="仿宋_GB2312" w:hAnsi="仿宋_GB2312" w:eastAsia="仿宋_GB2312" w:cs="仿宋_GB2312"/>
          <w:b w:val="0"/>
          <w:bCs w:val="0"/>
          <w:kern w:val="0"/>
          <w:sz w:val="27"/>
          <w:szCs w:val="27"/>
          <w:lang w:val="en-US" w:eastAsia="zh-CN" w:bidi="ar-SA"/>
        </w:rPr>
      </w:pPr>
      <w:r>
        <w:rPr>
          <w:rFonts w:hint="eastAsia" w:ascii="仿宋_GB2312" w:hAnsi="仿宋_GB2312" w:eastAsia="仿宋_GB2312" w:cs="仿宋_GB2312"/>
          <w:b w:val="0"/>
          <w:bCs w:val="0"/>
          <w:kern w:val="0"/>
          <w:sz w:val="27"/>
          <w:szCs w:val="27"/>
          <w:lang w:val="en-US" w:eastAsia="zh-CN" w:bidi="ar-SA"/>
        </w:rPr>
        <w:t>国土空间开发保护格局基本形成。赤峰市、12个旗县区、125个苏木乡镇国土空间总体规划获批实施，构建了“一屏两廊三区，一轴两带三心”的国土空间开发保护总体格局。优化调整了红山区、元宝山区和喀喇沁旗城镇开发边界，有效保障了东山产业园绿色智能新能源电解铝等重点建设项目的空间需求。</w:t>
      </w:r>
      <w:r>
        <w:rPr>
          <w:rFonts w:hint="eastAsia" w:ascii="仿宋_GB2312" w:hAnsi="仿宋_GB2312" w:eastAsia="仿宋_GB2312" w:cs="仿宋_GB2312"/>
          <w:b w:val="0"/>
          <w:bCs w:val="0"/>
          <w:kern w:val="0"/>
          <w:sz w:val="27"/>
          <w:szCs w:val="27"/>
          <w:lang w:val="en" w:eastAsia="zh-CN" w:bidi="ar-SA"/>
        </w:rPr>
        <w:t>市区</w:t>
      </w:r>
      <w:r>
        <w:rPr>
          <w:rFonts w:hint="eastAsia" w:ascii="仿宋_GB2312" w:hAnsi="仿宋_GB2312" w:eastAsia="仿宋_GB2312" w:cs="仿宋_GB2312"/>
          <w:b w:val="0"/>
          <w:bCs w:val="0"/>
          <w:kern w:val="0"/>
          <w:sz w:val="27"/>
          <w:szCs w:val="27"/>
          <w:lang w:val="en-US" w:eastAsia="zh-CN" w:bidi="ar-SA"/>
        </w:rPr>
        <w:t>5G通信基站近期建设规划</w:t>
      </w:r>
      <w:r>
        <w:rPr>
          <w:rFonts w:hint="eastAsia" w:ascii="仿宋_GB2312" w:hAnsi="仿宋_GB2312" w:eastAsia="仿宋_GB2312" w:cs="仿宋_GB2312"/>
          <w:b w:val="0"/>
          <w:bCs w:val="0"/>
          <w:kern w:val="0"/>
          <w:sz w:val="27"/>
          <w:szCs w:val="27"/>
          <w:lang w:val="en" w:eastAsia="zh-CN" w:bidi="ar-SA"/>
        </w:rPr>
        <w:t>落地实施，市政管网规划进入修改完善阶段；</w:t>
      </w:r>
      <w:r>
        <w:rPr>
          <w:rFonts w:hint="eastAsia" w:ascii="仿宋_GB2312" w:hAnsi="仿宋_GB2312" w:eastAsia="仿宋_GB2312" w:cs="仿宋_GB2312"/>
          <w:b w:val="0"/>
          <w:bCs w:val="0"/>
          <w:kern w:val="0"/>
          <w:sz w:val="27"/>
          <w:szCs w:val="27"/>
          <w:lang w:val="en-US" w:eastAsia="zh-CN" w:bidi="ar-SA"/>
        </w:rPr>
        <w:t>红山区旧城、八家西片区控规暨城市设计，306国道（腾飞大道）沿线两侧城市设计等详细规划获市政府批复，中部六片区、外围四组团的城市功能得到进一步完善。</w:t>
      </w:r>
    </w:p>
    <w:p>
      <w:pPr>
        <w:pStyle w:val="4"/>
        <w:keepNext w:val="0"/>
        <w:keepLines w:val="0"/>
        <w:widowControl/>
        <w:numPr>
          <w:ilvl w:val="0"/>
          <w:numId w:val="0"/>
        </w:numPr>
        <w:spacing w:before="281" w:after="281" w:line="240" w:lineRule="auto"/>
        <w:ind w:firstLine="540" w:firstLineChars="200"/>
        <w:jc w:val="left"/>
        <w:rPr>
          <w:rFonts w:hint="eastAsia" w:ascii="仿宋_GB2312" w:hAnsi="仿宋_GB2312" w:eastAsia="仿宋_GB2312" w:cs="仿宋_GB2312"/>
          <w:b w:val="0"/>
          <w:bCs w:val="0"/>
          <w:kern w:val="0"/>
          <w:sz w:val="27"/>
          <w:szCs w:val="27"/>
          <w:lang w:val="en-US" w:eastAsia="zh-CN" w:bidi="ar-SA"/>
        </w:rPr>
      </w:pPr>
      <w:r>
        <w:rPr>
          <w:rFonts w:hint="eastAsia" w:ascii="仿宋_GB2312" w:hAnsi="仿宋_GB2312" w:eastAsia="仿宋_GB2312" w:cs="仿宋_GB2312"/>
          <w:b w:val="0"/>
          <w:bCs w:val="0"/>
          <w:kern w:val="0"/>
          <w:sz w:val="27"/>
          <w:szCs w:val="27"/>
          <w:lang w:val="en-US" w:eastAsia="zh-CN" w:bidi="ar-SA"/>
        </w:rPr>
        <w:t>2.共核发不动产权证书91847本，不动产登记证明34702张，办理注销、查封、解封等其他登记业务26112件。</w:t>
      </w:r>
    </w:p>
    <w:p>
      <w:pPr>
        <w:pStyle w:val="4"/>
        <w:keepNext w:val="0"/>
        <w:keepLines w:val="0"/>
        <w:widowControl/>
        <w:numPr>
          <w:ilvl w:val="0"/>
          <w:numId w:val="0"/>
        </w:numPr>
        <w:spacing w:before="281" w:after="281" w:line="240" w:lineRule="auto"/>
        <w:ind w:firstLine="540" w:firstLineChars="200"/>
        <w:jc w:val="left"/>
        <w:rPr>
          <w:rFonts w:hint="eastAsia" w:ascii="仿宋_GB2312" w:hAnsi="仿宋_GB2312" w:eastAsia="仿宋_GB2312" w:cs="仿宋_GB2312"/>
          <w:b w:val="0"/>
          <w:bCs w:val="0"/>
          <w:kern w:val="0"/>
          <w:sz w:val="27"/>
          <w:szCs w:val="27"/>
          <w:lang w:val="en-US" w:eastAsia="zh-CN" w:bidi="ar-SA"/>
        </w:rPr>
      </w:pPr>
      <w:r>
        <w:rPr>
          <w:rFonts w:hint="eastAsia" w:ascii="仿宋_GB2312" w:hAnsi="仿宋_GB2312" w:eastAsia="仿宋_GB2312" w:cs="仿宋_GB2312"/>
          <w:b w:val="0"/>
          <w:bCs w:val="0"/>
          <w:kern w:val="0"/>
          <w:sz w:val="27"/>
          <w:szCs w:val="27"/>
          <w:lang w:val="en-US" w:eastAsia="zh-CN" w:bidi="ar-SA"/>
        </w:rPr>
        <w:t>3.是矿业经济高质量发展势头持续向好。出库实施国家地质调查项目4个、自治区地勘基金项目21个，投入资金1.28亿元。圈定社会资本参与基础地质调查优质靶区4个，面积3800平方公里。完成市场化出让矿业权19宗，出让收益2亿元。</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4.最严格的耕地保护制度有效落实。全面压实地方党委政府耕地保护责任，联合发改、农牧部门，与12个旗县区党委、政府签署了耕地保护和粮食安全责任书，</w:t>
      </w:r>
      <w:r>
        <w:rPr>
          <w:rFonts w:hint="eastAsia" w:ascii="仿宋_GB2312" w:hAnsi="仿宋_GB2312" w:eastAsia="仿宋_GB2312" w:cs="仿宋_GB2312"/>
          <w:kern w:val="0"/>
          <w:sz w:val="27"/>
          <w:szCs w:val="27"/>
          <w:lang w:eastAsia="zh-CN"/>
        </w:rPr>
        <w:t>严守</w:t>
      </w:r>
      <w:r>
        <w:rPr>
          <w:rFonts w:hint="eastAsia" w:ascii="仿宋_GB2312" w:hAnsi="仿宋_GB2312" w:eastAsia="仿宋_GB2312" w:cs="仿宋_GB2312"/>
          <w:kern w:val="0"/>
          <w:sz w:val="27"/>
          <w:szCs w:val="27"/>
        </w:rPr>
        <w:t>全市2722.16万亩耕地红线</w:t>
      </w:r>
      <w:r>
        <w:rPr>
          <w:rFonts w:hint="eastAsia" w:ascii="仿宋_GB2312" w:hAnsi="仿宋_GB2312" w:eastAsia="仿宋_GB2312" w:cs="仿宋_GB2312"/>
          <w:kern w:val="0"/>
          <w:sz w:val="27"/>
          <w:szCs w:val="27"/>
          <w:lang w:val="en-US" w:eastAsia="zh-CN"/>
        </w:rPr>
        <w:t>。</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5.自然资源要素保障能力显著提高。强化建设项目用地保障，办理</w:t>
      </w:r>
      <w:r>
        <w:rPr>
          <w:rFonts w:hint="eastAsia" w:ascii="仿宋_GB2312" w:hAnsi="仿宋_GB2312" w:eastAsia="仿宋_GB2312" w:cs="仿宋_GB2312"/>
          <w:kern w:val="0"/>
          <w:sz w:val="27"/>
          <w:szCs w:val="27"/>
        </w:rPr>
        <w:t>建设项目用地预审与规划选址报件</w:t>
      </w:r>
      <w:r>
        <w:rPr>
          <w:rFonts w:hint="eastAsia" w:ascii="仿宋_GB2312" w:hAnsi="仿宋_GB2312" w:eastAsia="仿宋_GB2312" w:cs="仿宋_GB2312"/>
          <w:kern w:val="0"/>
          <w:sz w:val="27"/>
          <w:szCs w:val="27"/>
          <w:lang w:val="en-US" w:eastAsia="zh-CN"/>
        </w:rPr>
        <w:t>71</w:t>
      </w:r>
      <w:r>
        <w:rPr>
          <w:rFonts w:hint="eastAsia" w:ascii="仿宋_GB2312" w:hAnsi="仿宋_GB2312" w:eastAsia="仿宋_GB2312" w:cs="仿宋_GB2312"/>
          <w:kern w:val="0"/>
          <w:sz w:val="27"/>
          <w:szCs w:val="27"/>
        </w:rPr>
        <w:t>件</w:t>
      </w:r>
      <w:r>
        <w:rPr>
          <w:rFonts w:hint="eastAsia" w:ascii="仿宋_GB2312" w:hAnsi="仿宋_GB2312" w:eastAsia="仿宋_GB2312" w:cs="仿宋_GB2312"/>
          <w:kern w:val="0"/>
          <w:sz w:val="27"/>
          <w:szCs w:val="27"/>
          <w:lang w:eastAsia="zh-CN"/>
        </w:rPr>
        <w:t>，用地面积</w:t>
      </w:r>
      <w:r>
        <w:rPr>
          <w:rFonts w:hint="eastAsia" w:ascii="仿宋_GB2312" w:hAnsi="仿宋_GB2312" w:eastAsia="仿宋_GB2312" w:cs="仿宋_GB2312"/>
          <w:kern w:val="0"/>
          <w:sz w:val="27"/>
          <w:szCs w:val="27"/>
          <w:lang w:val="en-US" w:eastAsia="zh-CN"/>
        </w:rPr>
        <w:t>1601</w:t>
      </w:r>
      <w:r>
        <w:rPr>
          <w:rFonts w:hint="eastAsia" w:ascii="仿宋_GB2312" w:hAnsi="仿宋_GB2312" w:eastAsia="仿宋_GB2312" w:cs="仿宋_GB2312"/>
          <w:kern w:val="0"/>
          <w:sz w:val="27"/>
          <w:szCs w:val="27"/>
          <w:lang w:eastAsia="zh-CN"/>
        </w:rPr>
        <w:t>公顷；</w:t>
      </w:r>
      <w:r>
        <w:rPr>
          <w:rFonts w:hint="eastAsia" w:ascii="仿宋_GB2312" w:hAnsi="仿宋_GB2312" w:eastAsia="仿宋_GB2312" w:cs="仿宋_GB2312"/>
          <w:kern w:val="0"/>
          <w:sz w:val="27"/>
          <w:szCs w:val="27"/>
        </w:rPr>
        <w:t>上报国家和自治区建设用地报件</w:t>
      </w:r>
      <w:r>
        <w:rPr>
          <w:rFonts w:hint="eastAsia" w:ascii="仿宋_GB2312" w:hAnsi="仿宋_GB2312" w:eastAsia="仿宋_GB2312" w:cs="仿宋_GB2312"/>
          <w:kern w:val="0"/>
          <w:sz w:val="27"/>
          <w:szCs w:val="27"/>
          <w:lang w:val="en-US" w:eastAsia="zh-CN"/>
        </w:rPr>
        <w:t>145</w:t>
      </w:r>
      <w:r>
        <w:rPr>
          <w:rFonts w:hint="eastAsia" w:ascii="仿宋_GB2312" w:hAnsi="仿宋_GB2312" w:eastAsia="仿宋_GB2312" w:cs="仿宋_GB2312"/>
          <w:kern w:val="0"/>
          <w:sz w:val="27"/>
          <w:szCs w:val="27"/>
        </w:rPr>
        <w:t>件，新增建设用地面积</w:t>
      </w:r>
      <w:r>
        <w:rPr>
          <w:rFonts w:hint="eastAsia" w:ascii="仿宋_GB2312" w:hAnsi="仿宋_GB2312" w:eastAsia="仿宋_GB2312" w:cs="仿宋_GB2312"/>
          <w:kern w:val="0"/>
          <w:sz w:val="27"/>
          <w:szCs w:val="27"/>
          <w:lang w:val="en-US" w:eastAsia="zh-CN"/>
        </w:rPr>
        <w:t>1754.56</w:t>
      </w:r>
      <w:r>
        <w:rPr>
          <w:rFonts w:hint="eastAsia" w:ascii="仿宋_GB2312" w:hAnsi="仿宋_GB2312" w:eastAsia="仿宋_GB2312" w:cs="仿宋_GB2312"/>
          <w:kern w:val="0"/>
          <w:sz w:val="27"/>
          <w:szCs w:val="27"/>
        </w:rPr>
        <w:t>公顷</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供应建设用地2306.99公顷，出让价款33.41亿元。</w:t>
      </w:r>
      <w:r>
        <w:rPr>
          <w:rFonts w:hint="eastAsia" w:ascii="仿宋_GB2312" w:hAnsi="仿宋_GB2312" w:eastAsia="仿宋_GB2312" w:cs="仿宋_GB2312"/>
          <w:kern w:val="0"/>
          <w:sz w:val="27"/>
          <w:szCs w:val="27"/>
        </w:rPr>
        <w:t>提前介入、超前服务202</w:t>
      </w:r>
      <w:r>
        <w:rPr>
          <w:rFonts w:hint="eastAsia" w:ascii="仿宋_GB2312" w:hAnsi="仿宋_GB2312" w:eastAsia="仿宋_GB2312" w:cs="仿宋_GB2312"/>
          <w:kern w:val="0"/>
          <w:sz w:val="27"/>
          <w:szCs w:val="27"/>
          <w:lang w:val="en-US" w:eastAsia="zh-CN"/>
        </w:rPr>
        <w:t>5</w:t>
      </w:r>
      <w:r>
        <w:rPr>
          <w:rFonts w:hint="eastAsia" w:ascii="仿宋_GB2312" w:hAnsi="仿宋_GB2312" w:eastAsia="仿宋_GB2312" w:cs="仿宋_GB2312"/>
          <w:kern w:val="0"/>
          <w:sz w:val="27"/>
          <w:szCs w:val="27"/>
        </w:rPr>
        <w:t>年重点项目用地手续办理，</w:t>
      </w:r>
      <w:r>
        <w:rPr>
          <w:rFonts w:hint="eastAsia" w:ascii="仿宋_GB2312" w:hAnsi="仿宋_GB2312" w:eastAsia="仿宋_GB2312" w:cs="仿宋_GB2312"/>
          <w:kern w:val="0"/>
          <w:sz w:val="27"/>
          <w:szCs w:val="27"/>
          <w:lang w:val="en-US" w:eastAsia="zh-CN"/>
        </w:rPr>
        <w:t>全市2025年度741个重点项目建设用地手续办结率已达86.5%，用地预审与选址手续办结率已达91.23%。</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6.土地资源节约集约利用水平稳步提升。扎实开展批而未供、闲置土地“大起底”，已处置批而未供土地1.68万亩、闲置土地853亩，超额完成年度消化处置任务</w:t>
      </w:r>
      <w:r>
        <w:rPr>
          <w:rFonts w:hint="eastAsia" w:ascii="仿宋_GB2312" w:hAnsi="仿宋_GB2312" w:eastAsia="仿宋_GB2312" w:cs="仿宋_GB2312"/>
          <w:kern w:val="0"/>
          <w:sz w:val="27"/>
          <w:szCs w:val="27"/>
        </w:rPr>
        <w:t>。</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7.国土空间生态保护修复成效显著。有效压实在期矿山地质环境治理主体责任，对67</w:t>
      </w:r>
      <w:r>
        <w:rPr>
          <w:rFonts w:hint="eastAsia" w:ascii="仿宋_GB2312" w:hAnsi="仿宋_GB2312" w:eastAsia="仿宋_GB2312" w:cs="仿宋_GB2312"/>
          <w:kern w:val="0"/>
          <w:sz w:val="27"/>
          <w:szCs w:val="27"/>
        </w:rPr>
        <w:t>家</w:t>
      </w:r>
      <w:r>
        <w:rPr>
          <w:rFonts w:hint="eastAsia" w:ascii="仿宋_GB2312" w:hAnsi="仿宋_GB2312" w:eastAsia="仿宋_GB2312" w:cs="仿宋_GB2312"/>
          <w:kern w:val="0"/>
          <w:sz w:val="27"/>
          <w:szCs w:val="27"/>
          <w:lang w:eastAsia="zh-CN"/>
        </w:rPr>
        <w:t>矿山企业开展</w:t>
      </w:r>
      <w:r>
        <w:rPr>
          <w:rFonts w:hint="eastAsia" w:ascii="仿宋_GB2312" w:hAnsi="仿宋_GB2312" w:eastAsia="仿宋_GB2312" w:cs="仿宋_GB2312"/>
          <w:kern w:val="0"/>
          <w:sz w:val="27"/>
          <w:szCs w:val="27"/>
        </w:rPr>
        <w:t>地质环境治理及土地复垦“双随机</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一公开”实地核查</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 xml:space="preserve">全市605家在期矿山完成治理面积7.99平方公里。持续加大历史遗留和无责任主体矿山治理力度，各旗县区累计投入资金1.7亿元，治理面积9.5平方公里，自然资源部下发我市的437个图斑已完成治理409个，治理完成率93.59%。稳步推进绿色矿山建设，新晋自治区级绿色矿山3家。高效推进增发国债项目建设，赤峰市地面沉降监测网建设项目及4个地质灾害综合治理项目均已完成主体工程建设并通过验收。           截止目前，中心共核发不动产权证书91847本，不动产登记证明34702张，办理注销、查封、解封等其他登记业务26112件。  </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8.夯实数据基础，持续完善不动产登记存量数据整合，持续推进不动产存量数据整合工作，建立健全全生命周期的不动产登记数据库，为部门间协作和信息互通共享，助推“互联网+不动产登记”提供数据支撑，为房源核验、司法协助等工作提供精准服务。目前存量数据整合率达约92.5%。</w:t>
      </w:r>
    </w:p>
    <w:p>
      <w:pPr>
        <w:spacing w:beforeLines="0" w:afterLines="0" w:line="580" w:lineRule="exact"/>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9.积极推进“互联网+不动产”服务，畅通内蒙古政务服务网不动产服务专区、蒙速办APP、微信公众号、“互联网+不动产登记”一体化平台业务网办渠道，实现商品房转移登记、预告登记、抵押权登记、换补证业务等事项“全程网办”。设置全市通办专窗，受理市域内的跨市通办业务。继与通辽市等6盟市签署跨市通办协议后，已与鄂尔多斯市完成沟通对接，签署《赤峰市 鄂尔多斯市不动产登记“跨市通办”合作协议书》，扩大跨市通办的合作范围。截至目前，共办理网办业务159605笔，全市通办业务1780笔，跨市通办业务10笔。</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10.保证登记质量，开展登记质量抽检工作，为保证登记业务质量，防范登记风险，中心抽调负责人、复审人员组成线上、线下两个质检小组，根据《赤峰市不动产登记中心登记质量抽检制度》定期开展抽检工作，形成质检报告，及时公示。对存在的问题及时组织学习、整改，梳理总结后形成操作规范，下发至全体工作人员，以问题为导向，从细微处入手，规范窗口工作人员的登记行为。本年度共进行质量抽检3次，抽检业务1989件，发现问题12个，已全部整改完成。</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11.提升登记便利，助推“一件事一次办”与市住建局联合制发《赤峰市房屋转移登记、交付及水电气暖联动过户工作实施方案》，实现了不动产登记与水电气暖联动过户，简化了办事流程，节省了申请人时间成本，为企业群众提供了更加便捷的体验。实现二手房转移登记与水电气暖联动过户“一件事一次办”。</w:t>
      </w:r>
    </w:p>
    <w:p>
      <w:pPr>
        <w:spacing w:beforeLines="0" w:afterLines="0" w:line="580" w:lineRule="exact"/>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12.牵头制定《推动高效办成“购房置业”一件事工作方案》，实现不动产预告登记、不动产转移登记、不动产抵押登记、不动产抵押注销、缴费开票、缴税开票业务“一站式”高效办理。</w:t>
      </w: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部门决算情况说明</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一、收入支出决算总体情况说明</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赤峰市自然资源局部门2024年度收入、支出决算总计均为20743.56万元。与年初预算相比，收、支总计各增加7990.51万元，增长62.66%，变动原因：</w:t>
      </w:r>
      <w:r>
        <w:rPr>
          <w:rFonts w:hint="eastAsia" w:ascii="仿宋_GB2312" w:hAnsi="仿宋_GB2312" w:eastAsia="仿宋_GB2312" w:cs="仿宋_GB2312"/>
          <w:kern w:val="0"/>
          <w:sz w:val="27"/>
          <w:szCs w:val="27"/>
          <w:lang w:val="en-US" w:eastAsia="zh-CN"/>
        </w:rPr>
        <w:t>本年度增加了地面沉降监测网建设项目</w:t>
      </w:r>
      <w:r>
        <w:rPr>
          <w:rFonts w:ascii="仿宋_GB2312" w:hAnsi="仿宋_GB2312" w:eastAsia="仿宋_GB2312" w:cs="仿宋_GB2312"/>
          <w:kern w:val="0"/>
          <w:sz w:val="27"/>
          <w:szCs w:val="27"/>
        </w:rPr>
        <w:t>；与上年决算相比，收、支总计各增加10360.49万元，增长99.78%。其中：</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（一）收入决算总计20743.56万元。包括：</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1.本年收入决算合计20743.56万元。与上年决算相比，增加10414.36万元，增长100.82%，变动原因：</w:t>
      </w:r>
      <w:r>
        <w:rPr>
          <w:rFonts w:hint="eastAsia" w:ascii="仿宋_GB2312" w:hAnsi="仿宋_GB2312" w:eastAsia="仿宋_GB2312" w:cs="仿宋_GB2312"/>
          <w:kern w:val="0"/>
          <w:sz w:val="27"/>
          <w:szCs w:val="27"/>
          <w:lang w:val="en-US" w:eastAsia="zh-CN"/>
        </w:rPr>
        <w:t>本年度增加了地面沉降监测网建设项目</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2.使用非财政拨款结余（含专用结余）</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3.年初结转和结余</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万元。与上年决算相比，减少53.88万元，下降100.00%，变动原因：</w:t>
      </w:r>
      <w:r>
        <w:rPr>
          <w:rFonts w:hint="eastAsia" w:ascii="仿宋_GB2312" w:hAnsi="仿宋_GB2312" w:eastAsia="仿宋_GB2312" w:cs="仿宋_GB2312"/>
          <w:kern w:val="0"/>
          <w:sz w:val="27"/>
          <w:szCs w:val="27"/>
          <w:lang w:val="en-US" w:eastAsia="zh-CN"/>
        </w:rPr>
        <w:t>不存在此项内容，无法与上年决算相比</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（二）支出决算总计20743.56万元。包括：</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1.本年支出决算合计20743.56万元。与上年决算相比，增加10360.49万元，增长99.78%，变动原因：</w:t>
      </w:r>
      <w:r>
        <w:rPr>
          <w:rFonts w:hint="eastAsia" w:ascii="仿宋_GB2312" w:hAnsi="仿宋_GB2312" w:eastAsia="仿宋_GB2312" w:cs="仿宋_GB2312"/>
          <w:kern w:val="0"/>
          <w:sz w:val="27"/>
          <w:szCs w:val="27"/>
          <w:lang w:val="en-US" w:eastAsia="zh-CN"/>
        </w:rPr>
        <w:t>本年度增加了地面沉降监测网建设项目</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2.结余分配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万元。结余分配事项：</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3.年末结转和结余</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万元。结转和结余事项：</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二、收入决算情况说明</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赤峰市自然资源局部门2024年度本年收入决算合计20743.56万元，其中：</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本年一般公共预算财政拨款收入20743.56万元，占100.00%；</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本年政府性基金预算财政拨款收入</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本年国有资本经营预算财政拨款收入</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本年上级补助收入</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本年事业收入</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本年经营收入</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本年附属单位上缴收入</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w:t>
      </w:r>
    </w:p>
    <w:p>
      <w:pPr>
        <w:widowControl/>
        <w:spacing w:before="240" w:after="240"/>
        <w:ind w:firstLine="540" w:firstLineChars="20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本年其他收入</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5262880" cy="1752600"/>
            <wp:effectExtent l="0" t="0" r="7620" b="0"/>
            <wp:docPr id="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true"/>
                    </pic:cNvPicPr>
                  </pic:nvPicPr>
                  <pic:blipFill>
                    <a:blip r:embed="rId6"/>
                    <a:stretch>
                      <a:fillRect/>
                    </a:stretch>
                  </pic:blipFill>
                  <pic:spPr>
                    <a:xfrm>
                      <a:off x="0" y="0"/>
                      <a:ext cx="5262880" cy="1752600"/>
                    </a:xfrm>
                    <a:prstGeom prst="rect">
                      <a:avLst/>
                    </a:prstGeom>
                    <a:noFill/>
                    <a:ln>
                      <a:noFill/>
                    </a:ln>
                  </pic:spPr>
                </pic:pic>
              </a:graphicData>
            </a:graphic>
          </wp:inline>
        </w:drawing>
      </w:r>
    </w:p>
    <w:p>
      <w:pPr>
        <w:widowControl/>
        <w:spacing w:before="240" w:after="240"/>
        <w:jc w:val="center"/>
        <w:rPr>
          <w:rFonts w:ascii="仿宋_GB2312" w:hAnsi="仿宋_GB2312" w:eastAsia="仿宋_GB2312" w:cs="仿宋_GB2312"/>
          <w:kern w:val="0"/>
          <w:sz w:val="27"/>
          <w:szCs w:val="27"/>
        </w:rPr>
      </w:pPr>
      <w:r>
        <w:rPr>
          <w:rFonts w:ascii="仿宋_GB2312" w:hAnsi="仿宋_GB2312" w:eastAsia="仿宋_GB2312" w:cs="仿宋_GB2312"/>
          <w:kern w:val="0"/>
          <w:sz w:val="27"/>
          <w:szCs w:val="27"/>
        </w:rPr>
        <w:t>图1.收入决算图</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三、支出决算情况说明</w:t>
      </w:r>
    </w:p>
    <w:p>
      <w:pPr>
        <w:widowControl/>
        <w:spacing w:before="240" w:after="240"/>
        <w:ind w:firstLine="540" w:firstLineChars="20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赤峰市自然资源局部门2024年度本年支出决算合计20743.56万元，其中：</w:t>
      </w:r>
    </w:p>
    <w:p>
      <w:pPr>
        <w:widowControl/>
        <w:spacing w:before="240" w:after="240"/>
        <w:ind w:firstLine="540" w:firstLineChars="20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本年基本支出5718.74万元，占27.57%；</w:t>
      </w:r>
    </w:p>
    <w:p>
      <w:pPr>
        <w:widowControl/>
        <w:spacing w:before="240" w:after="240"/>
        <w:ind w:firstLine="540" w:firstLineChars="20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本年项目支出15024.82万元，占72.43%；</w:t>
      </w:r>
    </w:p>
    <w:p>
      <w:pPr>
        <w:widowControl/>
        <w:spacing w:before="240" w:after="240"/>
        <w:ind w:firstLine="540" w:firstLineChars="20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本年上缴上级支出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color w:val="auto"/>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color w:val="auto"/>
          <w:kern w:val="0"/>
          <w:sz w:val="27"/>
          <w:szCs w:val="27"/>
        </w:rPr>
        <w:t>%；</w:t>
      </w:r>
    </w:p>
    <w:p>
      <w:pPr>
        <w:widowControl/>
        <w:spacing w:before="240" w:after="240"/>
        <w:ind w:firstLine="540" w:firstLineChars="20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本年经营支出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color w:val="auto"/>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color w:val="auto"/>
          <w:kern w:val="0"/>
          <w:sz w:val="27"/>
          <w:szCs w:val="27"/>
        </w:rPr>
        <w:t>%；</w:t>
      </w:r>
    </w:p>
    <w:p>
      <w:pPr>
        <w:widowControl/>
        <w:spacing w:before="240" w:after="240"/>
        <w:ind w:firstLine="540" w:firstLineChars="200"/>
        <w:rPr>
          <w:rFonts w:ascii="Times New Roman" w:hAnsi="Times New Roman" w:eastAsia="Times New Roman" w:cs="Times New Roman"/>
          <w:color w:val="auto"/>
          <w:kern w:val="0"/>
          <w:sz w:val="24"/>
        </w:rPr>
      </w:pPr>
      <w:r>
        <w:rPr>
          <w:rFonts w:ascii="仿宋_GB2312" w:hAnsi="仿宋_GB2312" w:eastAsia="仿宋_GB2312" w:cs="仿宋_GB2312"/>
          <w:color w:val="auto"/>
          <w:kern w:val="0"/>
          <w:sz w:val="27"/>
          <w:szCs w:val="27"/>
        </w:rPr>
        <w:t>本年对附属单位补助支出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color w:val="auto"/>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color w:val="auto"/>
          <w:kern w:val="0"/>
          <w:sz w:val="27"/>
          <w:szCs w:val="27"/>
        </w:rPr>
        <w:t>%。</w:t>
      </w:r>
    </w:p>
    <w:p>
      <w:pPr>
        <w:widowControl/>
        <w:spacing w:before="240" w:after="240"/>
        <w:jc w:val="both"/>
        <w:rPr>
          <w:rFonts w:ascii="Times New Roman" w:hAnsi="Times New Roman" w:eastAsia="Times New Roman" w:cs="Times New Roman"/>
          <w:kern w:val="0"/>
          <w:sz w:val="24"/>
        </w:rPr>
      </w:pPr>
      <w:r>
        <w:rPr>
          <w:rFonts w:hint="eastAsia" w:ascii="Times New Roman" w:hAnsi="Times New Roman" w:eastAsia="宋体" w:cs="Times New Roman"/>
          <w:strike w:val="0"/>
          <w:kern w:val="0"/>
          <w:sz w:val="24"/>
          <w:u w:val="none"/>
          <w:lang w:val="en-US" w:eastAsia="zh-CN"/>
        </w:rPr>
        <w:t xml:space="preserve">    </w:t>
      </w:r>
      <w:r>
        <w:rPr>
          <w:rFonts w:ascii="Times New Roman" w:hAnsi="Times New Roman" w:eastAsia="Times New Roman" w:cs="Times New Roman"/>
          <w:strike w:val="0"/>
          <w:kern w:val="0"/>
          <w:sz w:val="24"/>
          <w:u w:val="none"/>
        </w:rPr>
        <w:drawing>
          <wp:inline distT="0" distB="0" distL="114300" distR="114300">
            <wp:extent cx="4678680" cy="1570355"/>
            <wp:effectExtent l="0" t="0" r="7620" b="4445"/>
            <wp:docPr id="2"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true"/>
                    </pic:cNvPicPr>
                  </pic:nvPicPr>
                  <pic:blipFill>
                    <a:blip r:embed="rId7"/>
                    <a:stretch>
                      <a:fillRect/>
                    </a:stretch>
                  </pic:blipFill>
                  <pic:spPr>
                    <a:xfrm>
                      <a:off x="0" y="0"/>
                      <a:ext cx="4678680" cy="1570355"/>
                    </a:xfrm>
                    <a:prstGeom prst="rect">
                      <a:avLst/>
                    </a:prstGeom>
                    <a:noFill/>
                    <a:ln>
                      <a:noFill/>
                    </a:ln>
                  </pic:spPr>
                </pic:pic>
              </a:graphicData>
            </a:graphic>
          </wp:inline>
        </w:drawing>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四、财政拨款收入支出决算总体情况说明</w:t>
      </w:r>
    </w:p>
    <w:p>
      <w:pPr>
        <w:widowControl/>
        <w:spacing w:before="240" w:after="240"/>
        <w:ind w:firstLine="540" w:firstLineChars="20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赤峰市自然资源局部门2024年度财政拨款收入、支出决算总计均为20743.56万元，与年初预算相比，收、支总计各增加7990.51万元，增长62.66%，变动原因：</w:t>
      </w:r>
      <w:r>
        <w:rPr>
          <w:rFonts w:hint="eastAsia" w:ascii="仿宋_GB2312" w:hAnsi="仿宋_GB2312" w:eastAsia="仿宋_GB2312" w:cs="仿宋_GB2312"/>
          <w:kern w:val="0"/>
          <w:sz w:val="27"/>
          <w:szCs w:val="27"/>
          <w:lang w:val="en-US" w:eastAsia="zh-CN"/>
        </w:rPr>
        <w:t>本年度增加了地面沉降监测网建设项目</w:t>
      </w:r>
      <w:r>
        <w:rPr>
          <w:rFonts w:ascii="仿宋_GB2312" w:hAnsi="仿宋_GB2312" w:eastAsia="仿宋_GB2312" w:cs="仿宋_GB2312"/>
          <w:kern w:val="0"/>
          <w:sz w:val="27"/>
          <w:szCs w:val="27"/>
        </w:rPr>
        <w:t>；与上年决算相比，收、支总计各增加10360.49万元，增长99.78%，变动原因：</w:t>
      </w:r>
      <w:r>
        <w:rPr>
          <w:rFonts w:hint="eastAsia" w:ascii="仿宋_GB2312" w:hAnsi="仿宋_GB2312" w:eastAsia="仿宋_GB2312" w:cs="仿宋_GB2312"/>
          <w:kern w:val="0"/>
          <w:sz w:val="27"/>
          <w:szCs w:val="27"/>
          <w:lang w:val="en-US" w:eastAsia="zh-CN"/>
        </w:rPr>
        <w:t>本年度增加了地面沉降监测网建设项目</w:t>
      </w:r>
      <w:r>
        <w:rPr>
          <w:rFonts w:ascii="仿宋_GB2312" w:hAnsi="仿宋_GB2312" w:eastAsia="仿宋_GB2312" w:cs="仿宋_GB2312"/>
          <w:kern w:val="0"/>
          <w:sz w:val="27"/>
          <w:szCs w:val="27"/>
        </w:rPr>
        <w:t>。</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五、一般公共预算财政拨款支出决算情况说明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赤峰市自然资源局部门2024年度一般公共预算财政拨款支出决算20743.56万元。与年初预算12753.05万元相比，完成年初预算的162.66%。其中：</w:t>
      </w:r>
    </w:p>
    <w:p>
      <w:pPr>
        <w:widowControl/>
        <w:spacing w:before="240" w:after="240"/>
        <w:ind w:firstLine="542"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（一）一般公共服务（类）</w:t>
      </w:r>
    </w:p>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一般公共服务（类）决算数为13.99万元，与年初预算相比增加13.99万元。其中：</w:t>
      </w:r>
    </w:p>
    <w:p>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一般公共服务支出（20132）其他一般组织事务支出（99）。年初预算0.00万元，支出决算13.99万元，完成年初预算的0.00%。决算数与年初预算数的差异原因：本年追加指标14.00万元，王静、孙洋洋定向选调生生活补助12.00万元，丁青坡、张晓敏“玉龙英才”项目款2.00万元。</w:t>
      </w:r>
    </w:p>
    <w:p>
      <w:pPr>
        <w:pStyle w:val="8"/>
        <w:spacing w:after="0" w:line="560" w:lineRule="exact"/>
        <w:ind w:firstLine="542" w:firstLineChars="200"/>
        <w:rPr>
          <w:rFonts w:hint="eastAsia" w:ascii="黑体" w:hAnsi="黑体" w:eastAsia="黑体" w:cs="黑体"/>
          <w:b/>
          <w:bCs/>
          <w:kern w:val="0"/>
          <w:sz w:val="27"/>
          <w:szCs w:val="27"/>
          <w:lang w:val="en-US" w:eastAsia="zh-CN" w:bidi="ar-SA"/>
        </w:rPr>
      </w:pPr>
      <w:r>
        <w:rPr>
          <w:rFonts w:hint="eastAsia" w:ascii="黑体" w:hAnsi="黑体" w:eastAsia="黑体" w:cs="黑体"/>
          <w:b/>
          <w:bCs/>
          <w:kern w:val="0"/>
          <w:sz w:val="27"/>
          <w:szCs w:val="27"/>
          <w:lang w:val="en-US" w:eastAsia="zh-CN" w:bidi="ar-SA"/>
        </w:rPr>
        <w:t>（二）社会保障和就业支出（类）</w:t>
      </w:r>
    </w:p>
    <w:p>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社会保障和就业支出类决算数为633.31万元，与年初预算相比增加54.30万元。其中：</w:t>
      </w:r>
    </w:p>
    <w:p>
      <w:pPr>
        <w:widowControl/>
        <w:numPr>
          <w:ilvl w:val="0"/>
          <w:numId w:val="0"/>
        </w:numPr>
        <w:spacing w:before="240" w:after="240"/>
        <w:ind w:firstLine="540" w:firstLineChars="200"/>
        <w:rPr>
          <w:rFonts w:hint="default" w:ascii="仿宋_GB2312" w:hAnsi="Times New Roman" w:eastAsia="仿宋_GB2312" w:cs="Times New Roman"/>
          <w:kern w:val="2"/>
          <w:sz w:val="32"/>
          <w:szCs w:val="32"/>
          <w:lang w:val="en-US" w:eastAsia="zh-CN" w:bidi="ar-SA"/>
        </w:rPr>
      </w:pPr>
      <w:r>
        <w:rPr>
          <w:rFonts w:hint="default"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．行政事业单位养老支出（20805）行政单位离退休（01）。年初预算90.62万元，支出决算86.06万元，完成年初预算的94.97%。决算数与年初预算数的差异原因：本年度增加了退休人员项目外工资。</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2．行政事业单位养老支出（20805）事业单位离退休（02）。年初预算100.81万元，支出决算97.72万元，完成年初预算的96.93%。决算数与年初预算数的差异原因：本年退休人员增加，导致决算支出数减少。</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3．行政事业单位养老支出（20805）机关事业单位基本养老保险缴费支出（05）。年初预算371.24万元，支出决算370.67万元，完成年初预算的100.00%。决算数与年初预算数的差异原因：本年年初预算与决算无差异。</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4．行政事业单位养老支出（20805）机关事业职业年金支出（06）。年初预算0.00万元，支出决算54.25万元，完成年初预算的0.00%。决算数与年初预算数的差异原因：本年追加退休人员职业年金。</w:t>
      </w:r>
    </w:p>
    <w:p>
      <w:pPr>
        <w:widowControl/>
        <w:numPr>
          <w:ilvl w:val="0"/>
          <w:numId w:val="0"/>
        </w:numPr>
        <w:spacing w:before="240" w:after="240"/>
        <w:ind w:firstLine="540" w:firstLineChars="200"/>
        <w:rPr>
          <w:rFonts w:hint="default"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kern w:val="0"/>
          <w:sz w:val="27"/>
          <w:szCs w:val="27"/>
          <w:lang w:val="en-US" w:eastAsia="zh-CN"/>
        </w:rPr>
        <w:t>5．抚恤金（20808）死亡抚恤（01）。年初预算2.23万元，支出决算11.12万元，完成年初预算的100.00%。决算数与年初预算数的差异原因：本年年初预算与决算支出无差异</w:t>
      </w:r>
      <w:r>
        <w:rPr>
          <w:rFonts w:hint="eastAsia" w:ascii="仿宋_GB2312" w:hAnsi="Times New Roman" w:eastAsia="仿宋_GB2312" w:cs="Times New Roman"/>
          <w:kern w:val="2"/>
          <w:sz w:val="32"/>
          <w:szCs w:val="32"/>
          <w:lang w:val="en-US" w:eastAsia="zh-CN" w:bidi="ar-SA"/>
        </w:rPr>
        <w:t>。</w:t>
      </w:r>
    </w:p>
    <w:p>
      <w:pPr>
        <w:widowControl/>
        <w:numPr>
          <w:ilvl w:val="0"/>
          <w:numId w:val="0"/>
        </w:numPr>
        <w:spacing w:before="240" w:after="240"/>
        <w:ind w:firstLine="540" w:firstLineChars="200"/>
        <w:rPr>
          <w:rFonts w:hint="eastAsia" w:ascii="仿宋_GB2312" w:hAnsi="仿宋_GB2312" w:eastAsia="仿宋_GB2312" w:cs="仿宋_GB2312"/>
          <w:color w:val="auto"/>
          <w:kern w:val="0"/>
          <w:sz w:val="27"/>
          <w:szCs w:val="27"/>
          <w:lang w:val="en-US" w:eastAsia="zh-CN"/>
        </w:rPr>
      </w:pPr>
      <w:r>
        <w:rPr>
          <w:rFonts w:hint="eastAsia" w:ascii="仿宋_GB2312" w:hAnsi="仿宋_GB2312" w:eastAsia="仿宋_GB2312" w:cs="仿宋_GB2312"/>
          <w:color w:val="auto"/>
          <w:kern w:val="0"/>
          <w:sz w:val="27"/>
          <w:szCs w:val="27"/>
          <w:lang w:val="en-US" w:eastAsia="zh-CN"/>
        </w:rPr>
        <w:t>6．其他社会保障和就业支出（20899）其他社会保障和就业支出（99）。年初预算14.08万元，支出决算13.47万元，完成年初预算的95.67%。决算数与年初预算数的差异原因：本年退休人员增加，导致支出决算数减少。</w:t>
      </w:r>
    </w:p>
    <w:p>
      <w:pPr>
        <w:widowControl/>
        <w:numPr>
          <w:ilvl w:val="0"/>
          <w:numId w:val="0"/>
        </w:numPr>
        <w:spacing w:before="240" w:after="240"/>
        <w:ind w:firstLine="542" w:firstLineChars="200"/>
        <w:rPr>
          <w:rFonts w:hint="eastAsia" w:ascii="黑体" w:hAnsi="黑体" w:eastAsia="黑体" w:cs="黑体"/>
          <w:b/>
          <w:bCs/>
          <w:kern w:val="0"/>
          <w:sz w:val="27"/>
          <w:szCs w:val="27"/>
          <w:lang w:val="en-US" w:eastAsia="zh-CN" w:bidi="ar-SA"/>
        </w:rPr>
      </w:pPr>
      <w:r>
        <w:rPr>
          <w:rFonts w:hint="eastAsia" w:ascii="黑体" w:hAnsi="黑体" w:eastAsia="黑体" w:cs="黑体"/>
          <w:b/>
          <w:bCs/>
          <w:kern w:val="0"/>
          <w:sz w:val="27"/>
          <w:szCs w:val="27"/>
          <w:lang w:val="en-US" w:eastAsia="zh-CN" w:bidi="ar-SA"/>
        </w:rPr>
        <w:t>（三）卫生健康支出（类）</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卫生健康支出类决算数为194.85万元，与年初预算相比减少9.12万元。其中：</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.行政事业单位医疗（21011）行政单位医疗（01）。年初预算46.57万元，支出决算46.57万元，完成年初预算的100.00%。决算数与年初预算数的差异原因：本年年初预算与决算数无差异。</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lang w:val="en-US" w:eastAsia="zh-CN"/>
        </w:rPr>
        <w:t>.行政事业单位医疗（21011）事业单位医疗（02）。年初预算139.16万元，支出决算138.71万元，完成年初预算的100.00%。决算数与年初预算数的差异原因：本年年初预算与决算数无差异。</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3</w:t>
      </w:r>
      <w:r>
        <w:rPr>
          <w:rFonts w:hint="eastAsia" w:ascii="仿宋_GB2312" w:hAnsi="仿宋_GB2312" w:eastAsia="仿宋_GB2312" w:cs="仿宋_GB2312"/>
          <w:kern w:val="0"/>
          <w:sz w:val="27"/>
          <w:szCs w:val="27"/>
          <w:lang w:val="en-US" w:eastAsia="zh-CN"/>
        </w:rPr>
        <w:t>.行政事业单位医疗（21011）公务员医疗补助（03）。年初预算0.00元，支出决算9.56万元，完成年初预算的0.00%。决算数与年初预算数的差异原因：本年公务员医疗补助属于追加资金增加，故年初预算数为零。</w:t>
      </w:r>
    </w:p>
    <w:p>
      <w:pPr>
        <w:widowControl/>
        <w:numPr>
          <w:ilvl w:val="0"/>
          <w:numId w:val="0"/>
        </w:numPr>
        <w:spacing w:before="240" w:after="240"/>
        <w:ind w:firstLine="542" w:firstLineChars="200"/>
        <w:rPr>
          <w:rFonts w:hint="eastAsia" w:ascii="仿宋_GB2312" w:hAnsi="仿宋_GB2312" w:eastAsia="仿宋_GB2312" w:cs="仿宋_GB2312"/>
          <w:kern w:val="0"/>
          <w:sz w:val="27"/>
          <w:szCs w:val="27"/>
          <w:lang w:val="en-US" w:eastAsia="zh-CN"/>
        </w:rPr>
      </w:pPr>
      <w:r>
        <w:rPr>
          <w:rFonts w:hint="eastAsia" w:ascii="黑体" w:hAnsi="黑体" w:eastAsia="黑体" w:cs="黑体"/>
          <w:b/>
          <w:bCs/>
          <w:kern w:val="0"/>
          <w:sz w:val="27"/>
          <w:szCs w:val="27"/>
          <w:lang w:val="en-US" w:eastAsia="zh-CN" w:bidi="ar-SA"/>
        </w:rPr>
        <w:t>（四）住房保障支出（类）</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住房保障支出类决算数为295.03万元，与年初预算相比减少17.61万元。其中：</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1.住房改革支出（22102）住房公积金（01）。年初预算312.64万元，支出决算295.03万元，完成年初预算的94.37%。决算数与年初预算数的差异原因：本年退休人员增加4人，调出1人，导致住房公积金减少。</w:t>
      </w:r>
    </w:p>
    <w:p>
      <w:pPr>
        <w:widowControl/>
        <w:numPr>
          <w:ilvl w:val="0"/>
          <w:numId w:val="0"/>
        </w:numPr>
        <w:spacing w:before="240" w:after="240"/>
        <w:ind w:firstLine="542" w:firstLineChars="200"/>
        <w:rPr>
          <w:rFonts w:hint="default" w:ascii="黑体" w:hAnsi="黑体" w:eastAsia="黑体" w:cs="黑体"/>
          <w:b/>
          <w:bCs/>
          <w:kern w:val="0"/>
          <w:sz w:val="27"/>
          <w:szCs w:val="27"/>
          <w:lang w:val="en-US" w:eastAsia="zh-CN" w:bidi="ar-SA"/>
        </w:rPr>
      </w:pPr>
      <w:r>
        <w:rPr>
          <w:rFonts w:hint="eastAsia" w:ascii="黑体" w:hAnsi="黑体" w:eastAsia="黑体" w:cs="黑体"/>
          <w:b/>
          <w:bCs/>
          <w:kern w:val="0"/>
          <w:sz w:val="27"/>
          <w:szCs w:val="27"/>
          <w:lang w:val="en-US" w:eastAsia="zh-CN" w:bidi="ar-SA"/>
        </w:rPr>
        <w:t>（五）农林水支出（类）</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农林水类决算数为8.88万元，与年初预算相比减少5.98万元。其中：</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巩固脱贫衔接乡村振兴（21305）其他巩固脱贫衔接乡村振兴支出（99）。年初预算2.90万元，支出决算8.88万元，完成预算的307%。决算数与年初预算数的差异原因：此款系本年不动产登记中心、土地储备整理中心乡村振兴扶贫人员生活补助，为本年追加资金。</w:t>
      </w:r>
    </w:p>
    <w:p>
      <w:pPr>
        <w:widowControl/>
        <w:spacing w:before="240" w:after="240"/>
        <w:ind w:firstLine="542" w:firstLineChars="200"/>
        <w:jc w:val="left"/>
        <w:rPr>
          <w:rFonts w:hint="default" w:ascii="黑体" w:hAnsi="黑体" w:eastAsia="黑体" w:cs="黑体"/>
          <w:b/>
          <w:bCs/>
          <w:kern w:val="0"/>
          <w:sz w:val="27"/>
          <w:szCs w:val="27"/>
          <w:lang w:val="en-US" w:eastAsia="zh-CN" w:bidi="ar-SA"/>
        </w:rPr>
      </w:pPr>
      <w:r>
        <w:rPr>
          <w:rFonts w:hint="eastAsia" w:ascii="黑体" w:hAnsi="黑体" w:eastAsia="黑体" w:cs="黑体"/>
          <w:b/>
          <w:bCs/>
          <w:kern w:val="0"/>
          <w:sz w:val="27"/>
          <w:szCs w:val="27"/>
          <w:lang w:val="en-US" w:eastAsia="zh-CN" w:bidi="ar-SA"/>
        </w:rPr>
        <w:t>（六）自然资源海洋气候等支出（类）</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自然资源海洋气候类决算数为7828.42万元，与年初预算相比减少3344.33万元。其中：</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1.自然资源事务（22001）行政运行（01）。年初预算762.68万元，支出决算732.54万元，完成预算的96.05%。决算数与年初预算数的差异原因：本年增加了退休人员、调动人员，人员经费减少，导致预决算差异。</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自然资源事务（22001）自然资源规划及管理（04）。年初预算359.00万元，支出决算159万元，完成预算的44.29%。决算数与年初预算数的差异原因：赤峰市中心城区东城片区局部控制性详细规划修编支付项目进度款，剩余资金按合同约定2025年支付。</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3.自然资源事务（22001）事业运行（50）。年初预算3657.04万元，支出决算2769.01万元，完成预算的76%。决算数与年初预算数的差异原因：不动产登记中心部分项目外经费因财力不足，未能支付。</w:t>
      </w:r>
    </w:p>
    <w:p>
      <w:pPr>
        <w:widowControl/>
        <w:numPr>
          <w:ilvl w:val="0"/>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4.自然资源事务（22001）其他自然资源事务支出（99）。年初预算6394.03万元，支出决算4167.81万元，完成预算的66%。决算数与年初预算数的差异原因：赤峰市国土空间规划（2020-2035）按合同约定应支付793万元、元宝山区红庙矿区采空区及周边勘查与评价项目235.08万元、赤峰市2023年度矿业权人勘查开采信息公示实地核查171.30万元、赤峰市矿产资源总体规划（2021-2025）200.8万元、《赤峰市八家片区控制性详细规划暨城市设计》第三次付款111万元、全民所有自然资源系统165.20万元，项目正在实施中，按合同约定已申请第一次支付94.8万元、《赤峰市306国道沿线两侧城市设计》第三期付款182万元、赤峰市小新地片区控制性详细规划和城市设计103.50万元、《红山区旧城控制性详细规划暨城市设计》第三次付款107.7万元等。综上，部分项目已完工，由于财力不足未及时支付、个别项目正在招投标、部分项目正在实施中等原因导致预决算有差异。</w:t>
      </w:r>
    </w:p>
    <w:p>
      <w:pPr>
        <w:widowControl/>
        <w:numPr>
          <w:ilvl w:val="0"/>
          <w:numId w:val="0"/>
        </w:numPr>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5、灾害防治（22406）应急管理支出（01）.年初预算0.00万元，支出决算11769.08万元，完成预算的0%。决算数与年初预算数的差异原因：本年新增加赤峰市地面沉降监测网建设项目。</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六、一般公共预算财政拨款基本支出决算情况说明</w:t>
      </w:r>
    </w:p>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赤峰市自然资源局部门2024年度一般公共预算财政拨款基本支出决算5718.74万元，其中：</w:t>
      </w:r>
    </w:p>
    <w:p>
      <w:pPr>
        <w:widowControl/>
        <w:spacing w:before="240" w:after="240"/>
        <w:ind w:firstLine="542" w:firstLineChars="200"/>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（一）人员经费4285.75万元</w:t>
      </w:r>
      <w:r>
        <w:rPr>
          <w:rFonts w:ascii="仿宋_GB2312" w:hAnsi="仿宋_GB2312" w:eastAsia="仿宋_GB2312" w:cs="仿宋_GB2312"/>
          <w:kern w:val="0"/>
          <w:sz w:val="27"/>
          <w:szCs w:val="27"/>
        </w:rPr>
        <w:t>。主要包括：基本工资</w:t>
      </w:r>
      <w:r>
        <w:rPr>
          <w:rFonts w:hint="eastAsia" w:ascii="仿宋_GB2312" w:hAnsi="仿宋_GB2312" w:eastAsia="仿宋_GB2312" w:cs="仿宋_GB2312"/>
          <w:kern w:val="0"/>
          <w:sz w:val="27"/>
          <w:szCs w:val="27"/>
          <w:lang w:val="en-US" w:eastAsia="zh-CN"/>
        </w:rPr>
        <w:t>1244.01万元</w:t>
      </w:r>
      <w:r>
        <w:rPr>
          <w:rFonts w:ascii="仿宋_GB2312" w:hAnsi="仿宋_GB2312" w:eastAsia="仿宋_GB2312" w:cs="仿宋_GB2312"/>
          <w:kern w:val="0"/>
          <w:sz w:val="27"/>
          <w:szCs w:val="27"/>
        </w:rPr>
        <w:t>、津贴补贴</w:t>
      </w:r>
      <w:r>
        <w:rPr>
          <w:rFonts w:hint="eastAsia" w:ascii="仿宋_GB2312" w:hAnsi="仿宋_GB2312" w:eastAsia="仿宋_GB2312" w:cs="仿宋_GB2312"/>
          <w:kern w:val="0"/>
          <w:sz w:val="27"/>
          <w:szCs w:val="27"/>
          <w:lang w:val="en-US" w:eastAsia="zh-CN"/>
        </w:rPr>
        <w:t>516.78万元</w:t>
      </w:r>
      <w:r>
        <w:rPr>
          <w:rFonts w:ascii="仿宋_GB2312" w:hAnsi="仿宋_GB2312" w:eastAsia="仿宋_GB2312" w:cs="仿宋_GB2312"/>
          <w:kern w:val="0"/>
          <w:sz w:val="27"/>
          <w:szCs w:val="27"/>
        </w:rPr>
        <w:t>、奖金</w:t>
      </w:r>
      <w:r>
        <w:rPr>
          <w:rFonts w:hint="eastAsia" w:ascii="仿宋_GB2312" w:hAnsi="仿宋_GB2312" w:eastAsia="仿宋_GB2312" w:cs="仿宋_GB2312"/>
          <w:kern w:val="0"/>
          <w:sz w:val="27"/>
          <w:szCs w:val="27"/>
          <w:lang w:val="en-US" w:eastAsia="zh-CN"/>
        </w:rPr>
        <w:t>263.76万元</w:t>
      </w:r>
      <w:r>
        <w:rPr>
          <w:rFonts w:ascii="仿宋_GB2312" w:hAnsi="仿宋_GB2312" w:eastAsia="仿宋_GB2312" w:cs="仿宋_GB2312"/>
          <w:kern w:val="0"/>
          <w:sz w:val="27"/>
          <w:szCs w:val="27"/>
        </w:rPr>
        <w:t>、绩效工资</w:t>
      </w:r>
      <w:r>
        <w:rPr>
          <w:rFonts w:hint="eastAsia" w:ascii="仿宋_GB2312" w:hAnsi="仿宋_GB2312" w:eastAsia="仿宋_GB2312" w:cs="仿宋_GB2312"/>
          <w:kern w:val="0"/>
          <w:sz w:val="27"/>
          <w:szCs w:val="27"/>
          <w:lang w:val="en-US" w:eastAsia="zh-CN"/>
        </w:rPr>
        <w:t>541.93万元</w:t>
      </w:r>
      <w:r>
        <w:rPr>
          <w:rFonts w:ascii="仿宋_GB2312" w:hAnsi="仿宋_GB2312" w:eastAsia="仿宋_GB2312" w:cs="仿宋_GB2312"/>
          <w:kern w:val="0"/>
          <w:sz w:val="27"/>
          <w:szCs w:val="27"/>
        </w:rPr>
        <w:t>、机关事业单位基本养老保险缴费</w:t>
      </w:r>
      <w:r>
        <w:rPr>
          <w:rFonts w:hint="eastAsia" w:ascii="仿宋_GB2312" w:hAnsi="仿宋_GB2312" w:eastAsia="仿宋_GB2312" w:cs="仿宋_GB2312"/>
          <w:kern w:val="0"/>
          <w:sz w:val="27"/>
          <w:szCs w:val="27"/>
          <w:lang w:val="en-US" w:eastAsia="zh-CN"/>
        </w:rPr>
        <w:t>370.67万元</w:t>
      </w:r>
      <w:r>
        <w:rPr>
          <w:rFonts w:ascii="仿宋_GB2312" w:hAnsi="仿宋_GB2312" w:eastAsia="仿宋_GB2312" w:cs="仿宋_GB2312"/>
          <w:kern w:val="0"/>
          <w:sz w:val="27"/>
          <w:szCs w:val="27"/>
        </w:rPr>
        <w:t>、职业年金缴费</w:t>
      </w:r>
      <w:r>
        <w:rPr>
          <w:rFonts w:hint="eastAsia" w:ascii="仿宋_GB2312" w:hAnsi="仿宋_GB2312" w:eastAsia="仿宋_GB2312" w:cs="仿宋_GB2312"/>
          <w:kern w:val="0"/>
          <w:sz w:val="27"/>
          <w:szCs w:val="27"/>
          <w:lang w:val="en-US" w:eastAsia="zh-CN"/>
        </w:rPr>
        <w:t>54.25万元</w:t>
      </w:r>
      <w:r>
        <w:rPr>
          <w:rFonts w:ascii="仿宋_GB2312" w:hAnsi="仿宋_GB2312" w:eastAsia="仿宋_GB2312" w:cs="仿宋_GB2312"/>
          <w:kern w:val="0"/>
          <w:sz w:val="27"/>
          <w:szCs w:val="27"/>
        </w:rPr>
        <w:t>、职工基本医疗保险缴费</w:t>
      </w:r>
      <w:r>
        <w:rPr>
          <w:rFonts w:hint="eastAsia" w:ascii="仿宋_GB2312" w:hAnsi="仿宋_GB2312" w:eastAsia="仿宋_GB2312" w:cs="仿宋_GB2312"/>
          <w:kern w:val="0"/>
          <w:sz w:val="27"/>
          <w:szCs w:val="27"/>
          <w:lang w:val="en-US" w:eastAsia="zh-CN"/>
        </w:rPr>
        <w:t>185.28万元</w:t>
      </w:r>
      <w:r>
        <w:rPr>
          <w:rFonts w:ascii="仿宋_GB2312" w:hAnsi="仿宋_GB2312" w:eastAsia="仿宋_GB2312" w:cs="仿宋_GB2312"/>
          <w:kern w:val="0"/>
          <w:sz w:val="27"/>
          <w:szCs w:val="27"/>
        </w:rPr>
        <w:t>、公务员医疗补助缴费</w:t>
      </w:r>
      <w:r>
        <w:rPr>
          <w:rFonts w:hint="eastAsia" w:ascii="仿宋_GB2312" w:hAnsi="仿宋_GB2312" w:eastAsia="仿宋_GB2312" w:cs="仿宋_GB2312"/>
          <w:kern w:val="0"/>
          <w:sz w:val="27"/>
          <w:szCs w:val="27"/>
          <w:lang w:val="en-US" w:eastAsia="zh-CN"/>
        </w:rPr>
        <w:t>9.56万元</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其他社会保障缴费13.47万元、</w:t>
      </w:r>
      <w:r>
        <w:rPr>
          <w:rFonts w:ascii="仿宋_GB2312" w:hAnsi="仿宋_GB2312" w:eastAsia="仿宋_GB2312" w:cs="仿宋_GB2312"/>
          <w:kern w:val="0"/>
          <w:sz w:val="27"/>
          <w:szCs w:val="27"/>
        </w:rPr>
        <w:t>住房公积金</w:t>
      </w:r>
      <w:r>
        <w:rPr>
          <w:rFonts w:hint="eastAsia" w:ascii="仿宋_GB2312" w:hAnsi="仿宋_GB2312" w:eastAsia="仿宋_GB2312" w:cs="仿宋_GB2312"/>
          <w:kern w:val="0"/>
          <w:sz w:val="27"/>
          <w:szCs w:val="27"/>
          <w:lang w:val="en-US" w:eastAsia="zh-CN"/>
        </w:rPr>
        <w:t>295.03万元</w:t>
      </w:r>
      <w:r>
        <w:rPr>
          <w:rFonts w:ascii="仿宋_GB2312" w:hAnsi="仿宋_GB2312" w:eastAsia="仿宋_GB2312" w:cs="仿宋_GB2312"/>
          <w:kern w:val="0"/>
          <w:sz w:val="27"/>
          <w:szCs w:val="27"/>
        </w:rPr>
        <w:t>、其他工资福利支出</w:t>
      </w:r>
      <w:r>
        <w:rPr>
          <w:rFonts w:hint="eastAsia" w:ascii="仿宋_GB2312" w:hAnsi="仿宋_GB2312" w:eastAsia="仿宋_GB2312" w:cs="仿宋_GB2312"/>
          <w:kern w:val="0"/>
          <w:sz w:val="27"/>
          <w:szCs w:val="27"/>
          <w:lang w:val="en-US" w:eastAsia="zh-CN"/>
        </w:rPr>
        <w:t>595.37万元</w:t>
      </w:r>
      <w:r>
        <w:rPr>
          <w:rFonts w:ascii="仿宋_GB2312" w:hAnsi="仿宋_GB2312" w:eastAsia="仿宋_GB2312" w:cs="仿宋_GB2312"/>
          <w:kern w:val="0"/>
          <w:sz w:val="27"/>
          <w:szCs w:val="27"/>
        </w:rPr>
        <w:t>、退休费</w:t>
      </w:r>
      <w:r>
        <w:rPr>
          <w:rFonts w:hint="eastAsia" w:ascii="仿宋_GB2312" w:hAnsi="仿宋_GB2312" w:eastAsia="仿宋_GB2312" w:cs="仿宋_GB2312"/>
          <w:kern w:val="0"/>
          <w:sz w:val="27"/>
          <w:szCs w:val="27"/>
          <w:lang w:val="en-US" w:eastAsia="zh-CN"/>
        </w:rPr>
        <w:t>174.68万元</w:t>
      </w:r>
      <w:r>
        <w:rPr>
          <w:rFonts w:ascii="仿宋_GB2312" w:hAnsi="仿宋_GB2312" w:eastAsia="仿宋_GB2312" w:cs="仿宋_GB2312"/>
          <w:kern w:val="0"/>
          <w:sz w:val="27"/>
          <w:szCs w:val="27"/>
        </w:rPr>
        <w:t>、抚恤金</w:t>
      </w:r>
      <w:r>
        <w:rPr>
          <w:rFonts w:hint="eastAsia" w:ascii="仿宋_GB2312" w:hAnsi="仿宋_GB2312" w:eastAsia="仿宋_GB2312" w:cs="仿宋_GB2312"/>
          <w:kern w:val="0"/>
          <w:sz w:val="27"/>
          <w:szCs w:val="27"/>
          <w:lang w:val="en-US" w:eastAsia="zh-CN"/>
        </w:rPr>
        <w:t>11.12万元</w:t>
      </w:r>
      <w:r>
        <w:rPr>
          <w:rFonts w:ascii="仿宋_GB2312" w:hAnsi="仿宋_GB2312" w:eastAsia="仿宋_GB2312" w:cs="仿宋_GB2312"/>
          <w:kern w:val="0"/>
          <w:sz w:val="27"/>
          <w:szCs w:val="27"/>
        </w:rPr>
        <w:t>、生活补助</w:t>
      </w:r>
      <w:r>
        <w:rPr>
          <w:rFonts w:hint="eastAsia" w:ascii="仿宋_GB2312" w:hAnsi="仿宋_GB2312" w:eastAsia="仿宋_GB2312" w:cs="仿宋_GB2312"/>
          <w:kern w:val="0"/>
          <w:sz w:val="27"/>
          <w:szCs w:val="27"/>
          <w:lang w:val="en-US" w:eastAsia="zh-CN"/>
        </w:rPr>
        <w:t>8.94万元</w:t>
      </w:r>
      <w:r>
        <w:rPr>
          <w:rFonts w:ascii="仿宋_GB2312" w:hAnsi="仿宋_GB2312" w:eastAsia="仿宋_GB2312" w:cs="仿宋_GB2312"/>
          <w:kern w:val="0"/>
          <w:sz w:val="27"/>
          <w:szCs w:val="27"/>
        </w:rPr>
        <w:t>。</w:t>
      </w:r>
    </w:p>
    <w:p>
      <w:pPr>
        <w:widowControl/>
        <w:spacing w:before="240" w:after="240"/>
        <w:ind w:firstLine="542" w:firstLineChars="200"/>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（二）公用经费1432.99万元</w:t>
      </w:r>
      <w:r>
        <w:rPr>
          <w:rFonts w:ascii="仿宋_GB2312" w:hAnsi="仿宋_GB2312" w:eastAsia="仿宋_GB2312" w:cs="仿宋_GB2312"/>
          <w:kern w:val="0"/>
          <w:sz w:val="27"/>
          <w:szCs w:val="27"/>
        </w:rPr>
        <w:t>。主要包括：办公费</w:t>
      </w:r>
      <w:r>
        <w:rPr>
          <w:rFonts w:hint="eastAsia" w:ascii="仿宋_GB2312" w:hAnsi="仿宋_GB2312" w:eastAsia="仿宋_GB2312" w:cs="仿宋_GB2312"/>
          <w:kern w:val="0"/>
          <w:sz w:val="27"/>
          <w:szCs w:val="27"/>
          <w:lang w:val="en-US" w:eastAsia="zh-CN"/>
        </w:rPr>
        <w:t>132.08万元</w:t>
      </w:r>
      <w:r>
        <w:rPr>
          <w:rFonts w:ascii="仿宋_GB2312" w:hAnsi="仿宋_GB2312" w:eastAsia="仿宋_GB2312" w:cs="仿宋_GB2312"/>
          <w:kern w:val="0"/>
          <w:sz w:val="27"/>
          <w:szCs w:val="27"/>
        </w:rPr>
        <w:t>、印刷费</w:t>
      </w:r>
      <w:r>
        <w:rPr>
          <w:rFonts w:hint="eastAsia" w:ascii="仿宋_GB2312" w:hAnsi="仿宋_GB2312" w:eastAsia="仿宋_GB2312" w:cs="仿宋_GB2312"/>
          <w:kern w:val="0"/>
          <w:sz w:val="27"/>
          <w:szCs w:val="27"/>
          <w:lang w:val="en-US" w:eastAsia="zh-CN"/>
        </w:rPr>
        <w:t>15.29万元</w:t>
      </w:r>
      <w:r>
        <w:rPr>
          <w:rFonts w:ascii="仿宋_GB2312" w:hAnsi="仿宋_GB2312" w:eastAsia="仿宋_GB2312" w:cs="仿宋_GB2312"/>
          <w:kern w:val="0"/>
          <w:sz w:val="27"/>
          <w:szCs w:val="27"/>
        </w:rPr>
        <w:t>、咨询费、手续费</w:t>
      </w:r>
      <w:r>
        <w:rPr>
          <w:rFonts w:hint="eastAsia" w:ascii="仿宋_GB2312" w:hAnsi="仿宋_GB2312" w:eastAsia="仿宋_GB2312" w:cs="仿宋_GB2312"/>
          <w:kern w:val="0"/>
          <w:sz w:val="27"/>
          <w:szCs w:val="27"/>
          <w:lang w:val="en-US" w:eastAsia="zh-CN"/>
        </w:rPr>
        <w:t>0.01万元</w:t>
      </w:r>
      <w:r>
        <w:rPr>
          <w:rFonts w:ascii="仿宋_GB2312" w:hAnsi="仿宋_GB2312" w:eastAsia="仿宋_GB2312" w:cs="仿宋_GB2312"/>
          <w:kern w:val="0"/>
          <w:sz w:val="27"/>
          <w:szCs w:val="27"/>
        </w:rPr>
        <w:t>、水费</w:t>
      </w:r>
      <w:r>
        <w:rPr>
          <w:rFonts w:hint="eastAsia" w:ascii="仿宋_GB2312" w:hAnsi="仿宋_GB2312" w:eastAsia="仿宋_GB2312" w:cs="仿宋_GB2312"/>
          <w:kern w:val="0"/>
          <w:sz w:val="27"/>
          <w:szCs w:val="27"/>
          <w:lang w:val="en-US" w:eastAsia="zh-CN"/>
        </w:rPr>
        <w:t>3.22万元</w:t>
      </w:r>
      <w:r>
        <w:rPr>
          <w:rFonts w:ascii="仿宋_GB2312" w:hAnsi="仿宋_GB2312" w:eastAsia="仿宋_GB2312" w:cs="仿宋_GB2312"/>
          <w:kern w:val="0"/>
          <w:sz w:val="27"/>
          <w:szCs w:val="27"/>
        </w:rPr>
        <w:t>、电费</w:t>
      </w:r>
      <w:r>
        <w:rPr>
          <w:rFonts w:hint="eastAsia" w:ascii="仿宋_GB2312" w:hAnsi="仿宋_GB2312" w:eastAsia="仿宋_GB2312" w:cs="仿宋_GB2312"/>
          <w:kern w:val="0"/>
          <w:sz w:val="27"/>
          <w:szCs w:val="27"/>
          <w:lang w:val="en-US" w:eastAsia="zh-CN"/>
        </w:rPr>
        <w:t>76.43万元</w:t>
      </w:r>
      <w:r>
        <w:rPr>
          <w:rFonts w:ascii="仿宋_GB2312" w:hAnsi="仿宋_GB2312" w:eastAsia="仿宋_GB2312" w:cs="仿宋_GB2312"/>
          <w:kern w:val="0"/>
          <w:sz w:val="27"/>
          <w:szCs w:val="27"/>
        </w:rPr>
        <w:t>、邮电费</w:t>
      </w:r>
      <w:r>
        <w:rPr>
          <w:rFonts w:hint="eastAsia" w:ascii="仿宋_GB2312" w:hAnsi="仿宋_GB2312" w:eastAsia="仿宋_GB2312" w:cs="仿宋_GB2312"/>
          <w:kern w:val="0"/>
          <w:sz w:val="27"/>
          <w:szCs w:val="27"/>
          <w:lang w:val="en-US" w:eastAsia="zh-CN"/>
        </w:rPr>
        <w:t>39.49万元</w:t>
      </w:r>
      <w:r>
        <w:rPr>
          <w:rFonts w:ascii="仿宋_GB2312" w:hAnsi="仿宋_GB2312" w:eastAsia="仿宋_GB2312" w:cs="仿宋_GB2312"/>
          <w:kern w:val="0"/>
          <w:sz w:val="27"/>
          <w:szCs w:val="27"/>
        </w:rPr>
        <w:t>、取暖费</w:t>
      </w:r>
      <w:r>
        <w:rPr>
          <w:rFonts w:hint="eastAsia" w:ascii="仿宋_GB2312" w:hAnsi="仿宋_GB2312" w:eastAsia="仿宋_GB2312" w:cs="仿宋_GB2312"/>
          <w:kern w:val="0"/>
          <w:sz w:val="27"/>
          <w:szCs w:val="27"/>
          <w:lang w:val="en-US" w:eastAsia="zh-CN"/>
        </w:rPr>
        <w:t>64.54万元</w:t>
      </w:r>
      <w:r>
        <w:rPr>
          <w:rFonts w:ascii="仿宋_GB2312" w:hAnsi="仿宋_GB2312" w:eastAsia="仿宋_GB2312" w:cs="仿宋_GB2312"/>
          <w:kern w:val="0"/>
          <w:sz w:val="27"/>
          <w:szCs w:val="27"/>
        </w:rPr>
        <w:t>、物业管理费</w:t>
      </w:r>
      <w:r>
        <w:rPr>
          <w:rFonts w:hint="eastAsia" w:ascii="仿宋_GB2312" w:hAnsi="仿宋_GB2312" w:eastAsia="仿宋_GB2312" w:cs="仿宋_GB2312"/>
          <w:kern w:val="0"/>
          <w:sz w:val="27"/>
          <w:szCs w:val="27"/>
          <w:lang w:val="en-US" w:eastAsia="zh-CN"/>
        </w:rPr>
        <w:t>87.70万元</w:t>
      </w:r>
      <w:r>
        <w:rPr>
          <w:rFonts w:ascii="仿宋_GB2312" w:hAnsi="仿宋_GB2312" w:eastAsia="仿宋_GB2312" w:cs="仿宋_GB2312"/>
          <w:kern w:val="0"/>
          <w:sz w:val="27"/>
          <w:szCs w:val="27"/>
        </w:rPr>
        <w:t>、差旅费</w:t>
      </w:r>
      <w:r>
        <w:rPr>
          <w:rFonts w:hint="eastAsia" w:ascii="仿宋_GB2312" w:hAnsi="仿宋_GB2312" w:eastAsia="仿宋_GB2312" w:cs="仿宋_GB2312"/>
          <w:kern w:val="0"/>
          <w:sz w:val="27"/>
          <w:szCs w:val="27"/>
          <w:lang w:val="en-US" w:eastAsia="zh-CN"/>
        </w:rPr>
        <w:t>168.75万元</w:t>
      </w:r>
      <w:r>
        <w:rPr>
          <w:rFonts w:ascii="仿宋_GB2312" w:hAnsi="仿宋_GB2312" w:eastAsia="仿宋_GB2312" w:cs="仿宋_GB2312"/>
          <w:kern w:val="0"/>
          <w:sz w:val="27"/>
          <w:szCs w:val="27"/>
        </w:rPr>
        <w:t>、维修（护）费</w:t>
      </w:r>
      <w:r>
        <w:rPr>
          <w:rFonts w:hint="eastAsia" w:ascii="仿宋_GB2312" w:hAnsi="仿宋_GB2312" w:eastAsia="仿宋_GB2312" w:cs="仿宋_GB2312"/>
          <w:kern w:val="0"/>
          <w:sz w:val="27"/>
          <w:szCs w:val="27"/>
          <w:lang w:val="en-US" w:eastAsia="zh-CN"/>
        </w:rPr>
        <w:t>19.71万元</w:t>
      </w:r>
      <w:r>
        <w:rPr>
          <w:rFonts w:ascii="仿宋_GB2312" w:hAnsi="仿宋_GB2312" w:eastAsia="仿宋_GB2312" w:cs="仿宋_GB2312"/>
          <w:kern w:val="0"/>
          <w:sz w:val="27"/>
          <w:szCs w:val="27"/>
        </w:rPr>
        <w:t>、租赁费</w:t>
      </w:r>
      <w:r>
        <w:rPr>
          <w:rFonts w:hint="eastAsia" w:ascii="仿宋_GB2312" w:hAnsi="仿宋_GB2312" w:eastAsia="仿宋_GB2312" w:cs="仿宋_GB2312"/>
          <w:kern w:val="0"/>
          <w:sz w:val="27"/>
          <w:szCs w:val="27"/>
          <w:lang w:val="en-US" w:eastAsia="zh-CN"/>
        </w:rPr>
        <w:t>404.30万元</w:t>
      </w:r>
      <w:r>
        <w:rPr>
          <w:rFonts w:ascii="仿宋_GB2312" w:hAnsi="仿宋_GB2312" w:eastAsia="仿宋_GB2312" w:cs="仿宋_GB2312"/>
          <w:kern w:val="0"/>
          <w:sz w:val="27"/>
          <w:szCs w:val="27"/>
        </w:rPr>
        <w:t>、会议费</w:t>
      </w:r>
      <w:r>
        <w:rPr>
          <w:rFonts w:hint="eastAsia" w:ascii="仿宋_GB2312" w:hAnsi="仿宋_GB2312" w:eastAsia="仿宋_GB2312" w:cs="仿宋_GB2312"/>
          <w:kern w:val="0"/>
          <w:sz w:val="27"/>
          <w:szCs w:val="27"/>
          <w:lang w:val="en-US" w:eastAsia="zh-CN"/>
        </w:rPr>
        <w:t>19.93万元</w:t>
      </w:r>
      <w:r>
        <w:rPr>
          <w:rFonts w:ascii="仿宋_GB2312" w:hAnsi="仿宋_GB2312" w:eastAsia="仿宋_GB2312" w:cs="仿宋_GB2312"/>
          <w:kern w:val="0"/>
          <w:sz w:val="27"/>
          <w:szCs w:val="27"/>
        </w:rPr>
        <w:t>、培训费</w:t>
      </w:r>
      <w:r>
        <w:rPr>
          <w:rFonts w:hint="eastAsia" w:ascii="仿宋_GB2312" w:hAnsi="仿宋_GB2312" w:eastAsia="仿宋_GB2312" w:cs="仿宋_GB2312"/>
          <w:kern w:val="0"/>
          <w:sz w:val="27"/>
          <w:szCs w:val="27"/>
          <w:lang w:val="en-US" w:eastAsia="zh-CN"/>
        </w:rPr>
        <w:t>14.62万元</w:t>
      </w:r>
      <w:r>
        <w:rPr>
          <w:rFonts w:ascii="仿宋_GB2312" w:hAnsi="仿宋_GB2312" w:eastAsia="仿宋_GB2312" w:cs="仿宋_GB2312"/>
          <w:kern w:val="0"/>
          <w:sz w:val="27"/>
          <w:szCs w:val="27"/>
        </w:rPr>
        <w:t>、公务接待费</w:t>
      </w:r>
      <w:r>
        <w:rPr>
          <w:rFonts w:hint="eastAsia" w:ascii="仿宋_GB2312" w:hAnsi="仿宋_GB2312" w:eastAsia="仿宋_GB2312" w:cs="仿宋_GB2312"/>
          <w:kern w:val="0"/>
          <w:sz w:val="27"/>
          <w:szCs w:val="27"/>
          <w:lang w:val="en-US" w:eastAsia="zh-CN"/>
        </w:rPr>
        <w:t>4.72万元</w:t>
      </w:r>
      <w:r>
        <w:rPr>
          <w:rFonts w:ascii="仿宋_GB2312" w:hAnsi="仿宋_GB2312" w:eastAsia="仿宋_GB2312" w:cs="仿宋_GB2312"/>
          <w:kern w:val="0"/>
          <w:sz w:val="27"/>
          <w:szCs w:val="27"/>
        </w:rPr>
        <w:t>、劳务费</w:t>
      </w:r>
      <w:r>
        <w:rPr>
          <w:rFonts w:hint="eastAsia" w:ascii="仿宋_GB2312" w:hAnsi="仿宋_GB2312" w:eastAsia="仿宋_GB2312" w:cs="仿宋_GB2312"/>
          <w:kern w:val="0"/>
          <w:sz w:val="27"/>
          <w:szCs w:val="27"/>
          <w:lang w:val="en-US" w:eastAsia="zh-CN"/>
        </w:rPr>
        <w:t>15.51万元</w:t>
      </w:r>
      <w:r>
        <w:rPr>
          <w:rFonts w:ascii="仿宋_GB2312" w:hAnsi="仿宋_GB2312" w:eastAsia="仿宋_GB2312" w:cs="仿宋_GB2312"/>
          <w:kern w:val="0"/>
          <w:sz w:val="27"/>
          <w:szCs w:val="27"/>
        </w:rPr>
        <w:t>、委托业务费</w:t>
      </w:r>
      <w:r>
        <w:rPr>
          <w:rFonts w:hint="eastAsia" w:ascii="仿宋_GB2312" w:hAnsi="仿宋_GB2312" w:eastAsia="仿宋_GB2312" w:cs="仿宋_GB2312"/>
          <w:kern w:val="0"/>
          <w:sz w:val="27"/>
          <w:szCs w:val="27"/>
          <w:lang w:val="en-US" w:eastAsia="zh-CN"/>
        </w:rPr>
        <w:t>9.05万元</w:t>
      </w:r>
      <w:r>
        <w:rPr>
          <w:rFonts w:ascii="仿宋_GB2312" w:hAnsi="仿宋_GB2312" w:eastAsia="仿宋_GB2312" w:cs="仿宋_GB2312"/>
          <w:kern w:val="0"/>
          <w:sz w:val="27"/>
          <w:szCs w:val="27"/>
        </w:rPr>
        <w:t>、工会经费、福利费</w:t>
      </w:r>
      <w:r>
        <w:rPr>
          <w:rFonts w:hint="eastAsia" w:ascii="仿宋_GB2312" w:hAnsi="仿宋_GB2312" w:eastAsia="仿宋_GB2312" w:cs="仿宋_GB2312"/>
          <w:kern w:val="0"/>
          <w:sz w:val="27"/>
          <w:szCs w:val="27"/>
          <w:lang w:val="en-US" w:eastAsia="zh-CN"/>
        </w:rPr>
        <w:t>66.56万元</w:t>
      </w:r>
      <w:r>
        <w:rPr>
          <w:rFonts w:ascii="仿宋_GB2312" w:hAnsi="仿宋_GB2312" w:eastAsia="仿宋_GB2312" w:cs="仿宋_GB2312"/>
          <w:kern w:val="0"/>
          <w:sz w:val="27"/>
          <w:szCs w:val="27"/>
        </w:rPr>
        <w:t>、公务用车运行维护费</w:t>
      </w:r>
      <w:r>
        <w:rPr>
          <w:rFonts w:hint="eastAsia" w:ascii="仿宋_GB2312" w:hAnsi="仿宋_GB2312" w:eastAsia="仿宋_GB2312" w:cs="仿宋_GB2312"/>
          <w:kern w:val="0"/>
          <w:sz w:val="27"/>
          <w:szCs w:val="27"/>
          <w:lang w:val="en-US" w:eastAsia="zh-CN"/>
        </w:rPr>
        <w:t>8.89万元</w:t>
      </w:r>
      <w:r>
        <w:rPr>
          <w:rFonts w:ascii="仿宋_GB2312" w:hAnsi="仿宋_GB2312" w:eastAsia="仿宋_GB2312" w:cs="仿宋_GB2312"/>
          <w:kern w:val="0"/>
          <w:sz w:val="27"/>
          <w:szCs w:val="27"/>
        </w:rPr>
        <w:t>、其他交通费用</w:t>
      </w:r>
      <w:r>
        <w:rPr>
          <w:rFonts w:hint="eastAsia" w:ascii="仿宋_GB2312" w:hAnsi="仿宋_GB2312" w:eastAsia="仿宋_GB2312" w:cs="仿宋_GB2312"/>
          <w:kern w:val="0"/>
          <w:sz w:val="27"/>
          <w:szCs w:val="27"/>
          <w:lang w:val="en-US" w:eastAsia="zh-CN"/>
        </w:rPr>
        <w:t>119.64万元</w:t>
      </w:r>
      <w:r>
        <w:rPr>
          <w:rFonts w:ascii="仿宋_GB2312" w:hAnsi="仿宋_GB2312" w:eastAsia="仿宋_GB2312" w:cs="仿宋_GB2312"/>
          <w:kern w:val="0"/>
          <w:sz w:val="27"/>
          <w:szCs w:val="27"/>
        </w:rPr>
        <w:t>、其他商品和服务支出</w:t>
      </w:r>
      <w:r>
        <w:rPr>
          <w:rFonts w:hint="eastAsia" w:ascii="仿宋_GB2312" w:hAnsi="仿宋_GB2312" w:eastAsia="仿宋_GB2312" w:cs="仿宋_GB2312"/>
          <w:kern w:val="0"/>
          <w:sz w:val="27"/>
          <w:szCs w:val="27"/>
          <w:lang w:val="en-US" w:eastAsia="zh-CN"/>
        </w:rPr>
        <w:t>143.86万元。</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七、一般公共预算财政拨款项目支出决算情况说明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赤峰市自然资源局部门2024年度一般公共预算财政拨款项目支出决算</w:t>
      </w:r>
      <w:r>
        <w:rPr>
          <w:rFonts w:eastAsia="Times New Roman"/>
          <w:color w:val="030DFC"/>
          <w:kern w:val="0"/>
          <w:sz w:val="27"/>
          <w:szCs w:val="27"/>
          <w:u w:val="single" w:color="030DFC"/>
        </w:rPr>
        <w:t xml:space="preserve"> </w:t>
      </w:r>
      <w:r>
        <w:rPr>
          <w:rFonts w:ascii="仿宋_GB2312" w:hAnsi="仿宋_GB2312" w:eastAsia="仿宋_GB2312" w:cs="仿宋_GB2312"/>
          <w:kern w:val="0"/>
          <w:sz w:val="27"/>
          <w:szCs w:val="27"/>
        </w:rPr>
        <w:t>15024.82万元，其中：</w:t>
      </w:r>
    </w:p>
    <w:p>
      <w:pPr>
        <w:widowControl/>
        <w:spacing w:before="240" w:after="240"/>
        <w:ind w:firstLine="542" w:firstLineChars="200"/>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（一）工资福利支出</w:t>
      </w:r>
      <w:r>
        <w:rPr>
          <w:rFonts w:hint="eastAsia" w:ascii="仿宋_GB2312" w:hAnsi="仿宋_GB2312" w:eastAsia="仿宋_GB2312" w:cs="仿宋_GB2312"/>
          <w:b/>
          <w:bCs/>
          <w:kern w:val="0"/>
          <w:sz w:val="27"/>
          <w:szCs w:val="27"/>
          <w:lang w:val="en-US" w:eastAsia="zh-CN"/>
        </w:rPr>
        <w:t>0.00</w:t>
      </w:r>
      <w:r>
        <w:rPr>
          <w:rFonts w:ascii="仿宋_GB2312" w:hAnsi="仿宋_GB2312" w:eastAsia="仿宋_GB2312" w:cs="仿宋_GB2312"/>
          <w:b/>
          <w:bCs/>
          <w:kern w:val="0"/>
          <w:sz w:val="27"/>
          <w:szCs w:val="27"/>
        </w:rPr>
        <w:t>万元</w:t>
      </w:r>
      <w:r>
        <w:rPr>
          <w:rFonts w:ascii="仿宋_GB2312" w:hAnsi="仿宋_GB2312" w:eastAsia="仿宋_GB2312" w:cs="仿宋_GB2312"/>
          <w:kern w:val="0"/>
          <w:sz w:val="27"/>
          <w:szCs w:val="27"/>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ind w:firstLine="393"/>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b/>
          <w:bCs/>
          <w:kern w:val="0"/>
          <w:sz w:val="27"/>
          <w:szCs w:val="27"/>
        </w:rPr>
        <w:t>（二）商品和服务支出14924.01万元</w:t>
      </w:r>
      <w:r>
        <w:rPr>
          <w:rFonts w:ascii="仿宋_GB2312" w:hAnsi="仿宋_GB2312" w:eastAsia="仿宋_GB2312" w:cs="仿宋_GB2312"/>
          <w:kern w:val="0"/>
          <w:sz w:val="27"/>
          <w:szCs w:val="27"/>
        </w:rPr>
        <w:t>。主要包括：办公费</w:t>
      </w:r>
      <w:r>
        <w:rPr>
          <w:rFonts w:hint="eastAsia" w:ascii="仿宋_GB2312" w:hAnsi="仿宋_GB2312" w:eastAsia="仿宋_GB2312" w:cs="仿宋_GB2312"/>
          <w:kern w:val="0"/>
          <w:sz w:val="27"/>
          <w:szCs w:val="27"/>
          <w:lang w:val="en-US" w:eastAsia="zh-CN"/>
        </w:rPr>
        <w:t>24.60万元</w:t>
      </w:r>
      <w:r>
        <w:rPr>
          <w:rFonts w:ascii="仿宋_GB2312" w:hAnsi="仿宋_GB2312" w:eastAsia="仿宋_GB2312" w:cs="仿宋_GB2312"/>
          <w:kern w:val="0"/>
          <w:sz w:val="27"/>
          <w:szCs w:val="27"/>
        </w:rPr>
        <w:t>、印刷费</w:t>
      </w:r>
      <w:r>
        <w:rPr>
          <w:rFonts w:hint="eastAsia" w:ascii="仿宋_GB2312" w:hAnsi="仿宋_GB2312" w:eastAsia="仿宋_GB2312" w:cs="仿宋_GB2312"/>
          <w:kern w:val="0"/>
          <w:sz w:val="27"/>
          <w:szCs w:val="27"/>
          <w:lang w:val="en-US" w:eastAsia="zh-CN"/>
        </w:rPr>
        <w:t>3.33万元</w:t>
      </w:r>
      <w:r>
        <w:rPr>
          <w:rFonts w:ascii="仿宋_GB2312" w:hAnsi="仿宋_GB2312" w:eastAsia="仿宋_GB2312" w:cs="仿宋_GB2312"/>
          <w:kern w:val="0"/>
          <w:sz w:val="27"/>
          <w:szCs w:val="27"/>
        </w:rPr>
        <w:t>、咨询费</w:t>
      </w:r>
      <w:r>
        <w:rPr>
          <w:rFonts w:hint="eastAsia" w:ascii="仿宋_GB2312" w:hAnsi="仿宋_GB2312" w:eastAsia="仿宋_GB2312" w:cs="仿宋_GB2312"/>
          <w:kern w:val="0"/>
          <w:sz w:val="27"/>
          <w:szCs w:val="27"/>
          <w:lang w:val="en-US" w:eastAsia="zh-CN"/>
        </w:rPr>
        <w:t>190.70万元</w:t>
      </w:r>
      <w:r>
        <w:rPr>
          <w:rFonts w:ascii="仿宋_GB2312" w:hAnsi="仿宋_GB2312" w:eastAsia="仿宋_GB2312" w:cs="仿宋_GB2312"/>
          <w:kern w:val="0"/>
          <w:sz w:val="27"/>
          <w:szCs w:val="27"/>
        </w:rPr>
        <w:t>、邮电费</w:t>
      </w:r>
      <w:r>
        <w:rPr>
          <w:rFonts w:hint="eastAsia" w:ascii="仿宋_GB2312" w:hAnsi="仿宋_GB2312" w:eastAsia="仿宋_GB2312" w:cs="仿宋_GB2312"/>
          <w:kern w:val="0"/>
          <w:sz w:val="27"/>
          <w:szCs w:val="27"/>
          <w:lang w:val="en-US" w:eastAsia="zh-CN"/>
        </w:rPr>
        <w:t>0.77万元</w:t>
      </w:r>
      <w:r>
        <w:rPr>
          <w:rFonts w:ascii="仿宋_GB2312" w:hAnsi="仿宋_GB2312" w:eastAsia="仿宋_GB2312" w:cs="仿宋_GB2312"/>
          <w:kern w:val="0"/>
          <w:sz w:val="27"/>
          <w:szCs w:val="27"/>
        </w:rPr>
        <w:t>、差旅费</w:t>
      </w:r>
      <w:r>
        <w:rPr>
          <w:rFonts w:hint="eastAsia" w:ascii="仿宋_GB2312" w:hAnsi="仿宋_GB2312" w:eastAsia="仿宋_GB2312" w:cs="仿宋_GB2312"/>
          <w:kern w:val="0"/>
          <w:sz w:val="27"/>
          <w:szCs w:val="27"/>
          <w:lang w:val="en-US" w:eastAsia="zh-CN"/>
        </w:rPr>
        <w:t>39.15万元</w:t>
      </w:r>
      <w:r>
        <w:rPr>
          <w:rFonts w:ascii="仿宋_GB2312" w:hAnsi="仿宋_GB2312" w:eastAsia="仿宋_GB2312" w:cs="仿宋_GB2312"/>
          <w:kern w:val="0"/>
          <w:sz w:val="27"/>
          <w:szCs w:val="27"/>
        </w:rPr>
        <w:t>、因公出国（境）费用、维修（护）费</w:t>
      </w:r>
      <w:r>
        <w:rPr>
          <w:rFonts w:hint="eastAsia" w:ascii="仿宋_GB2312" w:hAnsi="仿宋_GB2312" w:eastAsia="仿宋_GB2312" w:cs="仿宋_GB2312"/>
          <w:kern w:val="0"/>
          <w:sz w:val="27"/>
          <w:szCs w:val="27"/>
          <w:lang w:val="en-US" w:eastAsia="zh-CN"/>
        </w:rPr>
        <w:t>15.94万元</w:t>
      </w:r>
      <w:r>
        <w:rPr>
          <w:rFonts w:ascii="仿宋_GB2312" w:hAnsi="仿宋_GB2312" w:eastAsia="仿宋_GB2312" w:cs="仿宋_GB2312"/>
          <w:kern w:val="0"/>
          <w:sz w:val="27"/>
          <w:szCs w:val="27"/>
        </w:rPr>
        <w:t>、租赁费</w:t>
      </w:r>
      <w:r>
        <w:rPr>
          <w:rFonts w:hint="eastAsia" w:ascii="仿宋_GB2312" w:hAnsi="仿宋_GB2312" w:eastAsia="仿宋_GB2312" w:cs="仿宋_GB2312"/>
          <w:kern w:val="0"/>
          <w:sz w:val="27"/>
          <w:szCs w:val="27"/>
          <w:lang w:val="en-US" w:eastAsia="zh-CN"/>
        </w:rPr>
        <w:t>2.80万元</w:t>
      </w:r>
      <w:r>
        <w:rPr>
          <w:rFonts w:ascii="仿宋_GB2312" w:hAnsi="仿宋_GB2312" w:eastAsia="仿宋_GB2312" w:cs="仿宋_GB2312"/>
          <w:kern w:val="0"/>
          <w:sz w:val="27"/>
          <w:szCs w:val="27"/>
        </w:rPr>
        <w:t>、会议费</w:t>
      </w:r>
      <w:r>
        <w:rPr>
          <w:rFonts w:hint="eastAsia" w:ascii="仿宋_GB2312" w:hAnsi="仿宋_GB2312" w:eastAsia="仿宋_GB2312" w:cs="仿宋_GB2312"/>
          <w:kern w:val="0"/>
          <w:sz w:val="27"/>
          <w:szCs w:val="27"/>
          <w:lang w:val="en-US" w:eastAsia="zh-CN"/>
        </w:rPr>
        <w:t>127.61万元</w:t>
      </w:r>
      <w:r>
        <w:rPr>
          <w:rFonts w:ascii="仿宋_GB2312" w:hAnsi="仿宋_GB2312" w:eastAsia="仿宋_GB2312" w:cs="仿宋_GB2312"/>
          <w:kern w:val="0"/>
          <w:sz w:val="27"/>
          <w:szCs w:val="27"/>
        </w:rPr>
        <w:t>、培训费</w:t>
      </w:r>
      <w:r>
        <w:rPr>
          <w:rFonts w:hint="eastAsia" w:ascii="仿宋_GB2312" w:hAnsi="仿宋_GB2312" w:eastAsia="仿宋_GB2312" w:cs="仿宋_GB2312"/>
          <w:kern w:val="0"/>
          <w:sz w:val="27"/>
          <w:szCs w:val="27"/>
          <w:lang w:val="en-US" w:eastAsia="zh-CN"/>
        </w:rPr>
        <w:t>1.91万元</w:t>
      </w:r>
      <w:r>
        <w:rPr>
          <w:rFonts w:ascii="仿宋_GB2312" w:hAnsi="仿宋_GB2312" w:eastAsia="仿宋_GB2312" w:cs="仿宋_GB2312"/>
          <w:kern w:val="0"/>
          <w:sz w:val="27"/>
          <w:szCs w:val="27"/>
        </w:rPr>
        <w:t>、劳务费</w:t>
      </w:r>
      <w:r>
        <w:rPr>
          <w:rFonts w:hint="eastAsia" w:ascii="仿宋_GB2312" w:hAnsi="仿宋_GB2312" w:eastAsia="仿宋_GB2312" w:cs="仿宋_GB2312"/>
          <w:kern w:val="0"/>
          <w:sz w:val="27"/>
          <w:szCs w:val="27"/>
          <w:lang w:val="en-US" w:eastAsia="zh-CN"/>
        </w:rPr>
        <w:t>37.10万元</w:t>
      </w:r>
      <w:r>
        <w:rPr>
          <w:rFonts w:ascii="仿宋_GB2312" w:hAnsi="仿宋_GB2312" w:eastAsia="仿宋_GB2312" w:cs="仿宋_GB2312"/>
          <w:kern w:val="0"/>
          <w:sz w:val="27"/>
          <w:szCs w:val="27"/>
        </w:rPr>
        <w:t>、委托业务费</w:t>
      </w:r>
      <w:r>
        <w:rPr>
          <w:rFonts w:hint="eastAsia" w:ascii="仿宋_GB2312" w:hAnsi="仿宋_GB2312" w:eastAsia="仿宋_GB2312" w:cs="仿宋_GB2312"/>
          <w:kern w:val="0"/>
          <w:sz w:val="27"/>
          <w:szCs w:val="27"/>
          <w:lang w:val="en-US" w:eastAsia="zh-CN"/>
        </w:rPr>
        <w:t>14163.47万元。</w:t>
      </w:r>
    </w:p>
    <w:p>
      <w:pPr>
        <w:widowControl/>
        <w:spacing w:before="240" w:after="240"/>
        <w:ind w:firstLine="393"/>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（三）资本性支出 88.82万元。</w:t>
      </w:r>
      <w:r>
        <w:rPr>
          <w:rFonts w:ascii="仿宋_GB2312" w:hAnsi="仿宋_GB2312" w:eastAsia="仿宋_GB2312" w:cs="仿宋_GB2312"/>
          <w:kern w:val="0"/>
          <w:sz w:val="27"/>
          <w:szCs w:val="27"/>
        </w:rPr>
        <w:t>主要包括</w:t>
      </w:r>
      <w:r>
        <w:rPr>
          <w:rFonts w:ascii="仿宋_GB2312" w:hAnsi="仿宋_GB2312" w:eastAsia="仿宋_GB2312" w:cs="仿宋_GB2312"/>
          <w:color w:val="000000"/>
          <w:kern w:val="0"/>
          <w:sz w:val="27"/>
          <w:szCs w:val="27"/>
        </w:rPr>
        <w:t>：房屋建筑物构建、办公设备购置、专用设备购置、基础设施建设</w:t>
      </w:r>
      <w:r>
        <w:rPr>
          <w:rFonts w:hint="eastAsia" w:ascii="仿宋_GB2312" w:hAnsi="仿宋_GB2312" w:eastAsia="仿宋_GB2312" w:cs="仿宋_GB2312"/>
          <w:color w:val="000000"/>
          <w:kern w:val="0"/>
          <w:sz w:val="27"/>
          <w:szCs w:val="27"/>
          <w:lang w:val="en-US" w:eastAsia="zh-CN"/>
        </w:rPr>
        <w:t>88.82万元</w:t>
      </w:r>
      <w:r>
        <w:rPr>
          <w:rFonts w:ascii="仿宋_GB2312" w:hAnsi="仿宋_GB2312" w:eastAsia="仿宋_GB2312" w:cs="仿宋_GB2312"/>
          <w:color w:val="000000"/>
          <w:kern w:val="0"/>
          <w:sz w:val="27"/>
          <w:szCs w:val="27"/>
        </w:rPr>
        <w:t>、大型修缮、信息网络及软件购置更新、物资储备、土地补偿、安置补助、地上附着物和青苗补偿、拆迁补偿、公务用车购置、其他交通工具购置、文物和陈列品购置、无形资产购置、其他资本性支出等。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八、财政拨款“三公”经费支出决算情况说明</w:t>
      </w:r>
    </w:p>
    <w:p>
      <w:pPr>
        <w:widowControl/>
        <w:spacing w:before="240" w:after="240"/>
        <w:ind w:firstLine="542" w:firstLineChars="200"/>
        <w:rPr>
          <w:rFonts w:ascii="kai_ti_gb2312" w:hAnsi="kai_ti_gb2312" w:eastAsia="kai_ti_gb2312" w:cs="kai_ti_gb2312"/>
          <w:b/>
          <w:bCs/>
          <w:kern w:val="0"/>
          <w:sz w:val="27"/>
          <w:szCs w:val="27"/>
        </w:rPr>
      </w:pPr>
      <w:r>
        <w:rPr>
          <w:rFonts w:ascii="kai_ti_gb2312" w:hAnsi="kai_ti_gb2312" w:eastAsia="kai_ti_gb2312" w:cs="kai_ti_gb2312"/>
          <w:b/>
          <w:bCs/>
          <w:kern w:val="0"/>
          <w:sz w:val="27"/>
          <w:szCs w:val="27"/>
        </w:rPr>
        <w:t>（一）财政拨款“三公”经费支出总体情况说明。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赤峰市自然资源局部门2024年度财政拨款“三公”经费全年预算16.00万元，支出决算13.61万元，完成预算的85.05%。其中：因公出国（境）费全年预算</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公务用车购置及运行维护费全年预算10.00万元，支出决算8.89万元，完成预算的88.92%；公务接待费全年预算6.00万元，支出决算4.72万元，完成预算的78.59%。2024年度一般公共预算财政拨款“三公”经费全年预算16.00万元，支出决算13.61万元，与预算差异原因</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严格遵守中共中央、国务院新修订的《党政机关厉行节约反对浪费条例》，推动过紧日子落地见效</w:t>
      </w:r>
      <w:r>
        <w:rPr>
          <w:rFonts w:ascii="仿宋_GB2312" w:hAnsi="仿宋_GB2312" w:eastAsia="仿宋_GB2312" w:cs="仿宋_GB2312"/>
          <w:kern w:val="0"/>
          <w:sz w:val="27"/>
          <w:szCs w:val="27"/>
        </w:rPr>
        <w:t>。</w:t>
      </w:r>
    </w:p>
    <w:p>
      <w:pPr>
        <w:widowControl/>
        <w:spacing w:before="240" w:after="240"/>
        <w:ind w:firstLine="542"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（二）财政拨款“三公”经费支出具体情况说明。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赤峰市自然资源局部门2024年度财政拨款“三公”经费支出13.61万元。因公出国（境）费支出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%；公务用车购置及运行维护费支出8.89万元，占65.35%；公务接待费支出4.72万元，占34.65%。其中：</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1.因公出国（境）费支出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万元，全年出国（境）团组0个，累计0人次。与上年决算相比，增加（减少）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2.公务用车购置及运行维护费支出8.89万元。其中：</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（1）公务用车购置支出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万元。本年度使用财政拨款购置公务用车0辆，开支内容：</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w:t>
      </w:r>
    </w:p>
    <w:p>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2）公务用车运行维护费支出8.89万元。公务用车运行维护费主要用于按规定保留的公务用车的燃料费、维修费、过桥过路费、保险费、安全奖励费用等支出。截至2024年12月31日，使用财政拨款开支的公务用车保有量为2辆。与上年决算相比，减少3.67万元，下降29.19%，变动原因：</w:t>
      </w:r>
      <w:r>
        <w:rPr>
          <w:rFonts w:hint="eastAsia" w:ascii="仿宋_GB2312" w:hAnsi="仿宋_GB2312" w:eastAsia="仿宋_GB2312" w:cs="仿宋_GB2312"/>
          <w:kern w:val="0"/>
          <w:sz w:val="27"/>
          <w:szCs w:val="27"/>
          <w:lang w:val="en-US" w:eastAsia="zh-CN"/>
        </w:rPr>
        <w:t>严格遵守中共中央、国务院新修订的《党政机关厉行节约反对浪费条例》，推动过紧日子落地见效</w:t>
      </w:r>
      <w:r>
        <w:rPr>
          <w:rFonts w:ascii="仿宋_GB2312" w:hAnsi="仿宋_GB2312" w:eastAsia="仿宋_GB2312" w:cs="仿宋_GB2312"/>
          <w:kern w:val="0"/>
          <w:sz w:val="27"/>
          <w:szCs w:val="27"/>
        </w:rPr>
        <w:t>。</w:t>
      </w:r>
    </w:p>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3.公务接待费支出4.72万元。其中：国内公务接待支出4.72万元，接待40批次，240人次，开支内容：</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；国（境）外公务接待支出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万元，接待0批次，0人次，开支内容：</w:t>
      </w:r>
      <w:r>
        <w:rPr>
          <w:rFonts w:hint="eastAsia" w:ascii="仿宋_GB2312" w:hAnsi="仿宋_GB2312" w:eastAsia="仿宋_GB2312" w:cs="仿宋_GB2312"/>
          <w:kern w:val="0"/>
          <w:sz w:val="27"/>
          <w:szCs w:val="27"/>
          <w:lang w:val="en-US" w:eastAsia="zh-CN"/>
        </w:rPr>
        <w:t>不存在此项内容</w:t>
      </w:r>
      <w:r>
        <w:rPr>
          <w:rFonts w:ascii="仿宋_GB2312" w:hAnsi="仿宋_GB2312" w:eastAsia="仿宋_GB2312" w:cs="仿宋_GB2312"/>
          <w:kern w:val="0"/>
          <w:sz w:val="27"/>
          <w:szCs w:val="27"/>
        </w:rPr>
        <w:t>。与上年决算相比，减少1.26万元，下降21.13%，变动原因：</w:t>
      </w:r>
      <w:r>
        <w:rPr>
          <w:rFonts w:hint="eastAsia" w:ascii="仿宋_GB2312" w:hAnsi="仿宋_GB2312" w:eastAsia="仿宋_GB2312" w:cs="仿宋_GB2312"/>
          <w:kern w:val="0"/>
          <w:sz w:val="27"/>
          <w:szCs w:val="27"/>
          <w:lang w:val="en-US" w:eastAsia="zh-CN"/>
        </w:rPr>
        <w:t>严格遵守中共</w:t>
      </w:r>
      <w:bookmarkStart w:id="1" w:name="_GoBack"/>
      <w:bookmarkEnd w:id="1"/>
      <w:r>
        <w:rPr>
          <w:rFonts w:hint="eastAsia" w:ascii="仿宋_GB2312" w:hAnsi="仿宋_GB2312" w:eastAsia="仿宋_GB2312" w:cs="仿宋_GB2312"/>
          <w:kern w:val="0"/>
          <w:sz w:val="27"/>
          <w:szCs w:val="27"/>
          <w:lang w:val="en-US" w:eastAsia="zh-CN"/>
        </w:rPr>
        <w:t>中央、国务院新修订的《党政机关厉行节约反对浪费条例》，推动过紧日子落地见效</w:t>
      </w:r>
      <w:r>
        <w:rPr>
          <w:rFonts w:ascii="仿宋_GB2312" w:hAnsi="仿宋_GB2312" w:eastAsia="仿宋_GB2312" w:cs="仿宋_GB2312"/>
          <w:kern w:val="0"/>
          <w:sz w:val="27"/>
          <w:szCs w:val="27"/>
        </w:rPr>
        <w:t>。</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九、政府性基金预算财政拨款支出决算情况说明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赤峰市自然资源局部门2024年度政府性基金预算财政拨款支出决算</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%，变动原因：本年无政府性基金预算财政拨款收、支、余。</w:t>
      </w:r>
    </w:p>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十、国有资本经营预算财政拨款支出决算情况说明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赤峰市自然资源局部门2024年度国有资本经营预算财政拨款支出决算</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万元。与上年决算相比，增加（减少）</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万元，增长（下降）</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%，变动原因：本年无国有资本经营预算财政拨款收、支、余。</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十一、机关运行经费（公用经费）支出决算情况说明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赤峰市自然资源局部门2024年度公用经费支出决算1432.99万元，与上年决算相比，减少237.21万元，下</w:t>
      </w:r>
      <w:r>
        <w:rPr>
          <w:rFonts w:hint="eastAsia" w:ascii="仿宋_GB2312" w:hAnsi="仿宋_GB2312" w:eastAsia="仿宋_GB2312" w:cs="仿宋_GB2312"/>
          <w:kern w:val="0"/>
          <w:sz w:val="27"/>
          <w:szCs w:val="27"/>
          <w:lang w:val="en-US" w:eastAsia="zh-CN"/>
        </w:rPr>
        <w:t>降</w:t>
      </w:r>
      <w:r>
        <w:rPr>
          <w:rFonts w:ascii="仿宋_GB2312" w:hAnsi="仿宋_GB2312" w:eastAsia="仿宋_GB2312" w:cs="仿宋_GB2312"/>
          <w:kern w:val="0"/>
          <w:sz w:val="27"/>
          <w:szCs w:val="27"/>
        </w:rPr>
        <w:t>19.84%，变动原因：</w:t>
      </w:r>
      <w:r>
        <w:rPr>
          <w:rFonts w:hint="eastAsia" w:ascii="仿宋_GB2312" w:hAnsi="仿宋_GB2312" w:eastAsia="仿宋_GB2312" w:cs="仿宋_GB2312"/>
          <w:kern w:val="0"/>
          <w:sz w:val="27"/>
          <w:szCs w:val="27"/>
          <w:lang w:val="en-US" w:eastAsia="zh-CN"/>
        </w:rPr>
        <w:t>严格遵守中共中央、国务院新修订的《党政机关厉行节约反对浪费条例》，推动过紧日子落地见效</w:t>
      </w:r>
      <w:r>
        <w:rPr>
          <w:rFonts w:ascii="仿宋_GB2312" w:hAnsi="仿宋_GB2312" w:eastAsia="仿宋_GB2312" w:cs="仿宋_GB2312"/>
          <w:kern w:val="0"/>
          <w:sz w:val="27"/>
          <w:szCs w:val="27"/>
        </w:rPr>
        <w:t>。其中，机关运行经费支出决算1432.99万元。比上年决算相比，减少237.21万元，下降19.84%，变动原因：</w:t>
      </w:r>
      <w:r>
        <w:rPr>
          <w:rFonts w:hint="eastAsia" w:ascii="仿宋_GB2312" w:hAnsi="仿宋_GB2312" w:eastAsia="仿宋_GB2312" w:cs="仿宋_GB2312"/>
          <w:kern w:val="0"/>
          <w:sz w:val="27"/>
          <w:szCs w:val="27"/>
          <w:lang w:val="en-US" w:eastAsia="zh-CN"/>
        </w:rPr>
        <w:t>严格遵守中共中央、国务院新修订的《党政机关厉行节约反对浪费条例》，推动过紧日子落地见效</w:t>
      </w:r>
      <w:r>
        <w:rPr>
          <w:rFonts w:ascii="仿宋_GB2312" w:hAnsi="仿宋_GB2312" w:eastAsia="仿宋_GB2312" w:cs="仿宋_GB2312"/>
          <w:kern w:val="0"/>
          <w:sz w:val="27"/>
          <w:szCs w:val="27"/>
        </w:rPr>
        <w:t>。</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十二、政府采购支出决算情况说明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赤峰市自然资源局部门2024年度政府采购支出总额28807.20万元，其中：政府采购货物支出200.80万元、政府采购工程支出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万元、政府采购服务支出28606.40万元。政府采购授予中小企业合同金额</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万元，占政府采购支出总额</w:t>
      </w:r>
      <w:r>
        <w:rPr>
          <w:rFonts w:hint="eastAsia" w:ascii="仿宋_GB2312" w:hAnsi="仿宋_GB2312" w:eastAsia="仿宋_GB2312" w:cs="仿宋_GB2312"/>
          <w:kern w:val="0"/>
          <w:sz w:val="27"/>
          <w:szCs w:val="27"/>
          <w:lang w:val="en-US" w:eastAsia="zh-CN"/>
        </w:rPr>
        <w:t>的0.00</w:t>
      </w:r>
      <w:r>
        <w:rPr>
          <w:rFonts w:ascii="仿宋_GB2312" w:hAnsi="仿宋_GB2312" w:eastAsia="仿宋_GB2312" w:cs="仿宋_GB2312"/>
          <w:kern w:val="0"/>
          <w:sz w:val="27"/>
          <w:szCs w:val="27"/>
        </w:rPr>
        <w:t>%，其中：授予小微企业合同金额</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万元，占政府采购支出总额的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%；货物采购授予中小企业合同金额占货物支出金额的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%，工程采购授予中小企业合同金额占工程支出金额的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%，服务采购授予中小企业合同金额占服务支出金额的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十三、国有资产占用情况说明</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赤峰市自然资源局部门截至2024年12月31日，本部门（单位）共有车辆28辆，其中：副部（省）级及以上领导用车0辆、主要负责人用车0辆、机要通信用车0辆、应急保障用车0辆、执法执勤用车16辆、特种专业技术用车0辆、离退休干部服务用车0辆，其他用车12辆；单价100万元（含）以上的设备（不含车辆）5台（套）。</w:t>
      </w:r>
    </w:p>
    <w:p>
      <w:pPr>
        <w:widowControl/>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十四、预算绩效情况说明</w:t>
      </w:r>
    </w:p>
    <w:p>
      <w:pPr>
        <w:widowControl/>
        <w:spacing w:before="240" w:after="240"/>
        <w:ind w:firstLine="542"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（一）预算绩效管理工作开展情况。</w:t>
      </w:r>
    </w:p>
    <w:p>
      <w:pPr>
        <w:widowControl/>
        <w:spacing w:before="240" w:after="240"/>
        <w:ind w:firstLine="410"/>
        <w:rPr>
          <w:rFonts w:hint="eastAsia" w:ascii="仿宋_GB2312" w:hAnsi="仿宋_GB2312" w:eastAsia="仿宋_GB2312" w:cs="仿宋_GB2312"/>
          <w:kern w:val="0"/>
          <w:sz w:val="27"/>
          <w:szCs w:val="27"/>
          <w:lang w:eastAsia="zh-CN"/>
        </w:rPr>
      </w:pPr>
      <w:r>
        <w:rPr>
          <w:rFonts w:ascii="仿宋_GB2312" w:hAnsi="仿宋_GB2312" w:eastAsia="仿宋_GB2312" w:cs="仿宋_GB2312"/>
          <w:kern w:val="0"/>
          <w:sz w:val="27"/>
          <w:szCs w:val="27"/>
        </w:rPr>
        <w:t>赤峰市自然资源局部门 根据预算绩效管理要求组织对2024年一般公共预算项目支出全面开展绩效自评，其中一级项</w:t>
      </w:r>
      <w:r>
        <w:rPr>
          <w:rFonts w:hint="eastAsia" w:ascii="仿宋_GB2312" w:hAnsi="仿宋_GB2312" w:eastAsia="仿宋_GB2312" w:cs="仿宋_GB2312"/>
          <w:kern w:val="0"/>
          <w:sz w:val="27"/>
          <w:szCs w:val="27"/>
          <w:lang w:val="en-US" w:eastAsia="zh-CN"/>
        </w:rPr>
        <w:t>目108</w:t>
      </w:r>
      <w:r>
        <w:rPr>
          <w:rFonts w:ascii="仿宋_GB2312" w:hAnsi="仿宋_GB2312" w:eastAsia="仿宋_GB2312" w:cs="仿宋_GB2312"/>
          <w:kern w:val="0"/>
          <w:sz w:val="27"/>
          <w:szCs w:val="27"/>
        </w:rPr>
        <w:t>个，二级项目</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个，共涉及资金</w:t>
      </w:r>
      <w:r>
        <w:rPr>
          <w:rFonts w:hint="eastAsia" w:ascii="仿宋_GB2312" w:hAnsi="仿宋_GB2312" w:eastAsia="仿宋_GB2312" w:cs="仿宋_GB2312"/>
          <w:kern w:val="0"/>
          <w:sz w:val="27"/>
          <w:szCs w:val="27"/>
          <w:lang w:val="en-US" w:eastAsia="zh-CN"/>
        </w:rPr>
        <w:t>26221.42</w:t>
      </w:r>
      <w:r>
        <w:rPr>
          <w:rFonts w:ascii="仿宋_GB2312" w:hAnsi="仿宋_GB2312" w:eastAsia="仿宋_GB2312" w:cs="仿宋_GB2312"/>
          <w:kern w:val="0"/>
          <w:sz w:val="27"/>
          <w:szCs w:val="27"/>
        </w:rPr>
        <w:t>万元，占一般公共预算项目支出总额的100%；政府性基金预算项目</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个，其中，一级项目</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个，二级项目</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个，共涉及资金</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万元，占应纳入绩效自评的政府性基金预算项目支出总额的100%</w:t>
      </w:r>
      <w:r>
        <w:rPr>
          <w:rFonts w:hint="eastAsia" w:ascii="仿宋_GB2312" w:hAnsi="仿宋_GB2312" w:eastAsia="仿宋_GB2312" w:cs="仿宋_GB2312"/>
          <w:kern w:val="0"/>
          <w:sz w:val="27"/>
          <w:szCs w:val="27"/>
          <w:lang w:eastAsia="zh-CN"/>
        </w:rPr>
        <w:t>。</w:t>
      </w:r>
    </w:p>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组织对“</w:t>
      </w:r>
      <w:r>
        <w:rPr>
          <w:rFonts w:hint="eastAsia" w:ascii="仿宋_GB2312" w:hAnsi="仿宋_GB2312" w:eastAsia="仿宋_GB2312" w:cs="仿宋_GB2312"/>
          <w:kern w:val="0"/>
          <w:sz w:val="27"/>
          <w:szCs w:val="27"/>
          <w:lang w:val="en-US" w:eastAsia="zh-CN"/>
        </w:rPr>
        <w:t>insar卫星露天矿山资金</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赤峰市自然资源局网络和密码应用安全测评项目（含模块更新）</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元宝山红庙子矿区采空区及周边勘查评价</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、“档案数字化服务及存量历史房产登记数据整合挂接</w:t>
      </w:r>
      <w:r>
        <w:rPr>
          <w:rFonts w:hint="default" w:ascii="仿宋_GB2312" w:hAnsi="仿宋_GB2312" w:eastAsia="仿宋_GB2312" w:cs="仿宋_GB2312"/>
          <w:kern w:val="0"/>
          <w:sz w:val="27"/>
          <w:szCs w:val="27"/>
          <w:lang w:val="en-US" w:eastAsia="zh-CN"/>
        </w:rPr>
        <w:t>”</w:t>
      </w:r>
      <w:r>
        <w:rPr>
          <w:rFonts w:hint="eastAsia" w:ascii="仿宋_GB2312" w:hAnsi="仿宋_GB2312" w:eastAsia="仿宋_GB2312" w:cs="仿宋_GB2312"/>
          <w:kern w:val="0"/>
          <w:sz w:val="27"/>
          <w:szCs w:val="27"/>
          <w:lang w:val="en-US" w:eastAsia="zh-CN"/>
        </w:rPr>
        <w:t>、</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内蒙古自治区赤峰市地面沉降检测项目</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等108</w:t>
      </w:r>
      <w:r>
        <w:rPr>
          <w:rFonts w:ascii="仿宋_GB2312" w:hAnsi="仿宋_GB2312" w:eastAsia="仿宋_GB2312" w:cs="仿宋_GB2312"/>
          <w:kern w:val="0"/>
          <w:sz w:val="27"/>
          <w:szCs w:val="27"/>
        </w:rPr>
        <w:t>个项目开展了单位评价</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对预算执行情况、年度绩效目标完成情况、问题与改进措施、项目资金产出及管理情况做了评价</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涉及一般公共预算支出</w:t>
      </w:r>
      <w:r>
        <w:rPr>
          <w:rFonts w:hint="eastAsia" w:ascii="仿宋_GB2312" w:hAnsi="仿宋_GB2312" w:eastAsia="仿宋_GB2312" w:cs="仿宋_GB2312"/>
          <w:kern w:val="0"/>
          <w:sz w:val="27"/>
          <w:szCs w:val="27"/>
          <w:lang w:val="en-US" w:eastAsia="zh-CN"/>
        </w:rPr>
        <w:t>26221.42</w:t>
      </w:r>
      <w:r>
        <w:rPr>
          <w:rFonts w:ascii="仿宋_GB2312" w:hAnsi="仿宋_GB2312" w:eastAsia="仿宋_GB2312" w:cs="仿宋_GB2312"/>
          <w:kern w:val="0"/>
          <w:sz w:val="27"/>
          <w:szCs w:val="27"/>
        </w:rPr>
        <w:t>万元，政府性基金支出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w:t>
      </w:r>
    </w:p>
    <w:p>
      <w:pPr>
        <w:widowControl/>
        <w:spacing w:before="240" w:after="240"/>
        <w:ind w:firstLine="542"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（二）部门决算中项目绩效自评结果。</w:t>
      </w:r>
    </w:p>
    <w:p>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kern w:val="0"/>
          <w:sz w:val="27"/>
          <w:szCs w:val="27"/>
        </w:rPr>
        <w:t>赤峰市自然资源局部门2024年度在决算中反映</w:t>
      </w:r>
      <w:r>
        <w:rPr>
          <w:rFonts w:hint="eastAsia" w:ascii="仿宋_GB2312" w:hAnsi="仿宋_GB2312" w:eastAsia="仿宋_GB2312" w:cs="仿宋_GB2312"/>
          <w:kern w:val="0"/>
          <w:sz w:val="27"/>
          <w:szCs w:val="27"/>
          <w:lang w:val="en-US" w:eastAsia="zh-CN"/>
        </w:rPr>
        <w:t>5</w:t>
      </w:r>
      <w:r>
        <w:rPr>
          <w:rFonts w:ascii="仿宋_GB2312" w:hAnsi="仿宋_GB2312" w:eastAsia="仿宋_GB2312" w:cs="仿宋_GB2312"/>
          <w:kern w:val="0"/>
          <w:sz w:val="27"/>
          <w:szCs w:val="27"/>
        </w:rPr>
        <w:t>个一般公共预算项目，以及</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个政府性基金项目共</w:t>
      </w:r>
      <w:r>
        <w:rPr>
          <w:rFonts w:hint="eastAsia" w:ascii="仿宋_GB2312" w:hAnsi="仿宋_GB2312" w:eastAsia="仿宋_GB2312" w:cs="仿宋_GB2312"/>
          <w:kern w:val="0"/>
          <w:sz w:val="27"/>
          <w:szCs w:val="27"/>
          <w:lang w:val="en-US" w:eastAsia="zh-CN"/>
        </w:rPr>
        <w:t>5</w:t>
      </w:r>
      <w:r>
        <w:rPr>
          <w:rFonts w:ascii="仿宋_GB2312" w:hAnsi="仿宋_GB2312" w:eastAsia="仿宋_GB2312" w:cs="仿宋_GB2312"/>
          <w:kern w:val="0"/>
          <w:sz w:val="27"/>
          <w:szCs w:val="27"/>
        </w:rPr>
        <w:t>个项目的绩效自评结果。</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1.insar卫星露天矿山资金</w:t>
      </w:r>
      <w:r>
        <w:rPr>
          <w:rFonts w:ascii="仿宋_GB2312" w:hAnsi="仿宋_GB2312" w:eastAsia="仿宋_GB2312" w:cs="仿宋_GB2312"/>
          <w:kern w:val="0"/>
          <w:sz w:val="27"/>
          <w:szCs w:val="27"/>
        </w:rPr>
        <w:t>自评综述：根据年初设定的绩效目标，项目自评得分</w:t>
      </w:r>
      <w:r>
        <w:rPr>
          <w:rFonts w:hint="eastAsia" w:ascii="仿宋_GB2312" w:hAnsi="仿宋_GB2312" w:eastAsia="仿宋_GB2312" w:cs="仿宋_GB2312"/>
          <w:kern w:val="0"/>
          <w:sz w:val="27"/>
          <w:szCs w:val="27"/>
          <w:lang w:val="en-US" w:eastAsia="zh-CN"/>
        </w:rPr>
        <w:t>100</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360.00</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120.00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33.33</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项目已完成</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由于财力不足，未付清</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截止2025年7月付清</w:t>
      </w:r>
      <w:r>
        <w:rPr>
          <w:rFonts w:ascii="仿宋_GB2312" w:hAnsi="仿宋_GB2312" w:eastAsia="仿宋_GB2312" w:cs="仿宋_GB2312"/>
          <w:kern w:val="0"/>
          <w:sz w:val="27"/>
          <w:szCs w:val="27"/>
        </w:rPr>
        <w:t>。</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2.赤峰市自然资源局网络和密码应用安全测评项目（含模块更新）</w:t>
      </w:r>
      <w:r>
        <w:rPr>
          <w:rFonts w:ascii="仿宋_GB2312" w:hAnsi="仿宋_GB2312" w:eastAsia="仿宋_GB2312" w:cs="仿宋_GB2312"/>
          <w:kern w:val="0"/>
          <w:sz w:val="27"/>
          <w:szCs w:val="27"/>
        </w:rPr>
        <w:t>自评综述：根据年初设定的绩效目标，项目自评得分</w:t>
      </w:r>
      <w:r>
        <w:rPr>
          <w:rFonts w:hint="eastAsia" w:ascii="仿宋_GB2312" w:hAnsi="仿宋_GB2312" w:eastAsia="仿宋_GB2312" w:cs="仿宋_GB2312"/>
          <w:kern w:val="0"/>
          <w:sz w:val="27"/>
          <w:szCs w:val="27"/>
          <w:lang w:val="en-US" w:eastAsia="zh-CN"/>
        </w:rPr>
        <w:t>88</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410.00</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项目已完成招投标</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项目设计时间长</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引入专业设计团队补充人力缺口，提升出图效率</w:t>
      </w:r>
      <w:r>
        <w:rPr>
          <w:rFonts w:ascii="仿宋_GB2312" w:hAnsi="仿宋_GB2312" w:eastAsia="仿宋_GB2312" w:cs="仿宋_GB2312"/>
          <w:kern w:val="0"/>
          <w:sz w:val="27"/>
          <w:szCs w:val="27"/>
        </w:rPr>
        <w:t>。</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3.元宝山区红庙矿区采空区及周边勘查与评价</w:t>
      </w:r>
      <w:r>
        <w:rPr>
          <w:rFonts w:ascii="仿宋_GB2312" w:hAnsi="仿宋_GB2312" w:eastAsia="仿宋_GB2312" w:cs="仿宋_GB2312"/>
          <w:kern w:val="0"/>
          <w:sz w:val="27"/>
          <w:szCs w:val="27"/>
        </w:rPr>
        <w:t>自评综述：根据年初设定的绩效目标，项目自评得分</w:t>
      </w:r>
      <w:r>
        <w:rPr>
          <w:rFonts w:hint="eastAsia" w:ascii="仿宋_GB2312" w:hAnsi="仿宋_GB2312" w:eastAsia="仿宋_GB2312" w:cs="仿宋_GB2312"/>
          <w:kern w:val="0"/>
          <w:sz w:val="27"/>
          <w:szCs w:val="27"/>
          <w:lang w:val="en-US" w:eastAsia="zh-CN"/>
        </w:rPr>
        <w:t>87</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800.00</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0.00</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项目请假报告已完成编制，因市政府要求扩大评价区范围，故报告未进行评审</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项目设计时间长</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继续推进工程进度，按时完成任务</w:t>
      </w:r>
      <w:r>
        <w:rPr>
          <w:rFonts w:ascii="仿宋_GB2312" w:hAnsi="仿宋_GB2312" w:eastAsia="仿宋_GB2312" w:cs="仿宋_GB2312"/>
          <w:kern w:val="0"/>
          <w:sz w:val="27"/>
          <w:szCs w:val="27"/>
        </w:rPr>
        <w:t>。</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4</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rPr>
        <w:t>档案数字化服务及存量历史房产登记数据整合挂接（360万）</w:t>
      </w:r>
      <w:r>
        <w:rPr>
          <w:rFonts w:ascii="仿宋_GB2312" w:hAnsi="仿宋_GB2312" w:eastAsia="仿宋_GB2312" w:cs="仿宋_GB2312"/>
          <w:kern w:val="0"/>
          <w:sz w:val="27"/>
          <w:szCs w:val="27"/>
        </w:rPr>
        <w:t>项目自评综述：根据年初设定的绩效目标，项目自评得分</w:t>
      </w:r>
      <w:r>
        <w:rPr>
          <w:rFonts w:hint="eastAsia" w:ascii="仿宋_GB2312" w:hAnsi="仿宋_GB2312" w:eastAsia="仿宋_GB2312" w:cs="仿宋_GB2312"/>
          <w:kern w:val="0"/>
          <w:sz w:val="27"/>
          <w:szCs w:val="27"/>
          <w:lang w:val="en-US" w:eastAsia="zh-CN"/>
        </w:rPr>
        <w:t>100</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143.20</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143.20</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100.00</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项目已完成，付款已结清</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无</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无</w:t>
      </w:r>
      <w:r>
        <w:rPr>
          <w:rFonts w:ascii="仿宋_GB2312" w:hAnsi="仿宋_GB2312" w:eastAsia="仿宋_GB2312" w:cs="仿宋_GB2312"/>
          <w:kern w:val="0"/>
          <w:sz w:val="27"/>
          <w:szCs w:val="27"/>
        </w:rPr>
        <w:t>。</w:t>
      </w:r>
    </w:p>
    <w:p>
      <w:pPr>
        <w:widowControl/>
        <w:numPr>
          <w:ilvl w:val="0"/>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5.内蒙古自治区赤峰市地面沉降监测网建设项目</w:t>
      </w:r>
      <w:r>
        <w:rPr>
          <w:rFonts w:ascii="仿宋_GB2312" w:hAnsi="仿宋_GB2312" w:eastAsia="仿宋_GB2312" w:cs="仿宋_GB2312"/>
          <w:kern w:val="0"/>
          <w:sz w:val="27"/>
          <w:szCs w:val="27"/>
        </w:rPr>
        <w:t>自评综述：根据年初设定的绩效目标，项目自评得分</w:t>
      </w:r>
      <w:r>
        <w:rPr>
          <w:rFonts w:hint="eastAsia" w:ascii="仿宋_GB2312" w:hAnsi="仿宋_GB2312" w:eastAsia="仿宋_GB2312" w:cs="仿宋_GB2312"/>
          <w:kern w:val="0"/>
          <w:sz w:val="27"/>
          <w:szCs w:val="27"/>
          <w:lang w:val="en-US" w:eastAsia="zh-CN"/>
        </w:rPr>
        <w:t>99.05</w:t>
      </w:r>
      <w:r>
        <w:rPr>
          <w:rFonts w:ascii="仿宋_GB2312" w:hAnsi="仿宋_GB2312" w:eastAsia="仿宋_GB2312" w:cs="仿宋_GB2312"/>
          <w:kern w:val="0"/>
          <w:sz w:val="27"/>
          <w:szCs w:val="27"/>
        </w:rPr>
        <w:t>分。全年预算数为</w:t>
      </w:r>
      <w:r>
        <w:rPr>
          <w:rFonts w:hint="eastAsia" w:ascii="仿宋_GB2312" w:hAnsi="仿宋_GB2312" w:eastAsia="仿宋_GB2312" w:cs="仿宋_GB2312"/>
          <w:kern w:val="0"/>
          <w:sz w:val="27"/>
          <w:szCs w:val="27"/>
          <w:lang w:val="en-US" w:eastAsia="zh-CN"/>
        </w:rPr>
        <w:t>13007.78</w:t>
      </w:r>
      <w:r>
        <w:rPr>
          <w:rFonts w:ascii="仿宋_GB2312" w:hAnsi="仿宋_GB2312" w:eastAsia="仿宋_GB2312" w:cs="仿宋_GB2312"/>
          <w:kern w:val="0"/>
          <w:sz w:val="27"/>
          <w:szCs w:val="27"/>
        </w:rPr>
        <w:t>万元，执行数为</w:t>
      </w:r>
      <w:r>
        <w:rPr>
          <w:rFonts w:hint="eastAsia" w:ascii="仿宋_GB2312" w:hAnsi="仿宋_GB2312" w:eastAsia="仿宋_GB2312" w:cs="仿宋_GB2312"/>
          <w:kern w:val="0"/>
          <w:sz w:val="27"/>
          <w:szCs w:val="27"/>
          <w:lang w:val="en-US" w:eastAsia="zh-CN"/>
        </w:rPr>
        <w:t>11769.08</w:t>
      </w:r>
      <w:r>
        <w:rPr>
          <w:rFonts w:ascii="仿宋_GB2312" w:hAnsi="仿宋_GB2312" w:eastAsia="仿宋_GB2312" w:cs="仿宋_GB2312"/>
          <w:kern w:val="0"/>
          <w:sz w:val="27"/>
          <w:szCs w:val="27"/>
        </w:rPr>
        <w:t>万元，完成预算的</w:t>
      </w:r>
      <w:r>
        <w:rPr>
          <w:rFonts w:hint="eastAsia" w:ascii="仿宋_GB2312" w:hAnsi="仿宋_GB2312" w:eastAsia="仿宋_GB2312" w:cs="仿宋_GB2312"/>
          <w:kern w:val="0"/>
          <w:sz w:val="27"/>
          <w:szCs w:val="27"/>
          <w:lang w:val="en-US" w:eastAsia="zh-CN"/>
        </w:rPr>
        <w:t>90.48</w:t>
      </w:r>
      <w:r>
        <w:rPr>
          <w:rFonts w:ascii="仿宋_GB2312" w:hAnsi="仿宋_GB2312" w:eastAsia="仿宋_GB2312" w:cs="仿宋_GB2312"/>
          <w:kern w:val="0"/>
          <w:sz w:val="27"/>
          <w:szCs w:val="27"/>
        </w:rPr>
        <w:t>%。项目绩效目标完成情况：</w:t>
      </w:r>
      <w:r>
        <w:rPr>
          <w:rFonts w:hint="eastAsia" w:ascii="仿宋_GB2312" w:hAnsi="仿宋_GB2312" w:eastAsia="仿宋_GB2312" w:cs="仿宋_GB2312"/>
          <w:kern w:val="0"/>
          <w:sz w:val="27"/>
          <w:szCs w:val="27"/>
          <w:lang w:val="en-US" w:eastAsia="zh-CN"/>
        </w:rPr>
        <w:t>项目主体工程已完成，国债资金完成拨付，正在推进项目配套设施和标房建设</w:t>
      </w:r>
      <w:r>
        <w:rPr>
          <w:rFonts w:ascii="仿宋_GB2312" w:hAnsi="仿宋_GB2312" w:eastAsia="仿宋_GB2312" w:cs="仿宋_GB2312"/>
          <w:kern w:val="0"/>
          <w:sz w:val="27"/>
          <w:szCs w:val="27"/>
        </w:rPr>
        <w:t>。发现的主要问题及原因：</w:t>
      </w:r>
      <w:r>
        <w:rPr>
          <w:rFonts w:hint="eastAsia" w:ascii="仿宋_GB2312" w:hAnsi="仿宋_GB2312" w:eastAsia="仿宋_GB2312" w:cs="仿宋_GB2312"/>
          <w:kern w:val="0"/>
          <w:sz w:val="27"/>
          <w:szCs w:val="27"/>
          <w:lang w:val="en-US" w:eastAsia="zh-CN"/>
        </w:rPr>
        <w:t>无</w:t>
      </w:r>
      <w:r>
        <w:rPr>
          <w:rFonts w:ascii="仿宋_GB2312" w:hAnsi="仿宋_GB2312" w:eastAsia="仿宋_GB2312" w:cs="仿宋_GB2312"/>
          <w:kern w:val="0"/>
          <w:sz w:val="27"/>
          <w:szCs w:val="27"/>
        </w:rPr>
        <w:t>。下一步改进措施：</w:t>
      </w:r>
      <w:r>
        <w:rPr>
          <w:rFonts w:hint="eastAsia" w:ascii="仿宋_GB2312" w:hAnsi="仿宋_GB2312" w:eastAsia="仿宋_GB2312" w:cs="仿宋_GB2312"/>
          <w:kern w:val="0"/>
          <w:sz w:val="27"/>
          <w:szCs w:val="27"/>
          <w:lang w:val="en-US" w:eastAsia="zh-CN"/>
        </w:rPr>
        <w:t>继续推进配套设施和标房建设，按时完成任务</w:t>
      </w:r>
      <w:r>
        <w:rPr>
          <w:rFonts w:ascii="仿宋_GB2312" w:hAnsi="仿宋_GB2312" w:eastAsia="仿宋_GB2312" w:cs="仿宋_GB2312"/>
          <w:kern w:val="0"/>
          <w:sz w:val="27"/>
          <w:szCs w:val="27"/>
        </w:rPr>
        <w:t>。</w:t>
      </w:r>
    </w:p>
    <w:p>
      <w:pPr>
        <w:widowControl/>
        <w:spacing w:before="240" w:after="240"/>
        <w:ind w:firstLine="542"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（三）部门项目绩效评价结果。</w:t>
      </w:r>
    </w:p>
    <w:p>
      <w:pPr>
        <w:keepNext w:val="0"/>
        <w:keepLines w:val="0"/>
        <w:pageBreakBefore w:val="0"/>
        <w:widowControl w:val="0"/>
        <w:kinsoku/>
        <w:wordWrap/>
        <w:overflowPunct/>
        <w:topLinePunct w:val="0"/>
        <w:autoSpaceDE/>
        <w:autoSpaceDN/>
        <w:bidi w:val="0"/>
        <w:adjustRightInd/>
        <w:snapToGrid/>
        <w:spacing w:line="620" w:lineRule="exact"/>
        <w:ind w:firstLine="540" w:firstLineChars="200"/>
        <w:jc w:val="both"/>
        <w:textAlignment w:val="auto"/>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以</w:t>
      </w:r>
      <w:r>
        <w:rPr>
          <w:rFonts w:hint="eastAsia" w:ascii="仿宋_GB2312" w:hAnsi="仿宋_GB2312" w:eastAsia="仿宋_GB2312" w:cs="仿宋_GB2312"/>
          <w:kern w:val="0"/>
          <w:sz w:val="27"/>
          <w:szCs w:val="27"/>
        </w:rPr>
        <w:t>内蒙古自治区赤峰市地面沉降监测网建设项目</w:t>
      </w:r>
      <w:r>
        <w:rPr>
          <w:rFonts w:hint="default" w:ascii="仿宋_GB2312" w:hAnsi="仿宋_GB2312" w:eastAsia="仿宋_GB2312" w:cs="仿宋_GB2312"/>
          <w:kern w:val="0"/>
          <w:sz w:val="27"/>
          <w:szCs w:val="27"/>
        </w:rPr>
        <w:t>项目</w:t>
      </w:r>
      <w:r>
        <w:rPr>
          <w:rFonts w:ascii="仿宋_GB2312" w:hAnsi="仿宋_GB2312" w:eastAsia="仿宋_GB2312" w:cs="仿宋_GB2312"/>
          <w:kern w:val="0"/>
          <w:sz w:val="27"/>
          <w:szCs w:val="27"/>
        </w:rPr>
        <w:t>为例，该项目绩效评价综合得分为</w:t>
      </w:r>
      <w:r>
        <w:rPr>
          <w:rFonts w:hint="eastAsia" w:ascii="仿宋_GB2312" w:hAnsi="仿宋_GB2312" w:eastAsia="仿宋_GB2312" w:cs="仿宋_GB2312"/>
          <w:kern w:val="0"/>
          <w:sz w:val="27"/>
          <w:szCs w:val="27"/>
          <w:lang w:val="en-US" w:eastAsia="zh-CN"/>
        </w:rPr>
        <w:t>99.05</w:t>
      </w:r>
      <w:r>
        <w:rPr>
          <w:rFonts w:ascii="仿宋_GB2312" w:hAnsi="仿宋_GB2312" w:eastAsia="仿宋_GB2312" w:cs="仿宋_GB2312"/>
          <w:kern w:val="0"/>
          <w:sz w:val="27"/>
          <w:szCs w:val="27"/>
        </w:rPr>
        <w:t>分，绩效评价结果为“优”。重点项目绩效评价得分情况详见部门（单位）具体绩效评价结果。</w:t>
      </w:r>
    </w:p>
    <w:p>
      <w:pPr>
        <w:keepNext w:val="0"/>
        <w:keepLines w:val="0"/>
        <w:pageBreakBefore w:val="0"/>
        <w:widowControl w:val="0"/>
        <w:kinsoku/>
        <w:wordWrap/>
        <w:overflowPunct/>
        <w:topLinePunct w:val="0"/>
        <w:autoSpaceDE/>
        <w:autoSpaceDN/>
        <w:bidi w:val="0"/>
        <w:adjustRightInd/>
        <w:snapToGrid/>
        <w:spacing w:line="620" w:lineRule="exact"/>
        <w:ind w:firstLine="392" w:firstLineChars="0"/>
        <w:jc w:val="center"/>
        <w:textAlignment w:val="auto"/>
        <w:rPr>
          <w:rFonts w:hint="default" w:ascii="仿宋_GB2312" w:hAnsi="仿宋_GB2312" w:eastAsia="仿宋_GB2312" w:cs="仿宋_GB2312"/>
          <w:kern w:val="0"/>
          <w:sz w:val="27"/>
          <w:szCs w:val="27"/>
        </w:rPr>
      </w:pPr>
    </w:p>
    <w:p>
      <w:pPr>
        <w:keepNext w:val="0"/>
        <w:keepLines w:val="0"/>
        <w:pageBreakBefore w:val="0"/>
        <w:widowControl w:val="0"/>
        <w:kinsoku/>
        <w:wordWrap/>
        <w:overflowPunct/>
        <w:topLinePunct w:val="0"/>
        <w:autoSpaceDE/>
        <w:autoSpaceDN/>
        <w:bidi w:val="0"/>
        <w:adjustRightInd/>
        <w:snapToGrid/>
        <w:spacing w:line="620" w:lineRule="exact"/>
        <w:ind w:firstLine="392" w:firstLineChars="0"/>
        <w:jc w:val="center"/>
        <w:textAlignment w:val="auto"/>
        <w:rPr>
          <w:rFonts w:hint="default" w:ascii="仿宋_GB2312" w:hAnsi="仿宋_GB2312" w:eastAsia="仿宋_GB2312" w:cs="仿宋_GB2312"/>
          <w:kern w:val="0"/>
          <w:sz w:val="27"/>
          <w:szCs w:val="27"/>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八、使用非财政拨款结余（含专用结余）：</w:t>
      </w:r>
      <w:r>
        <w:rPr>
          <w:rFonts w:ascii="仿宋_GB2312" w:hAnsi="仿宋_GB2312" w:eastAsia="仿宋_GB2312" w:cs="仿宋_GB2312"/>
          <w:kern w:val="0"/>
          <w:sz w:val="27"/>
          <w:szCs w:val="27"/>
        </w:rPr>
        <w:t>指事业单位按照预算管理要求使用非财政拨款结余弥补收支差额的数额。以及使用专用结余安排支出的金额。</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十、结余分配：</w:t>
      </w:r>
      <w:r>
        <w:rPr>
          <w:rFonts w:ascii="仿宋_GB2312" w:hAnsi="仿宋_GB2312" w:eastAsia="仿宋_GB2312" w:cs="仿宋_GB2312"/>
          <w:kern w:val="0"/>
          <w:sz w:val="27"/>
          <w:szCs w:val="27"/>
        </w:rPr>
        <w:t>指事业单位按规定缴纳企业所得税以及从非财政拨款结余或经营结余中提取各类结余的情况。</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十三、项目支出：</w:t>
      </w:r>
      <w:r>
        <w:rPr>
          <w:rFonts w:ascii="仿宋_GB2312" w:hAnsi="仿宋_GB2312" w:eastAsia="仿宋_GB2312" w:cs="仿宋_GB2312"/>
          <w:kern w:val="0"/>
          <w:sz w:val="27"/>
          <w:szCs w:val="27"/>
        </w:rPr>
        <w:t>指在为完成特定的工作任务和事业发展目标所发生的支出。</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ind w:firstLine="542" w:firstLineChars="20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十八、机构运行经费：</w:t>
      </w:r>
      <w:r>
        <w:rPr>
          <w:rFonts w:ascii="仿宋_GB2312" w:hAnsi="仿宋_GB2312" w:eastAsia="仿宋_GB2312" w:cs="仿宋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ind w:firstLine="540" w:firstLineChars="20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本部门（单位）决算公开信息反馈和联系方式：</w:t>
      </w:r>
    </w:p>
    <w:p>
      <w:pPr>
        <w:widowControl/>
        <w:spacing w:before="240" w:after="240"/>
        <w:ind w:firstLine="540" w:firstLineChars="20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联系人：</w:t>
      </w:r>
      <w:r>
        <w:rPr>
          <w:rFonts w:ascii="仿宋_GB2312" w:hAnsi="仿宋_GB2312" w:eastAsia="仿宋_GB2312" w:cs="仿宋_GB2312"/>
          <w:kern w:val="0"/>
          <w:sz w:val="27"/>
          <w:szCs w:val="27"/>
          <w:u w:val="single"/>
        </w:rPr>
        <w:t>徐桂红</w:t>
      </w:r>
      <w:r>
        <w:rPr>
          <w:rFonts w:ascii="Calibri" w:hAnsi="Calibri" w:eastAsia="Calibri" w:cs="Calibri"/>
          <w:kern w:val="0"/>
          <w:sz w:val="27"/>
          <w:szCs w:val="27"/>
          <w:u w:val="single"/>
        </w:rPr>
        <w:t> </w:t>
      </w:r>
      <w:r>
        <w:rPr>
          <w:rFonts w:ascii="Calibri" w:hAnsi="Calibri" w:eastAsia="Calibri" w:cs="Calibri"/>
          <w:kern w:val="0"/>
          <w:sz w:val="27"/>
          <w:szCs w:val="27"/>
        </w:rPr>
        <w:t>          </w:t>
      </w:r>
      <w:r>
        <w:rPr>
          <w:rFonts w:ascii="仿宋_GB2312" w:hAnsi="仿宋_GB2312" w:eastAsia="仿宋_GB2312" w:cs="仿宋_GB2312"/>
          <w:kern w:val="0"/>
          <w:sz w:val="27"/>
          <w:szCs w:val="27"/>
        </w:rPr>
        <w:t>联系电话：</w:t>
      </w:r>
      <w:r>
        <w:rPr>
          <w:rFonts w:ascii="仿宋_GB2312" w:hAnsi="仿宋_GB2312" w:eastAsia="仿宋_GB2312" w:cs="仿宋_GB2312"/>
          <w:kern w:val="0"/>
          <w:sz w:val="27"/>
          <w:szCs w:val="27"/>
          <w:u w:val="single"/>
        </w:rPr>
        <w:t>0476-5891931-</w:t>
      </w:r>
      <w:r>
        <w:rPr>
          <w:rFonts w:ascii="Calibri" w:hAnsi="Calibri" w:eastAsia="Calibri" w:cs="Calibri"/>
          <w:kern w:val="0"/>
          <w:sz w:val="27"/>
          <w:szCs w:val="27"/>
          <w:u w:val="single"/>
        </w:rPr>
        <w:t>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ind w:firstLine="540" w:firstLineChars="20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见附件。</w:t>
      </w:r>
    </w:p>
    <w:bookmarkEnd w:id="0"/>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imes_new_roman">
    <w:altName w:val="仿宋_GB2312"/>
    <w:panose1 w:val="00000000000000000000"/>
    <w:charset w:val="00"/>
    <w:family w:val="auto"/>
    <w:pitch w:val="default"/>
    <w:sig w:usb0="00000000" w:usb1="00000000" w:usb2="00000000" w:usb3="00000000" w:csb0="00000000" w:csb1="00000000"/>
  </w:font>
  <w:font w:name="fang_zheng_xiao_biao_song_ti">
    <w:altName w:val="仿宋_GB2312"/>
    <w:panose1 w:val="00000000000000000000"/>
    <w:charset w:val="00"/>
    <w:family w:val="auto"/>
    <w:pitch w:val="default"/>
    <w:sig w:usb0="00000000" w:usb1="00000000" w:usb2="00000000" w:usb3="00000000" w:csb0="00000000" w:csb1="00000000"/>
  </w:font>
  <w:font w:name="kai_ti_gb2312">
    <w:altName w:val="仿宋_GB2312"/>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25</w:t>
    </w:r>
    <w:r>
      <w:rPr>
        <w:lang w:val="zh-CN"/>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C0754"/>
    <w:multiLevelType w:val="singleLevel"/>
    <w:tmpl w:val="84BC075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7FF05CF"/>
    <w:rsid w:val="08480E3A"/>
    <w:rsid w:val="0B2F0D08"/>
    <w:rsid w:val="2589597D"/>
    <w:rsid w:val="2ACC44B7"/>
    <w:rsid w:val="37D33B79"/>
    <w:rsid w:val="3CBD0238"/>
    <w:rsid w:val="450712DF"/>
    <w:rsid w:val="4FF865DC"/>
    <w:rsid w:val="51CD438B"/>
    <w:rsid w:val="57F00749"/>
    <w:rsid w:val="6BBC32ED"/>
    <w:rsid w:val="6DBA71B7"/>
    <w:rsid w:val="F9EF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w:basedOn w:val="1"/>
    <w:next w:val="9"/>
    <w:unhideWhenUsed/>
    <w:qFormat/>
    <w:uiPriority w:val="1"/>
    <w:pPr>
      <w:spacing w:after="120"/>
    </w:pPr>
  </w:style>
  <w:style w:type="paragraph" w:styleId="9">
    <w:name w:val="Body Text First Indent"/>
    <w:basedOn w:val="8"/>
    <w:next w:val="10"/>
    <w:qFormat/>
    <w:uiPriority w:val="0"/>
    <w:pPr>
      <w:spacing w:line="500" w:lineRule="exact"/>
      <w:ind w:firstLine="420"/>
    </w:pPr>
    <w:rPr>
      <w:sz w:val="28"/>
    </w:rPr>
  </w:style>
  <w:style w:type="paragraph" w:styleId="10">
    <w:name w:val="Body Text First Indent 2"/>
    <w:basedOn w:val="11"/>
    <w:qFormat/>
    <w:uiPriority w:val="0"/>
    <w:pPr>
      <w:ind w:firstLine="420"/>
    </w:pPr>
  </w:style>
  <w:style w:type="paragraph" w:styleId="11">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2">
    <w:name w:val="toc 5"/>
    <w:basedOn w:val="1"/>
    <w:next w:val="1"/>
    <w:qFormat/>
    <w:uiPriority w:val="0"/>
    <w:pPr>
      <w:ind w:left="840"/>
      <w:jc w:val="left"/>
    </w:pPr>
    <w:rPr>
      <w:sz w:val="20"/>
      <w:szCs w:val="20"/>
    </w:rPr>
  </w:style>
  <w:style w:type="paragraph" w:styleId="13">
    <w:name w:val="toc 3"/>
    <w:basedOn w:val="1"/>
    <w:next w:val="1"/>
    <w:qFormat/>
    <w:uiPriority w:val="0"/>
    <w:pPr>
      <w:adjustRightInd w:val="0"/>
      <w:snapToGrid w:val="0"/>
      <w:spacing w:line="360" w:lineRule="auto"/>
      <w:ind w:firstLine="400" w:firstLineChars="400"/>
      <w:jc w:val="left"/>
    </w:pPr>
    <w:rPr>
      <w:sz w:val="24"/>
      <w:szCs w:val="20"/>
    </w:rPr>
  </w:style>
  <w:style w:type="paragraph" w:styleId="14">
    <w:name w:val="toc 8"/>
    <w:basedOn w:val="1"/>
    <w:next w:val="1"/>
    <w:qFormat/>
    <w:uiPriority w:val="0"/>
    <w:pPr>
      <w:ind w:left="1470"/>
      <w:jc w:val="left"/>
    </w:pPr>
    <w:rPr>
      <w:sz w:val="20"/>
      <w:szCs w:val="20"/>
    </w:rPr>
  </w:style>
  <w:style w:type="paragraph" w:styleId="15">
    <w:name w:val="footer"/>
    <w:basedOn w:val="1"/>
    <w:link w:val="29"/>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snapToGrid w:val="0"/>
      <w:spacing w:line="360" w:lineRule="auto"/>
      <w:jc w:val="left"/>
    </w:pPr>
    <w:rPr>
      <w:b/>
      <w:bCs/>
      <w:sz w:val="24"/>
      <w:szCs w:val="20"/>
    </w:rPr>
  </w:style>
  <w:style w:type="paragraph" w:styleId="18">
    <w:name w:val="toc 4"/>
    <w:basedOn w:val="1"/>
    <w:next w:val="1"/>
    <w:qFormat/>
    <w:uiPriority w:val="0"/>
    <w:pPr>
      <w:ind w:left="630"/>
      <w:jc w:val="left"/>
    </w:pPr>
    <w:rPr>
      <w:sz w:val="20"/>
      <w:szCs w:val="20"/>
    </w:rPr>
  </w:style>
  <w:style w:type="paragraph" w:styleId="19">
    <w:name w:val="toc 6"/>
    <w:basedOn w:val="1"/>
    <w:next w:val="1"/>
    <w:qFormat/>
    <w:uiPriority w:val="0"/>
    <w:pPr>
      <w:ind w:left="1050"/>
      <w:jc w:val="left"/>
    </w:pPr>
    <w:rPr>
      <w:sz w:val="20"/>
      <w:szCs w:val="20"/>
    </w:rPr>
  </w:style>
  <w:style w:type="paragraph" w:styleId="20">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1">
    <w:name w:val="toc 9"/>
    <w:basedOn w:val="1"/>
    <w:next w:val="1"/>
    <w:qFormat/>
    <w:uiPriority w:val="0"/>
    <w:pPr>
      <w:ind w:left="1680"/>
      <w:jc w:val="left"/>
    </w:pPr>
    <w:rPr>
      <w:sz w:val="20"/>
      <w:szCs w:val="20"/>
    </w:r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customStyle="1" w:styleId="26">
    <w:name w:val="标题 4 字符"/>
    <w:basedOn w:val="23"/>
    <w:link w:val="5"/>
    <w:qFormat/>
    <w:uiPriority w:val="0"/>
    <w:rPr>
      <w:rFonts w:ascii="Cambria" w:hAnsi="Cambria"/>
      <w:b/>
      <w:bCs/>
      <w:kern w:val="2"/>
      <w:sz w:val="28"/>
      <w:szCs w:val="28"/>
    </w:rPr>
  </w:style>
  <w:style w:type="paragraph" w:styleId="27">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8">
    <w:name w:val="无间隔 字符"/>
    <w:link w:val="27"/>
    <w:qFormat/>
    <w:locked/>
    <w:uiPriority w:val="0"/>
    <w:rPr>
      <w:rFonts w:eastAsia="仿宋_GB2312"/>
      <w:sz w:val="30"/>
      <w:szCs w:val="22"/>
      <w:lang w:bidi="ar-SA"/>
    </w:rPr>
  </w:style>
  <w:style w:type="character" w:customStyle="1" w:styleId="29">
    <w:name w:val="页脚 字符"/>
    <w:basedOn w:val="23"/>
    <w:link w:val="15"/>
    <w:qFormat/>
    <w:uiPriority w:val="0"/>
    <w:rPr>
      <w:kern w:val="2"/>
      <w:sz w:val="18"/>
      <w:szCs w:val="18"/>
    </w:rPr>
  </w:style>
  <w:style w:type="paragraph" w:styleId="30">
    <w:name w:val="List Paragraph"/>
    <w:basedOn w:val="1"/>
    <w:qFormat/>
    <w:uiPriority w:val="0"/>
    <w:pPr>
      <w:ind w:firstLine="420" w:firstLineChars="200"/>
    </w:pPr>
  </w:style>
  <w:style w:type="character" w:customStyle="1" w:styleId="31">
    <w:name w:val="标题 3 字符"/>
    <w:basedOn w:val="23"/>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11263</Words>
  <Characters>12844</Characters>
  <Lines>1</Lines>
  <Paragraphs>1</Paragraphs>
  <TotalTime>3</TotalTime>
  <ScaleCrop>false</ScaleCrop>
  <LinksUpToDate>false</LinksUpToDate>
  <CharactersWithSpaces>12893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2022-03-23T20:40:00Z</dcterms:created>
  <dc:creator>Administrator</dc:creator>
  <cp:lastModifiedBy>13722063899</cp:lastModifiedBy>
  <cp:lastPrinted>2021-04-16T08:45:00Z</cp:lastPrinted>
  <dcterms:modified xsi:type="dcterms:W3CDTF">2025-08-21T09:57:04Z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2052-11.8.2.10386</vt:lpwstr>
  </property>
  <property fmtid="{D5CDD505-2E9C-101B-9397-08002B2CF9AE}" pid="4" name="KSOTemplateDocerSaveRecord">
    <vt:lpwstr>eyJoZGlkIjoiZGRkZmZiMDAxNjkwOTMzNzk5NjRjODQzNjFlMzA1Y2MiLCJ1c2VySWQiOiIzNjg0MDgxNDgifQ==</vt:lpwstr>
  </property>
</Properties>
</file>