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162AA">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rFonts w:ascii="Times New Roman"/>
          <w:sz w:val="20"/>
        </w:rPr>
      </w:pPr>
    </w:p>
    <w:p w14:paraId="36191894">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rFonts w:ascii="Times New Roman"/>
          <w:sz w:val="20"/>
        </w:rPr>
      </w:pPr>
    </w:p>
    <w:p w14:paraId="0C44F865">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rFonts w:ascii="Times New Roman"/>
          <w:sz w:val="20"/>
        </w:rPr>
      </w:pPr>
    </w:p>
    <w:p w14:paraId="02FBFB57">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rFonts w:ascii="Times New Roman"/>
          <w:sz w:val="20"/>
        </w:rPr>
      </w:pPr>
    </w:p>
    <w:p w14:paraId="0F6A650B">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rFonts w:ascii="Times New Roman"/>
          <w:sz w:val="20"/>
        </w:rPr>
      </w:pPr>
    </w:p>
    <w:p w14:paraId="5DED366C">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rFonts w:ascii="Times New Roman"/>
          <w:sz w:val="20"/>
        </w:rPr>
      </w:pPr>
    </w:p>
    <w:p w14:paraId="4BBA0707">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rFonts w:ascii="Times New Roman"/>
          <w:sz w:val="20"/>
        </w:rPr>
      </w:pPr>
    </w:p>
    <w:p w14:paraId="4E5C96FD">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rFonts w:ascii="Times New Roman"/>
          <w:sz w:val="20"/>
        </w:rPr>
      </w:pPr>
    </w:p>
    <w:p w14:paraId="4E735E2F">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rFonts w:ascii="Times New Roman"/>
          <w:sz w:val="20"/>
        </w:rPr>
      </w:pPr>
    </w:p>
    <w:p w14:paraId="1198FB73">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rFonts w:ascii="Times New Roman"/>
          <w:sz w:val="20"/>
        </w:rPr>
      </w:pPr>
    </w:p>
    <w:p w14:paraId="495C580C">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rFonts w:ascii="Times New Roman"/>
          <w:sz w:val="20"/>
        </w:rPr>
      </w:pPr>
    </w:p>
    <w:p w14:paraId="5D03EED8">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rFonts w:ascii="Times New Roman"/>
          <w:sz w:val="20"/>
        </w:rPr>
      </w:pPr>
    </w:p>
    <w:p w14:paraId="1C3C7A28">
      <w:pPr>
        <w:pStyle w:val="5"/>
        <w:keepNext w:val="0"/>
        <w:keepLines w:val="0"/>
        <w:pageBreakBefore w:val="0"/>
        <w:widowControl w:val="0"/>
        <w:kinsoku w:val="0"/>
        <w:wordWrap/>
        <w:overflowPunct/>
        <w:topLinePunct w:val="0"/>
        <w:autoSpaceDE w:val="0"/>
        <w:autoSpaceDN w:val="0"/>
        <w:bidi w:val="0"/>
        <w:adjustRightInd w:val="0"/>
        <w:snapToGrid w:val="0"/>
        <w:spacing w:before="2"/>
        <w:ind w:left="0" w:right="6"/>
        <w:jc w:val="center"/>
        <w:textAlignment w:val="auto"/>
        <w:rPr>
          <w:rFonts w:ascii="Times New Roman"/>
          <w:sz w:val="25"/>
        </w:rPr>
      </w:pPr>
    </w:p>
    <w:p w14:paraId="063E7AFA">
      <w:pPr>
        <w:pStyle w:val="8"/>
        <w:keepNext w:val="0"/>
        <w:keepLines w:val="0"/>
        <w:pageBreakBefore w:val="0"/>
        <w:widowControl w:val="0"/>
        <w:kinsoku w:val="0"/>
        <w:wordWrap/>
        <w:overflowPunct/>
        <w:topLinePunct w:val="0"/>
        <w:autoSpaceDE w:val="0"/>
        <w:autoSpaceDN w:val="0"/>
        <w:bidi w:val="0"/>
        <w:adjustRightInd w:val="0"/>
        <w:snapToGrid w:val="0"/>
        <w:spacing w:line="242" w:lineRule="auto"/>
        <w:ind w:right="6"/>
        <w:jc w:val="center"/>
        <w:textAlignment w:val="auto"/>
        <w:rPr>
          <w:spacing w:val="-13"/>
        </w:rPr>
      </w:pPr>
      <w:r>
        <w:rPr>
          <w:spacing w:val="-2"/>
        </w:rPr>
        <w:t>202</w:t>
      </w:r>
      <w:r>
        <w:rPr>
          <w:rFonts w:hint="eastAsia"/>
          <w:spacing w:val="-2"/>
          <w:lang w:val="en-US" w:eastAsia="zh-CN"/>
        </w:rPr>
        <w:t>6</w:t>
      </w:r>
      <w:r>
        <w:rPr>
          <w:spacing w:val="-13"/>
        </w:rPr>
        <w:t xml:space="preserve"> 年度赤峰市营商环境促进中心</w:t>
      </w:r>
    </w:p>
    <w:p w14:paraId="42884563">
      <w:pPr>
        <w:pStyle w:val="8"/>
        <w:keepNext w:val="0"/>
        <w:keepLines w:val="0"/>
        <w:pageBreakBefore w:val="0"/>
        <w:widowControl w:val="0"/>
        <w:kinsoku w:val="0"/>
        <w:wordWrap/>
        <w:overflowPunct/>
        <w:topLinePunct w:val="0"/>
        <w:autoSpaceDE w:val="0"/>
        <w:autoSpaceDN w:val="0"/>
        <w:bidi w:val="0"/>
        <w:adjustRightInd w:val="0"/>
        <w:snapToGrid w:val="0"/>
        <w:spacing w:line="242" w:lineRule="auto"/>
        <w:ind w:right="6"/>
        <w:jc w:val="center"/>
        <w:textAlignment w:val="auto"/>
      </w:pPr>
      <w:r>
        <w:rPr>
          <w:spacing w:val="-2"/>
        </w:rPr>
        <w:t>单位预算公开</w:t>
      </w:r>
    </w:p>
    <w:p w14:paraId="0A83B999">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sz w:val="44"/>
        </w:rPr>
      </w:pPr>
    </w:p>
    <w:p w14:paraId="125C50A7">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sz w:val="44"/>
        </w:rPr>
      </w:pPr>
    </w:p>
    <w:p w14:paraId="0CF1C6BB">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sz w:val="44"/>
        </w:rPr>
      </w:pPr>
    </w:p>
    <w:p w14:paraId="2991889B">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sz w:val="44"/>
        </w:rPr>
      </w:pPr>
    </w:p>
    <w:p w14:paraId="28173F9D">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sz w:val="44"/>
        </w:rPr>
      </w:pPr>
    </w:p>
    <w:p w14:paraId="140D6B45">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sz w:val="44"/>
        </w:rPr>
      </w:pPr>
    </w:p>
    <w:p w14:paraId="13C8C719">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sz w:val="44"/>
        </w:rPr>
      </w:pPr>
    </w:p>
    <w:p w14:paraId="57445AE2">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sz w:val="44"/>
        </w:rPr>
      </w:pPr>
    </w:p>
    <w:p w14:paraId="47ACE9D4">
      <w:pPr>
        <w:pStyle w:val="5"/>
        <w:keepNext w:val="0"/>
        <w:keepLines w:val="0"/>
        <w:pageBreakBefore w:val="0"/>
        <w:widowControl w:val="0"/>
        <w:kinsoku w:val="0"/>
        <w:wordWrap/>
        <w:overflowPunct/>
        <w:topLinePunct w:val="0"/>
        <w:autoSpaceDE w:val="0"/>
        <w:autoSpaceDN w:val="0"/>
        <w:bidi w:val="0"/>
        <w:adjustRightInd w:val="0"/>
        <w:snapToGrid w:val="0"/>
        <w:spacing w:before="9"/>
        <w:ind w:left="0" w:right="6"/>
        <w:textAlignment w:val="auto"/>
        <w:rPr>
          <w:sz w:val="59"/>
        </w:rPr>
      </w:pPr>
    </w:p>
    <w:p w14:paraId="4BE5C430">
      <w:pPr>
        <w:pStyle w:val="5"/>
        <w:keepNext w:val="0"/>
        <w:keepLines w:val="0"/>
        <w:pageBreakBefore w:val="0"/>
        <w:widowControl w:val="0"/>
        <w:kinsoku w:val="0"/>
        <w:wordWrap/>
        <w:overflowPunct/>
        <w:topLinePunct w:val="0"/>
        <w:autoSpaceDE w:val="0"/>
        <w:autoSpaceDN w:val="0"/>
        <w:bidi w:val="0"/>
        <w:adjustRightInd w:val="0"/>
        <w:snapToGrid w:val="0"/>
        <w:ind w:left="636" w:right="6"/>
        <w:jc w:val="center"/>
        <w:textAlignment w:val="auto"/>
      </w:pPr>
      <w:r>
        <w:t>批复时间：</w:t>
      </w:r>
      <w:r>
        <w:rPr>
          <w:spacing w:val="74"/>
          <w:w w:val="150"/>
          <w:u w:val="single"/>
        </w:rPr>
        <w:t xml:space="preserve"> </w:t>
      </w:r>
      <w:r>
        <w:rPr>
          <w:u w:val="single"/>
        </w:rPr>
        <w:t>202</w:t>
      </w:r>
      <w:r>
        <w:rPr>
          <w:rFonts w:hint="eastAsia"/>
          <w:u w:val="single"/>
          <w:lang w:val="en-US" w:eastAsia="zh-CN"/>
        </w:rPr>
        <w:t>6</w:t>
      </w:r>
      <w:r>
        <w:rPr>
          <w:spacing w:val="-1"/>
          <w:u w:val="single"/>
        </w:rPr>
        <w:t xml:space="preserve"> 年</w:t>
      </w:r>
      <w:r>
        <w:rPr>
          <w:spacing w:val="76"/>
          <w:w w:val="150"/>
          <w:u w:val="single"/>
        </w:rPr>
        <w:t xml:space="preserve"> </w:t>
      </w:r>
      <w:r>
        <w:rPr>
          <w:u w:val="single"/>
        </w:rPr>
        <w:t>2</w:t>
      </w:r>
      <w:r>
        <w:rPr>
          <w:spacing w:val="72"/>
          <w:w w:val="150"/>
          <w:u w:val="single"/>
        </w:rPr>
        <w:t xml:space="preserve"> </w:t>
      </w:r>
      <w:r>
        <w:rPr>
          <w:u w:val="single"/>
        </w:rPr>
        <w:t>月</w:t>
      </w:r>
      <w:r>
        <w:rPr>
          <w:spacing w:val="76"/>
          <w:w w:val="150"/>
          <w:u w:val="single"/>
        </w:rPr>
        <w:t xml:space="preserve"> </w:t>
      </w:r>
      <w:r>
        <w:rPr>
          <w:rFonts w:hint="eastAsia"/>
          <w:u w:val="single"/>
          <w:lang w:val="en-US" w:eastAsia="zh-CN"/>
        </w:rPr>
        <w:t>3</w:t>
      </w:r>
      <w:r>
        <w:rPr>
          <w:spacing w:val="74"/>
          <w:w w:val="150"/>
          <w:u w:val="single"/>
        </w:rPr>
        <w:t xml:space="preserve"> </w:t>
      </w:r>
      <w:r>
        <w:rPr>
          <w:spacing w:val="-10"/>
          <w:u w:val="single"/>
        </w:rPr>
        <w:t>日</w:t>
      </w:r>
    </w:p>
    <w:p w14:paraId="5269C7FF">
      <w:pPr>
        <w:pStyle w:val="5"/>
        <w:keepNext w:val="0"/>
        <w:keepLines w:val="0"/>
        <w:pageBreakBefore w:val="0"/>
        <w:widowControl w:val="0"/>
        <w:kinsoku w:val="0"/>
        <w:wordWrap/>
        <w:overflowPunct/>
        <w:topLinePunct w:val="0"/>
        <w:autoSpaceDE w:val="0"/>
        <w:autoSpaceDN w:val="0"/>
        <w:bidi w:val="0"/>
        <w:adjustRightInd w:val="0"/>
        <w:snapToGrid w:val="0"/>
        <w:spacing w:before="190"/>
        <w:ind w:left="636" w:right="6"/>
        <w:jc w:val="center"/>
        <w:textAlignment w:val="auto"/>
      </w:pPr>
      <w:r>
        <w:t>公开时间：</w:t>
      </w:r>
      <w:r>
        <w:rPr>
          <w:spacing w:val="74"/>
          <w:w w:val="150"/>
          <w:u w:val="single"/>
        </w:rPr>
        <w:t xml:space="preserve"> </w:t>
      </w:r>
      <w:r>
        <w:rPr>
          <w:u w:val="single"/>
        </w:rPr>
        <w:t>202</w:t>
      </w:r>
      <w:r>
        <w:rPr>
          <w:rFonts w:hint="eastAsia"/>
          <w:u w:val="single"/>
          <w:lang w:val="en-US" w:eastAsia="zh-CN"/>
        </w:rPr>
        <w:t>6</w:t>
      </w:r>
      <w:r>
        <w:rPr>
          <w:spacing w:val="-1"/>
          <w:u w:val="single"/>
        </w:rPr>
        <w:t xml:space="preserve"> 年</w:t>
      </w:r>
      <w:r>
        <w:rPr>
          <w:spacing w:val="76"/>
          <w:w w:val="150"/>
          <w:u w:val="single"/>
        </w:rPr>
        <w:t xml:space="preserve"> </w:t>
      </w:r>
      <w:r>
        <w:rPr>
          <w:u w:val="single"/>
        </w:rPr>
        <w:t>2</w:t>
      </w:r>
      <w:r>
        <w:rPr>
          <w:spacing w:val="72"/>
          <w:w w:val="150"/>
          <w:u w:val="single"/>
        </w:rPr>
        <w:t xml:space="preserve"> </w:t>
      </w:r>
      <w:r>
        <w:rPr>
          <w:u w:val="single"/>
        </w:rPr>
        <w:t>月</w:t>
      </w:r>
      <w:r>
        <w:rPr>
          <w:spacing w:val="76"/>
          <w:w w:val="150"/>
          <w:u w:val="single"/>
        </w:rPr>
        <w:t xml:space="preserve"> </w:t>
      </w:r>
      <w:r>
        <w:rPr>
          <w:rFonts w:hint="eastAsia"/>
          <w:u w:val="single"/>
          <w:lang w:val="en-US" w:eastAsia="zh-CN"/>
        </w:rPr>
        <w:t>9</w:t>
      </w:r>
      <w:r>
        <w:rPr>
          <w:spacing w:val="74"/>
          <w:w w:val="150"/>
          <w:u w:val="single"/>
        </w:rPr>
        <w:t xml:space="preserve"> </w:t>
      </w:r>
      <w:r>
        <w:rPr>
          <w:spacing w:val="-10"/>
          <w:u w:val="single"/>
        </w:rPr>
        <w:t>日</w:t>
      </w:r>
    </w:p>
    <w:p w14:paraId="0278D5B8">
      <w:pPr>
        <w:keepNext w:val="0"/>
        <w:keepLines w:val="0"/>
        <w:pageBreakBefore w:val="0"/>
        <w:widowControl w:val="0"/>
        <w:kinsoku w:val="0"/>
        <w:wordWrap/>
        <w:overflowPunct/>
        <w:topLinePunct w:val="0"/>
        <w:autoSpaceDE w:val="0"/>
        <w:autoSpaceDN w:val="0"/>
        <w:bidi w:val="0"/>
        <w:adjustRightInd w:val="0"/>
        <w:snapToGrid w:val="0"/>
        <w:spacing w:after="0"/>
        <w:ind w:right="6"/>
        <w:jc w:val="center"/>
        <w:textAlignment w:val="auto"/>
        <w:sectPr>
          <w:footerReference r:id="rId5" w:type="default"/>
          <w:type w:val="continuous"/>
          <w:pgSz w:w="11910" w:h="16840"/>
          <w:pgMar w:top="1920" w:right="1260" w:bottom="1320" w:left="1420" w:header="0" w:footer="1127" w:gutter="0"/>
          <w:pgNumType w:fmt="decimal" w:start="1"/>
          <w:cols w:space="720" w:num="1"/>
        </w:sectPr>
      </w:pPr>
    </w:p>
    <w:p w14:paraId="66F93440">
      <w:pPr>
        <w:pStyle w:val="4"/>
        <w:keepNext w:val="0"/>
        <w:keepLines w:val="0"/>
        <w:pageBreakBefore w:val="0"/>
        <w:widowControl w:val="0"/>
        <w:tabs>
          <w:tab w:val="left" w:pos="899"/>
        </w:tabs>
        <w:kinsoku w:val="0"/>
        <w:wordWrap/>
        <w:overflowPunct/>
        <w:topLinePunct w:val="0"/>
        <w:autoSpaceDE w:val="0"/>
        <w:autoSpaceDN w:val="0"/>
        <w:bidi w:val="0"/>
        <w:adjustRightInd w:val="0"/>
        <w:snapToGrid w:val="0"/>
        <w:spacing w:before="27"/>
        <w:ind w:right="6"/>
        <w:textAlignment w:val="auto"/>
      </w:pPr>
      <w:r>
        <w:rPr>
          <w:spacing w:val="-10"/>
        </w:rPr>
        <w:t>目</w:t>
      </w:r>
      <w:r>
        <w:tab/>
      </w:r>
      <w:r>
        <w:rPr>
          <w:spacing w:val="-10"/>
        </w:rPr>
        <w:t>录</w:t>
      </w:r>
    </w:p>
    <w:p w14:paraId="797752C5">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sz w:val="36"/>
        </w:rPr>
      </w:pPr>
    </w:p>
    <w:p w14:paraId="1A5CAC3D">
      <w:pPr>
        <w:pStyle w:val="5"/>
        <w:keepNext w:val="0"/>
        <w:keepLines w:val="0"/>
        <w:pageBreakBefore w:val="0"/>
        <w:widowControl w:val="0"/>
        <w:kinsoku w:val="0"/>
        <w:wordWrap/>
        <w:overflowPunct/>
        <w:topLinePunct w:val="0"/>
        <w:autoSpaceDE w:val="0"/>
        <w:autoSpaceDN w:val="0"/>
        <w:bidi w:val="0"/>
        <w:adjustRightInd w:val="0"/>
        <w:snapToGrid w:val="0"/>
        <w:spacing w:before="5"/>
        <w:ind w:left="0" w:right="6"/>
        <w:textAlignment w:val="auto"/>
        <w:rPr>
          <w:sz w:val="44"/>
        </w:rPr>
      </w:pPr>
    </w:p>
    <w:p w14:paraId="4790C028">
      <w:pPr>
        <w:pStyle w:val="5"/>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159"/>
        <w:ind w:left="752" w:right="6"/>
        <w:textAlignment w:val="auto"/>
        <w:rPr>
          <w:spacing w:val="-5"/>
        </w:rPr>
      </w:pPr>
      <w:r>
        <w:rPr>
          <w:spacing w:val="-5"/>
        </w:rPr>
        <w:t>单位概况</w:t>
      </w:r>
    </w:p>
    <w:p w14:paraId="13DC0A2A">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一、主要职能、职责</w:t>
      </w:r>
    </w:p>
    <w:p w14:paraId="41A0D628">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二、机构设置及预算单位构成情况</w:t>
      </w:r>
    </w:p>
    <w:p w14:paraId="65048634">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三、202</w:t>
      </w:r>
      <w:r>
        <w:rPr>
          <w:rFonts w:hint="eastAsia"/>
          <w:spacing w:val="-5"/>
          <w:lang w:val="en-US" w:eastAsia="zh-CN"/>
        </w:rPr>
        <w:t>6</w:t>
      </w:r>
      <w:r>
        <w:rPr>
          <w:spacing w:val="-5"/>
        </w:rPr>
        <w:t xml:space="preserve"> 年主要工作任务及目标</w:t>
      </w:r>
    </w:p>
    <w:p w14:paraId="112D5B9E">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textAlignment w:val="auto"/>
        <w:rPr>
          <w:spacing w:val="-5"/>
        </w:rPr>
      </w:pPr>
      <w:r>
        <w:rPr>
          <w:spacing w:val="-5"/>
        </w:rPr>
        <w:t>第二部分 202</w:t>
      </w:r>
      <w:r>
        <w:rPr>
          <w:rFonts w:hint="eastAsia"/>
          <w:spacing w:val="-5"/>
          <w:lang w:val="en-US" w:eastAsia="zh-CN"/>
        </w:rPr>
        <w:t>6</w:t>
      </w:r>
      <w:r>
        <w:rPr>
          <w:spacing w:val="-5"/>
        </w:rPr>
        <w:t xml:space="preserve"> 年单位预算安排情况说明</w:t>
      </w:r>
    </w:p>
    <w:p w14:paraId="2D55C142">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一、收支预算总体情况说明</w:t>
      </w:r>
    </w:p>
    <w:p w14:paraId="6F1205B9">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二、收入预算情况说明</w:t>
      </w:r>
    </w:p>
    <w:p w14:paraId="67947F85">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三、支出预算情况说明</w:t>
      </w:r>
    </w:p>
    <w:p w14:paraId="5EE52672">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四、财政拨款收支预算总体情况说明</w:t>
      </w:r>
    </w:p>
    <w:p w14:paraId="7D9DB365">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五、一般公共预算支出预算情况说明</w:t>
      </w:r>
    </w:p>
    <w:p w14:paraId="433CF871">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六、一般公共预算基本支出预算情况说明</w:t>
      </w:r>
    </w:p>
    <w:p w14:paraId="0DA13773">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七、一般公共预算“三公”经费支出预算情况说明</w:t>
      </w:r>
    </w:p>
    <w:p w14:paraId="3EC73F36">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八、政府性基金预算支出预算情况说明</w:t>
      </w:r>
    </w:p>
    <w:p w14:paraId="1353261C">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九、国有资本经营预算支出预算情况说明</w:t>
      </w:r>
    </w:p>
    <w:p w14:paraId="5C987960">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十、项目支出预算情况说明</w:t>
      </w:r>
    </w:p>
    <w:p w14:paraId="4B6366B4">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十一、机构运行经费支出预算情况说明</w:t>
      </w:r>
    </w:p>
    <w:p w14:paraId="025E8202">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十二、政府采购支出预算情况说明</w:t>
      </w:r>
    </w:p>
    <w:p w14:paraId="028B1059">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十三、国有资产占用情况说明</w:t>
      </w:r>
    </w:p>
    <w:p w14:paraId="75A4E1E6">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十四、项目绩效目标情况说明</w:t>
      </w:r>
    </w:p>
    <w:p w14:paraId="5FB595C4">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textAlignment w:val="auto"/>
        <w:rPr>
          <w:spacing w:val="-5"/>
        </w:rPr>
      </w:pPr>
      <w:r>
        <w:rPr>
          <w:spacing w:val="-5"/>
        </w:rPr>
        <w:t>第三部分 名词解释</w:t>
      </w:r>
    </w:p>
    <w:p w14:paraId="0CD2DFAC">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textAlignment w:val="auto"/>
        <w:rPr>
          <w:spacing w:val="-5"/>
        </w:rPr>
      </w:pPr>
      <w:r>
        <w:rPr>
          <w:spacing w:val="-5"/>
        </w:rPr>
        <w:t>第四部分 预算公开联系方式及信息反馈渠道</w:t>
      </w:r>
    </w:p>
    <w:p w14:paraId="14ABAF14">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textAlignment w:val="auto"/>
        <w:rPr>
          <w:spacing w:val="-5"/>
        </w:rPr>
        <w:sectPr>
          <w:footerReference r:id="rId6" w:type="default"/>
          <w:pgSz w:w="11910" w:h="16840"/>
          <w:pgMar w:top="1640" w:right="1260" w:bottom="1320" w:left="1420" w:header="0" w:footer="1127" w:gutter="0"/>
          <w:pgNumType w:fmt="decimal"/>
          <w:cols w:space="720" w:num="1"/>
        </w:sectPr>
      </w:pPr>
    </w:p>
    <w:p w14:paraId="6C8949DE">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textAlignment w:val="auto"/>
        <w:rPr>
          <w:spacing w:val="-5"/>
        </w:rPr>
      </w:pPr>
      <w:r>
        <w:rPr>
          <w:spacing w:val="-5"/>
        </w:rPr>
        <w:t>第五部分 202</w:t>
      </w:r>
      <w:r>
        <w:rPr>
          <w:rFonts w:hint="eastAsia"/>
          <w:spacing w:val="-5"/>
          <w:lang w:val="en-US" w:eastAsia="zh-CN"/>
        </w:rPr>
        <w:t>6</w:t>
      </w:r>
      <w:r>
        <w:rPr>
          <w:spacing w:val="-5"/>
        </w:rPr>
        <w:t xml:space="preserve"> 年单位预算公开表</w:t>
      </w:r>
    </w:p>
    <w:p w14:paraId="41D3CF3C">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一、收支总表</w:t>
      </w:r>
    </w:p>
    <w:p w14:paraId="08783FEF">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二、收入总表</w:t>
      </w:r>
    </w:p>
    <w:p w14:paraId="3A9EABEE">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三、支出总表</w:t>
      </w:r>
    </w:p>
    <w:p w14:paraId="1F99091F">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 xml:space="preserve">四、财政拨款收支总表 </w:t>
      </w:r>
    </w:p>
    <w:p w14:paraId="10BBADBA">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五、一般公共预算支出表</w:t>
      </w:r>
    </w:p>
    <w:p w14:paraId="75A6BCA0">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六、一般公共预算基本支出表</w:t>
      </w:r>
    </w:p>
    <w:p w14:paraId="625F1318">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七、一般公共预算“三公”经费支出表</w:t>
      </w:r>
    </w:p>
    <w:p w14:paraId="5AFA4ACC">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八、政府性基金预算支出表</w:t>
      </w:r>
    </w:p>
    <w:p w14:paraId="7052793F">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九、国有资本经营预算支出表</w:t>
      </w:r>
    </w:p>
    <w:p w14:paraId="33CF8E54">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十、部门项目支出表</w:t>
      </w:r>
    </w:p>
    <w:p w14:paraId="73BD56E3">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十一、项目绩效目标表</w:t>
      </w:r>
    </w:p>
    <w:p w14:paraId="124A3CE0">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firstLine="620" w:firstLineChars="200"/>
        <w:textAlignment w:val="auto"/>
        <w:rPr>
          <w:spacing w:val="-5"/>
        </w:rPr>
      </w:pPr>
      <w:r>
        <w:rPr>
          <w:spacing w:val="-5"/>
        </w:rPr>
        <w:t>十二、政府采购预算表</w:t>
      </w:r>
    </w:p>
    <w:p w14:paraId="53C65BDB">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textAlignment w:val="auto"/>
        <w:rPr>
          <w:spacing w:val="-5"/>
        </w:rPr>
        <w:sectPr>
          <w:headerReference r:id="rId7" w:type="default"/>
          <w:footerReference r:id="rId8" w:type="default"/>
          <w:pgSz w:w="11910" w:h="16840"/>
          <w:pgMar w:top="1680" w:right="1260" w:bottom="1320" w:left="1420" w:header="0" w:footer="1127" w:gutter="0"/>
          <w:pgNumType w:fmt="decimal"/>
          <w:cols w:space="720" w:num="1"/>
        </w:sectPr>
      </w:pPr>
    </w:p>
    <w:p w14:paraId="1D1D1B9F">
      <w:pPr>
        <w:pStyle w:val="4"/>
        <w:keepNext w:val="0"/>
        <w:keepLines w:val="0"/>
        <w:pageBreakBefore w:val="0"/>
        <w:widowControl w:val="0"/>
        <w:tabs>
          <w:tab w:val="left" w:pos="1799"/>
        </w:tabs>
        <w:kinsoku w:val="0"/>
        <w:wordWrap/>
        <w:overflowPunct/>
        <w:topLinePunct w:val="0"/>
        <w:autoSpaceDE w:val="0"/>
        <w:autoSpaceDN w:val="0"/>
        <w:bidi w:val="0"/>
        <w:adjustRightInd w:val="0"/>
        <w:snapToGrid w:val="0"/>
        <w:spacing w:before="59"/>
        <w:ind w:right="6"/>
        <w:textAlignment w:val="auto"/>
      </w:pPr>
      <w:r>
        <w:t>第一部</w:t>
      </w:r>
      <w:r>
        <w:rPr>
          <w:spacing w:val="-10"/>
        </w:rPr>
        <w:t>分</w:t>
      </w:r>
      <w:r>
        <w:tab/>
      </w:r>
      <w:r>
        <w:t>单位概</w:t>
      </w:r>
      <w:r>
        <w:rPr>
          <w:spacing w:val="-10"/>
        </w:rPr>
        <w:t>况</w:t>
      </w:r>
    </w:p>
    <w:p w14:paraId="036C6CFE">
      <w:pPr>
        <w:pStyle w:val="5"/>
        <w:keepNext w:val="0"/>
        <w:keepLines w:val="0"/>
        <w:pageBreakBefore w:val="0"/>
        <w:widowControl w:val="0"/>
        <w:kinsoku w:val="0"/>
        <w:wordWrap/>
        <w:overflowPunct/>
        <w:topLinePunct w:val="0"/>
        <w:autoSpaceDE w:val="0"/>
        <w:autoSpaceDN w:val="0"/>
        <w:bidi w:val="0"/>
        <w:adjustRightInd w:val="0"/>
        <w:snapToGrid w:val="0"/>
        <w:spacing w:before="10"/>
        <w:ind w:left="0" w:right="6"/>
        <w:textAlignment w:val="auto"/>
        <w:rPr>
          <w:sz w:val="35"/>
        </w:rPr>
      </w:pPr>
    </w:p>
    <w:p w14:paraId="0F5AD774">
      <w:pPr>
        <w:pStyle w:val="5"/>
        <w:keepNext w:val="0"/>
        <w:keepLines w:val="0"/>
        <w:pageBreakBefore w:val="0"/>
        <w:widowControl w:val="0"/>
        <w:kinsoku w:val="0"/>
        <w:wordWrap/>
        <w:overflowPunct/>
        <w:topLinePunct w:val="0"/>
        <w:autoSpaceDE w:val="0"/>
        <w:autoSpaceDN w:val="0"/>
        <w:bidi w:val="0"/>
        <w:adjustRightInd w:val="0"/>
        <w:snapToGrid w:val="0"/>
        <w:spacing w:before="1"/>
        <w:ind w:left="752" w:right="6"/>
        <w:textAlignment w:val="auto"/>
      </w:pPr>
      <w:r>
        <w:rPr>
          <w:spacing w:val="-5"/>
        </w:rPr>
        <w:t>一、主要职能、职责</w:t>
      </w:r>
    </w:p>
    <w:p w14:paraId="42E2295D">
      <w:pPr>
        <w:pStyle w:val="5"/>
        <w:keepNext w:val="0"/>
        <w:keepLines w:val="0"/>
        <w:pageBreakBefore w:val="0"/>
        <w:widowControl w:val="0"/>
        <w:kinsoku w:val="0"/>
        <w:wordWrap/>
        <w:overflowPunct/>
        <w:topLinePunct w:val="0"/>
        <w:autoSpaceDE w:val="0"/>
        <w:autoSpaceDN w:val="0"/>
        <w:bidi w:val="0"/>
        <w:adjustRightInd w:val="0"/>
        <w:snapToGrid w:val="0"/>
        <w:spacing w:before="161"/>
        <w:ind w:left="752" w:right="6"/>
        <w:textAlignment w:val="auto"/>
      </w:pPr>
      <w:r>
        <w:rPr>
          <w:spacing w:val="-4"/>
        </w:rPr>
        <w:t>（一）</w:t>
      </w:r>
      <w:r>
        <w:rPr>
          <w:spacing w:val="-6"/>
        </w:rPr>
        <w:t>单位职能</w:t>
      </w:r>
    </w:p>
    <w:p w14:paraId="1D967523">
      <w:pPr>
        <w:pStyle w:val="5"/>
        <w:keepNext w:val="0"/>
        <w:keepLines w:val="0"/>
        <w:pageBreakBefore w:val="0"/>
        <w:widowControl w:val="0"/>
        <w:kinsoku w:val="0"/>
        <w:wordWrap/>
        <w:overflowPunct/>
        <w:topLinePunct w:val="0"/>
        <w:autoSpaceDE w:val="0"/>
        <w:autoSpaceDN w:val="0"/>
        <w:bidi w:val="0"/>
        <w:adjustRightInd w:val="0"/>
        <w:snapToGrid w:val="0"/>
        <w:spacing w:before="159" w:line="333" w:lineRule="auto"/>
        <w:ind w:right="6" w:firstLine="640"/>
        <w:textAlignment w:val="auto"/>
      </w:pPr>
      <w:r>
        <w:rPr>
          <w:spacing w:val="-2"/>
        </w:rPr>
        <w:t>赤峰市营商环境促进中心是赤峰市人民政府主管政务服务工作的综合经济部门。</w:t>
      </w:r>
    </w:p>
    <w:p w14:paraId="731750AE">
      <w:pPr>
        <w:pStyle w:val="5"/>
        <w:keepNext w:val="0"/>
        <w:keepLines w:val="0"/>
        <w:pageBreakBefore w:val="0"/>
        <w:widowControl w:val="0"/>
        <w:kinsoku w:val="0"/>
        <w:wordWrap/>
        <w:overflowPunct/>
        <w:topLinePunct w:val="0"/>
        <w:autoSpaceDE w:val="0"/>
        <w:autoSpaceDN w:val="0"/>
        <w:bidi w:val="0"/>
        <w:adjustRightInd w:val="0"/>
        <w:snapToGrid w:val="0"/>
        <w:ind w:left="752" w:right="6"/>
        <w:textAlignment w:val="auto"/>
      </w:pPr>
      <w:r>
        <w:rPr>
          <w:spacing w:val="-4"/>
        </w:rPr>
        <w:t>（二）</w:t>
      </w:r>
      <w:r>
        <w:rPr>
          <w:spacing w:val="-5"/>
        </w:rPr>
        <w:t>单位主要职责</w:t>
      </w:r>
    </w:p>
    <w:p w14:paraId="52371D2C">
      <w:pPr>
        <w:pStyle w:val="12"/>
        <w:keepNext w:val="0"/>
        <w:keepLines w:val="0"/>
        <w:pageBreakBefore w:val="0"/>
        <w:widowControl w:val="0"/>
        <w:numPr>
          <w:ilvl w:val="0"/>
          <w:numId w:val="2"/>
        </w:numPr>
        <w:tabs>
          <w:tab w:val="left" w:pos="1072"/>
        </w:tabs>
        <w:kinsoku w:val="0"/>
        <w:wordWrap/>
        <w:overflowPunct/>
        <w:topLinePunct w:val="0"/>
        <w:autoSpaceDE w:val="0"/>
        <w:autoSpaceDN w:val="0"/>
        <w:bidi w:val="0"/>
        <w:adjustRightInd w:val="0"/>
        <w:snapToGrid w:val="0"/>
        <w:spacing w:before="169" w:after="0" w:line="338" w:lineRule="auto"/>
        <w:ind w:left="111" w:right="6" w:firstLine="640"/>
        <w:jc w:val="left"/>
        <w:textAlignment w:val="auto"/>
        <w:rPr>
          <w:sz w:val="32"/>
        </w:rPr>
      </w:pPr>
      <w:r>
        <w:rPr>
          <w:spacing w:val="-2"/>
          <w:sz w:val="32"/>
        </w:rPr>
        <w:t>坚持把铸牢中华民族共同体意识作为营商环境建设和政</w:t>
      </w:r>
      <w:r>
        <w:rPr>
          <w:spacing w:val="-11"/>
          <w:sz w:val="32"/>
        </w:rPr>
        <w:t>务服务工作的主线，贯穿于统筹推进优化营商环境建设、营商环</w:t>
      </w:r>
      <w:r>
        <w:rPr>
          <w:sz w:val="32"/>
        </w:rPr>
        <w:t>境评估迎评、 督查考核、提升政务服务质效等全过程各方面。</w:t>
      </w:r>
    </w:p>
    <w:p w14:paraId="2E3B9702">
      <w:pPr>
        <w:pStyle w:val="12"/>
        <w:keepNext w:val="0"/>
        <w:keepLines w:val="0"/>
        <w:pageBreakBefore w:val="0"/>
        <w:widowControl w:val="0"/>
        <w:numPr>
          <w:ilvl w:val="0"/>
          <w:numId w:val="2"/>
        </w:numPr>
        <w:tabs>
          <w:tab w:val="left" w:pos="1072"/>
        </w:tabs>
        <w:kinsoku w:val="0"/>
        <w:wordWrap/>
        <w:overflowPunct/>
        <w:topLinePunct w:val="0"/>
        <w:autoSpaceDE w:val="0"/>
        <w:autoSpaceDN w:val="0"/>
        <w:bidi w:val="0"/>
        <w:adjustRightInd w:val="0"/>
        <w:snapToGrid w:val="0"/>
        <w:spacing w:before="6" w:after="0" w:line="338" w:lineRule="auto"/>
        <w:ind w:left="111" w:right="6" w:firstLine="640"/>
        <w:jc w:val="left"/>
        <w:textAlignment w:val="auto"/>
        <w:rPr>
          <w:sz w:val="32"/>
        </w:rPr>
      </w:pPr>
      <w:r>
        <w:rPr>
          <w:spacing w:val="-10"/>
          <w:sz w:val="32"/>
        </w:rPr>
        <w:t>起草全市营商环境建设总体方案，协调相关部门拟订加强</w:t>
      </w:r>
      <w:r>
        <w:rPr>
          <w:spacing w:val="-2"/>
          <w:sz w:val="32"/>
        </w:rPr>
        <w:t>营商环境建设的政策、措施。</w:t>
      </w:r>
    </w:p>
    <w:p w14:paraId="1CBF65D4">
      <w:pPr>
        <w:pStyle w:val="12"/>
        <w:keepNext w:val="0"/>
        <w:keepLines w:val="0"/>
        <w:pageBreakBefore w:val="0"/>
        <w:widowControl w:val="0"/>
        <w:numPr>
          <w:ilvl w:val="0"/>
          <w:numId w:val="2"/>
        </w:numPr>
        <w:tabs>
          <w:tab w:val="left" w:pos="1072"/>
        </w:tabs>
        <w:kinsoku w:val="0"/>
        <w:wordWrap/>
        <w:overflowPunct/>
        <w:topLinePunct w:val="0"/>
        <w:autoSpaceDE w:val="0"/>
        <w:autoSpaceDN w:val="0"/>
        <w:bidi w:val="0"/>
        <w:adjustRightInd w:val="0"/>
        <w:snapToGrid w:val="0"/>
        <w:spacing w:before="3" w:after="0" w:line="338" w:lineRule="auto"/>
        <w:ind w:left="111" w:right="6" w:firstLine="640"/>
        <w:jc w:val="both"/>
        <w:textAlignment w:val="auto"/>
        <w:rPr>
          <w:sz w:val="32"/>
        </w:rPr>
      </w:pPr>
      <w:r>
        <w:rPr>
          <w:spacing w:val="-9"/>
          <w:sz w:val="32"/>
        </w:rPr>
        <w:t>协助统筹指导全市营商环境建设工作，负责开展全市营商</w:t>
      </w:r>
      <w:r>
        <w:rPr>
          <w:sz w:val="32"/>
        </w:rPr>
        <w:t>环境建设督查、检查、考核等事务性工作。 负责受理、转办营</w:t>
      </w:r>
      <w:r>
        <w:rPr>
          <w:spacing w:val="-6"/>
          <w:sz w:val="32"/>
        </w:rPr>
        <w:t>商环境建设相关投诉、举报。定期向市委、市政府汇报营商环境</w:t>
      </w:r>
      <w:r>
        <w:rPr>
          <w:spacing w:val="-2"/>
          <w:sz w:val="32"/>
        </w:rPr>
        <w:t>建设工作情况。</w:t>
      </w:r>
    </w:p>
    <w:p w14:paraId="0B14507A">
      <w:pPr>
        <w:pStyle w:val="12"/>
        <w:keepNext w:val="0"/>
        <w:keepLines w:val="0"/>
        <w:pageBreakBefore w:val="0"/>
        <w:widowControl w:val="0"/>
        <w:numPr>
          <w:ilvl w:val="0"/>
          <w:numId w:val="2"/>
        </w:numPr>
        <w:tabs>
          <w:tab w:val="left" w:pos="1072"/>
        </w:tabs>
        <w:kinsoku w:val="0"/>
        <w:wordWrap/>
        <w:overflowPunct/>
        <w:topLinePunct w:val="0"/>
        <w:autoSpaceDE w:val="0"/>
        <w:autoSpaceDN w:val="0"/>
        <w:bidi w:val="0"/>
        <w:adjustRightInd w:val="0"/>
        <w:snapToGrid w:val="0"/>
        <w:spacing w:before="8" w:after="0" w:line="338" w:lineRule="auto"/>
        <w:ind w:left="111" w:right="6" w:firstLine="640"/>
        <w:jc w:val="left"/>
        <w:textAlignment w:val="auto"/>
        <w:rPr>
          <w:sz w:val="32"/>
        </w:rPr>
      </w:pPr>
      <w:r>
        <w:rPr>
          <w:spacing w:val="-2"/>
          <w:sz w:val="32"/>
        </w:rPr>
        <w:t>负责优化营商环境国家评价、自治区评估相关政策推送、指标监测调度、工作协调问题整改跟踪调度等相关工作。</w:t>
      </w:r>
    </w:p>
    <w:p w14:paraId="00C53AE7">
      <w:pPr>
        <w:pStyle w:val="12"/>
        <w:keepNext w:val="0"/>
        <w:keepLines w:val="0"/>
        <w:pageBreakBefore w:val="0"/>
        <w:widowControl w:val="0"/>
        <w:numPr>
          <w:ilvl w:val="0"/>
          <w:numId w:val="2"/>
        </w:numPr>
        <w:tabs>
          <w:tab w:val="left" w:pos="1072"/>
        </w:tabs>
        <w:kinsoku w:val="0"/>
        <w:wordWrap/>
        <w:overflowPunct/>
        <w:topLinePunct w:val="0"/>
        <w:autoSpaceDE w:val="0"/>
        <w:autoSpaceDN w:val="0"/>
        <w:bidi w:val="0"/>
        <w:adjustRightInd w:val="0"/>
        <w:snapToGrid w:val="0"/>
        <w:spacing w:before="3" w:after="0" w:line="340" w:lineRule="auto"/>
        <w:ind w:left="111" w:right="6" w:firstLine="640"/>
        <w:jc w:val="left"/>
        <w:textAlignment w:val="auto"/>
        <w:rPr>
          <w:sz w:val="32"/>
        </w:rPr>
      </w:pPr>
      <w:r>
        <w:rPr>
          <w:spacing w:val="-2"/>
          <w:sz w:val="32"/>
        </w:rPr>
        <w:t>协同相关部门开展营商环境建设信息宣传、教育培训工</w:t>
      </w:r>
      <w:r>
        <w:rPr>
          <w:spacing w:val="-6"/>
          <w:sz w:val="32"/>
        </w:rPr>
        <w:t>作。</w:t>
      </w:r>
    </w:p>
    <w:p w14:paraId="259512DB">
      <w:pPr>
        <w:pStyle w:val="12"/>
        <w:keepNext w:val="0"/>
        <w:keepLines w:val="0"/>
        <w:pageBreakBefore w:val="0"/>
        <w:widowControl w:val="0"/>
        <w:numPr>
          <w:ilvl w:val="0"/>
          <w:numId w:val="2"/>
        </w:numPr>
        <w:tabs>
          <w:tab w:val="left" w:pos="1072"/>
        </w:tabs>
        <w:kinsoku w:val="0"/>
        <w:wordWrap/>
        <w:overflowPunct/>
        <w:topLinePunct w:val="0"/>
        <w:autoSpaceDE w:val="0"/>
        <w:autoSpaceDN w:val="0"/>
        <w:bidi w:val="0"/>
        <w:adjustRightInd w:val="0"/>
        <w:snapToGrid w:val="0"/>
        <w:spacing w:before="34" w:after="0" w:line="339" w:lineRule="auto"/>
        <w:ind w:left="113" w:right="6" w:firstLine="641"/>
        <w:jc w:val="both"/>
        <w:textAlignment w:val="auto"/>
        <w:rPr>
          <w:sz w:val="32"/>
        </w:rPr>
      </w:pPr>
      <w:r>
        <w:rPr>
          <w:spacing w:val="-13"/>
          <w:sz w:val="32"/>
        </w:rPr>
        <w:t>组织协调各地区、各部门开展国家、自治区市营商环境评</w:t>
      </w:r>
      <w:r>
        <w:rPr>
          <w:spacing w:val="-2"/>
          <w:sz w:val="32"/>
        </w:rPr>
        <w:t>估迎评工作。协助相关部门做好全市重大招商引资项目签约后项目推</w:t>
      </w:r>
      <w:r>
        <w:rPr>
          <w:sz w:val="32"/>
        </w:rPr>
        <w:t>进工作， 考评各有关部门履行职责情况。</w:t>
      </w:r>
    </w:p>
    <w:p w14:paraId="382EF2BD">
      <w:pPr>
        <w:pStyle w:val="12"/>
        <w:keepNext w:val="0"/>
        <w:keepLines w:val="0"/>
        <w:pageBreakBefore w:val="0"/>
        <w:widowControl w:val="0"/>
        <w:numPr>
          <w:ilvl w:val="0"/>
          <w:numId w:val="2"/>
        </w:numPr>
        <w:tabs>
          <w:tab w:val="left" w:pos="1072"/>
        </w:tabs>
        <w:kinsoku w:val="0"/>
        <w:wordWrap/>
        <w:overflowPunct/>
        <w:topLinePunct w:val="0"/>
        <w:autoSpaceDE w:val="0"/>
        <w:autoSpaceDN w:val="0"/>
        <w:bidi w:val="0"/>
        <w:adjustRightInd w:val="0"/>
        <w:snapToGrid w:val="0"/>
        <w:spacing w:before="3" w:after="0" w:line="339" w:lineRule="auto"/>
        <w:ind w:left="113" w:right="6" w:firstLine="641"/>
        <w:jc w:val="both"/>
        <w:textAlignment w:val="auto"/>
        <w:rPr>
          <w:sz w:val="32"/>
        </w:rPr>
      </w:pPr>
      <w:r>
        <w:rPr>
          <w:spacing w:val="-8"/>
          <w:sz w:val="32"/>
        </w:rPr>
        <w:t>负责市营商环境促进</w:t>
      </w:r>
      <w:r>
        <w:rPr>
          <w:spacing w:val="-12"/>
          <w:sz w:val="32"/>
        </w:rPr>
        <w:t>工作秩序维护，进驻窗口</w:t>
      </w:r>
      <w:r>
        <w:rPr>
          <w:spacing w:val="-2"/>
          <w:sz w:val="32"/>
        </w:rPr>
        <w:t>工作人员培训、考核及意见反馈工作。</w:t>
      </w:r>
      <w:r>
        <w:rPr>
          <w:spacing w:val="-8"/>
          <w:sz w:val="32"/>
        </w:rPr>
        <w:t>中心的运行和管理工作。负责协调进</w:t>
      </w:r>
      <w:r>
        <w:rPr>
          <w:spacing w:val="-7"/>
          <w:sz w:val="32"/>
        </w:rPr>
        <w:t>驻部门对本部门政务服务事项开展线上线下审批服务，监督管理</w:t>
      </w:r>
      <w:r>
        <w:rPr>
          <w:spacing w:val="-12"/>
          <w:sz w:val="32"/>
        </w:rPr>
        <w:t>政务服务开展情况。负责政务服务大厅</w:t>
      </w:r>
    </w:p>
    <w:p w14:paraId="0BE6B180">
      <w:pPr>
        <w:pStyle w:val="12"/>
        <w:keepNext w:val="0"/>
        <w:keepLines w:val="0"/>
        <w:pageBreakBefore w:val="0"/>
        <w:widowControl w:val="0"/>
        <w:numPr>
          <w:ilvl w:val="0"/>
          <w:numId w:val="2"/>
        </w:numPr>
        <w:tabs>
          <w:tab w:val="left" w:pos="1072"/>
        </w:tabs>
        <w:kinsoku w:val="0"/>
        <w:wordWrap/>
        <w:overflowPunct/>
        <w:topLinePunct w:val="0"/>
        <w:autoSpaceDE w:val="0"/>
        <w:autoSpaceDN w:val="0"/>
        <w:bidi w:val="0"/>
        <w:adjustRightInd w:val="0"/>
        <w:snapToGrid w:val="0"/>
        <w:spacing w:before="8" w:after="0" w:line="338" w:lineRule="auto"/>
        <w:ind w:left="111" w:right="6" w:firstLine="640"/>
        <w:jc w:val="left"/>
        <w:textAlignment w:val="auto"/>
        <w:rPr>
          <w:sz w:val="32"/>
        </w:rPr>
      </w:pPr>
      <w:r>
        <w:rPr>
          <w:spacing w:val="-26"/>
          <w:sz w:val="32"/>
        </w:rPr>
        <w:t xml:space="preserve">负责 </w:t>
      </w:r>
      <w:r>
        <w:rPr>
          <w:spacing w:val="-2"/>
          <w:sz w:val="32"/>
        </w:rPr>
        <w:t>12345</w:t>
      </w:r>
      <w:r>
        <w:rPr>
          <w:spacing w:val="-11"/>
          <w:sz w:val="32"/>
        </w:rPr>
        <w:t xml:space="preserve"> 政务服务便民热线平台的日常运行及综合协</w:t>
      </w:r>
      <w:r>
        <w:rPr>
          <w:spacing w:val="-4"/>
          <w:sz w:val="32"/>
        </w:rPr>
        <w:t>调工作。</w:t>
      </w:r>
    </w:p>
    <w:p w14:paraId="432629F0">
      <w:pPr>
        <w:pStyle w:val="12"/>
        <w:keepNext w:val="0"/>
        <w:keepLines w:val="0"/>
        <w:pageBreakBefore w:val="0"/>
        <w:widowControl w:val="0"/>
        <w:numPr>
          <w:ilvl w:val="0"/>
          <w:numId w:val="2"/>
        </w:numPr>
        <w:tabs>
          <w:tab w:val="left" w:pos="1230"/>
        </w:tabs>
        <w:kinsoku w:val="0"/>
        <w:wordWrap/>
        <w:overflowPunct/>
        <w:topLinePunct w:val="0"/>
        <w:autoSpaceDE w:val="0"/>
        <w:autoSpaceDN w:val="0"/>
        <w:bidi w:val="0"/>
        <w:adjustRightInd w:val="0"/>
        <w:snapToGrid w:val="0"/>
        <w:spacing w:before="4" w:after="0" w:line="240" w:lineRule="auto"/>
        <w:ind w:left="1230" w:right="6" w:hanging="478"/>
        <w:jc w:val="left"/>
        <w:textAlignment w:val="auto"/>
        <w:rPr>
          <w:sz w:val="32"/>
        </w:rPr>
      </w:pPr>
      <w:r>
        <w:rPr>
          <w:spacing w:val="-5"/>
          <w:sz w:val="32"/>
        </w:rPr>
        <w:t>完成市政务服务与数据管理局交办的其他任务。</w:t>
      </w:r>
    </w:p>
    <w:p w14:paraId="008ACC96">
      <w:pPr>
        <w:pStyle w:val="5"/>
        <w:keepNext w:val="0"/>
        <w:keepLines w:val="0"/>
        <w:pageBreakBefore w:val="0"/>
        <w:widowControl w:val="0"/>
        <w:kinsoku w:val="0"/>
        <w:wordWrap/>
        <w:overflowPunct/>
        <w:topLinePunct w:val="0"/>
        <w:autoSpaceDE w:val="0"/>
        <w:autoSpaceDN w:val="0"/>
        <w:bidi w:val="0"/>
        <w:adjustRightInd w:val="0"/>
        <w:snapToGrid w:val="0"/>
        <w:spacing w:before="163"/>
        <w:ind w:left="752" w:right="6"/>
        <w:textAlignment w:val="auto"/>
      </w:pPr>
      <w:r>
        <w:rPr>
          <w:spacing w:val="-5"/>
        </w:rPr>
        <w:t>二、机构设置及预算单位构成情况</w:t>
      </w:r>
    </w:p>
    <w:p w14:paraId="0D90432F">
      <w:pPr>
        <w:pStyle w:val="5"/>
        <w:keepNext w:val="0"/>
        <w:keepLines w:val="0"/>
        <w:pageBreakBefore w:val="0"/>
        <w:widowControl w:val="0"/>
        <w:kinsoku w:val="0"/>
        <w:wordWrap/>
        <w:overflowPunct/>
        <w:topLinePunct w:val="0"/>
        <w:autoSpaceDE w:val="0"/>
        <w:autoSpaceDN w:val="0"/>
        <w:bidi w:val="0"/>
        <w:adjustRightInd w:val="0"/>
        <w:snapToGrid w:val="0"/>
        <w:spacing w:before="159" w:line="333" w:lineRule="auto"/>
        <w:ind w:right="6" w:firstLine="640"/>
        <w:textAlignment w:val="auto"/>
      </w:pPr>
      <w:r>
        <w:rPr>
          <w:spacing w:val="-2"/>
        </w:rPr>
        <w:t>从预算单位构成看，赤峰市营商环境促进中心部门预算包括：本级预算。</w:t>
      </w:r>
    </w:p>
    <w:p w14:paraId="728A43FE">
      <w:pPr>
        <w:pStyle w:val="5"/>
        <w:keepNext w:val="0"/>
        <w:keepLines w:val="0"/>
        <w:pageBreakBefore w:val="0"/>
        <w:widowControl w:val="0"/>
        <w:kinsoku w:val="0"/>
        <w:wordWrap/>
        <w:overflowPunct/>
        <w:topLinePunct w:val="0"/>
        <w:autoSpaceDE w:val="0"/>
        <w:autoSpaceDN w:val="0"/>
        <w:bidi w:val="0"/>
        <w:adjustRightInd w:val="0"/>
        <w:snapToGrid w:val="0"/>
        <w:ind w:left="752" w:right="6"/>
        <w:textAlignment w:val="auto"/>
      </w:pPr>
      <w:r>
        <w:rPr>
          <w:spacing w:val="-4"/>
        </w:rPr>
        <w:t>（一）</w:t>
      </w:r>
      <w:r>
        <w:rPr>
          <w:spacing w:val="-5"/>
        </w:rPr>
        <w:t>市营商环境促进中心部门机构及人员基本情况</w:t>
      </w:r>
    </w:p>
    <w:p w14:paraId="5329BD1D">
      <w:pPr>
        <w:pStyle w:val="5"/>
        <w:keepNext w:val="0"/>
        <w:keepLines w:val="0"/>
        <w:pageBreakBefore w:val="0"/>
        <w:widowControl w:val="0"/>
        <w:kinsoku w:val="0"/>
        <w:wordWrap/>
        <w:overflowPunct/>
        <w:topLinePunct w:val="0"/>
        <w:autoSpaceDE w:val="0"/>
        <w:autoSpaceDN w:val="0"/>
        <w:bidi w:val="0"/>
        <w:adjustRightInd w:val="0"/>
        <w:snapToGrid w:val="0"/>
        <w:spacing w:before="162"/>
        <w:ind w:left="752" w:right="6"/>
        <w:textAlignment w:val="auto"/>
      </w:pPr>
      <w:r>
        <w:rPr>
          <w:spacing w:val="-8"/>
        </w:rPr>
        <w:t xml:space="preserve">中心本级及下设独立预算单位共有 </w:t>
      </w:r>
      <w:r>
        <w:rPr>
          <w:spacing w:val="-4"/>
        </w:rPr>
        <w:t>1</w:t>
      </w:r>
      <w:r>
        <w:rPr>
          <w:spacing w:val="-21"/>
        </w:rPr>
        <w:t xml:space="preserve"> 家，其中：财政拨款的</w:t>
      </w:r>
    </w:p>
    <w:p w14:paraId="66FC3E69">
      <w:pPr>
        <w:pStyle w:val="5"/>
        <w:keepNext w:val="0"/>
        <w:keepLines w:val="0"/>
        <w:pageBreakBefore w:val="0"/>
        <w:widowControl w:val="0"/>
        <w:kinsoku w:val="0"/>
        <w:wordWrap/>
        <w:overflowPunct/>
        <w:topLinePunct w:val="0"/>
        <w:autoSpaceDE w:val="0"/>
        <w:autoSpaceDN w:val="0"/>
        <w:bidi w:val="0"/>
        <w:adjustRightInd w:val="0"/>
        <w:snapToGrid w:val="0"/>
        <w:spacing w:before="159"/>
        <w:ind w:right="6"/>
        <w:textAlignment w:val="auto"/>
      </w:pPr>
      <w:r>
        <w:rPr>
          <w:spacing w:val="-18"/>
        </w:rPr>
        <w:t xml:space="preserve">行政单位 </w:t>
      </w:r>
      <w:r>
        <w:rPr>
          <w:spacing w:val="-4"/>
        </w:rPr>
        <w:t>0</w:t>
      </w:r>
      <w:r>
        <w:rPr>
          <w:spacing w:val="-20"/>
        </w:rPr>
        <w:t xml:space="preserve"> 家，参照公务员法管理的事业单位为 </w:t>
      </w:r>
      <w:r>
        <w:rPr>
          <w:spacing w:val="-4"/>
        </w:rPr>
        <w:t>0</w:t>
      </w:r>
      <w:r>
        <w:rPr>
          <w:spacing w:val="-23"/>
        </w:rPr>
        <w:t xml:space="preserve"> 家，公益一类</w:t>
      </w:r>
    </w:p>
    <w:p w14:paraId="55C616A9">
      <w:pPr>
        <w:pStyle w:val="5"/>
        <w:keepNext w:val="0"/>
        <w:keepLines w:val="0"/>
        <w:pageBreakBefore w:val="0"/>
        <w:widowControl w:val="0"/>
        <w:kinsoku w:val="0"/>
        <w:wordWrap/>
        <w:overflowPunct/>
        <w:topLinePunct w:val="0"/>
        <w:autoSpaceDE w:val="0"/>
        <w:autoSpaceDN w:val="0"/>
        <w:bidi w:val="0"/>
        <w:adjustRightInd w:val="0"/>
        <w:snapToGrid w:val="0"/>
        <w:spacing w:before="161"/>
        <w:ind w:right="6"/>
        <w:textAlignment w:val="auto"/>
      </w:pPr>
      <w:r>
        <w:rPr>
          <w:spacing w:val="-16"/>
        </w:rPr>
        <w:t xml:space="preserve">事业单位为 </w:t>
      </w:r>
      <w:r>
        <w:rPr>
          <w:spacing w:val="-4"/>
        </w:rPr>
        <w:t>1</w:t>
      </w:r>
      <w:r>
        <w:rPr>
          <w:spacing w:val="-18"/>
        </w:rPr>
        <w:t xml:space="preserve"> 家，公益二类事业单位 </w:t>
      </w:r>
      <w:r>
        <w:rPr>
          <w:spacing w:val="-4"/>
        </w:rPr>
        <w:t>0</w:t>
      </w:r>
      <w:r>
        <w:rPr>
          <w:spacing w:val="-30"/>
        </w:rPr>
        <w:t xml:space="preserve"> 家。</w:t>
      </w:r>
    </w:p>
    <w:p w14:paraId="66DFD975">
      <w:pPr>
        <w:pStyle w:val="5"/>
        <w:keepNext w:val="0"/>
        <w:keepLines w:val="0"/>
        <w:pageBreakBefore w:val="0"/>
        <w:widowControl w:val="0"/>
        <w:kinsoku w:val="0"/>
        <w:wordWrap/>
        <w:overflowPunct/>
        <w:topLinePunct w:val="0"/>
        <w:autoSpaceDE w:val="0"/>
        <w:autoSpaceDN w:val="0"/>
        <w:bidi w:val="0"/>
        <w:adjustRightInd w:val="0"/>
        <w:snapToGrid w:val="0"/>
        <w:spacing w:before="159"/>
        <w:ind w:left="0" w:right="6"/>
        <w:jc w:val="right"/>
        <w:textAlignment w:val="auto"/>
      </w:pPr>
      <w:r>
        <w:rPr>
          <w:spacing w:val="-4"/>
        </w:rPr>
        <w:t>202</w:t>
      </w:r>
      <w:r>
        <w:rPr>
          <w:rFonts w:hint="eastAsia"/>
          <w:spacing w:val="-4"/>
          <w:lang w:val="en-US" w:eastAsia="zh-CN"/>
        </w:rPr>
        <w:t>6</w:t>
      </w:r>
      <w:r>
        <w:rPr>
          <w:spacing w:val="-11"/>
        </w:rPr>
        <w:t xml:space="preserve"> 年部门预算编制单位共有 </w:t>
      </w:r>
      <w:r>
        <w:rPr>
          <w:spacing w:val="-4"/>
        </w:rPr>
        <w:t>1</w:t>
      </w:r>
      <w:r>
        <w:rPr>
          <w:spacing w:val="-10"/>
        </w:rPr>
        <w:t xml:space="preserve"> 家，其中：预算编制人数</w:t>
      </w:r>
    </w:p>
    <w:p w14:paraId="4673A788">
      <w:pPr>
        <w:pStyle w:val="5"/>
        <w:keepNext w:val="0"/>
        <w:keepLines w:val="0"/>
        <w:pageBreakBefore w:val="0"/>
        <w:widowControl w:val="0"/>
        <w:kinsoku w:val="0"/>
        <w:wordWrap/>
        <w:overflowPunct/>
        <w:topLinePunct w:val="0"/>
        <w:autoSpaceDE w:val="0"/>
        <w:autoSpaceDN w:val="0"/>
        <w:bidi w:val="0"/>
        <w:adjustRightInd w:val="0"/>
        <w:snapToGrid w:val="0"/>
        <w:spacing w:before="161"/>
        <w:ind w:left="0" w:right="6"/>
        <w:jc w:val="left"/>
        <w:textAlignment w:val="auto"/>
        <w:rPr>
          <w:spacing w:val="-30"/>
        </w:rPr>
      </w:pPr>
      <w:r>
        <w:rPr>
          <w:rFonts w:hint="eastAsia"/>
          <w:spacing w:val="-4"/>
          <w:lang w:val="en-US" w:eastAsia="zh-CN"/>
        </w:rPr>
        <w:t>29</w:t>
      </w:r>
      <w:r>
        <w:rPr>
          <w:spacing w:val="-18"/>
        </w:rPr>
        <w:t xml:space="preserve"> 人，其中：行政编制 </w:t>
      </w:r>
      <w:r>
        <w:rPr>
          <w:spacing w:val="-4"/>
        </w:rPr>
        <w:t>0</w:t>
      </w:r>
      <w:r>
        <w:rPr>
          <w:spacing w:val="-22"/>
        </w:rPr>
        <w:t xml:space="preserve"> 人，事业编制 </w:t>
      </w:r>
      <w:r>
        <w:rPr>
          <w:rFonts w:hint="eastAsia"/>
          <w:spacing w:val="-4"/>
          <w:lang w:val="en-US" w:eastAsia="zh-CN"/>
        </w:rPr>
        <w:t>29</w:t>
      </w:r>
      <w:r>
        <w:rPr>
          <w:spacing w:val="-26"/>
        </w:rPr>
        <w:t xml:space="preserve">人。截止 </w:t>
      </w:r>
      <w:r>
        <w:rPr>
          <w:spacing w:val="-4"/>
        </w:rPr>
        <w:t>202</w:t>
      </w:r>
      <w:r>
        <w:rPr>
          <w:rFonts w:hint="eastAsia"/>
          <w:spacing w:val="-4"/>
          <w:lang w:val="en-US" w:eastAsia="zh-CN"/>
        </w:rPr>
        <w:t>5</w:t>
      </w:r>
      <w:r>
        <w:rPr>
          <w:spacing w:val="-47"/>
        </w:rPr>
        <w:t xml:space="preserve"> 年 </w:t>
      </w:r>
      <w:r>
        <w:rPr>
          <w:spacing w:val="-5"/>
        </w:rPr>
        <w:t>12</w:t>
      </w:r>
      <w:r>
        <w:rPr>
          <w:spacing w:val="-19"/>
        </w:rPr>
        <w:t xml:space="preserve">月底实在职 </w:t>
      </w:r>
      <w:r>
        <w:rPr>
          <w:spacing w:val="-8"/>
        </w:rPr>
        <w:t>29</w:t>
      </w:r>
      <w:r>
        <w:rPr>
          <w:spacing w:val="-22"/>
        </w:rPr>
        <w:t xml:space="preserve"> 人，其中：行政编制 </w:t>
      </w:r>
      <w:r>
        <w:rPr>
          <w:spacing w:val="-8"/>
        </w:rPr>
        <w:t>0</w:t>
      </w:r>
      <w:r>
        <w:rPr>
          <w:spacing w:val="-26"/>
        </w:rPr>
        <w:t xml:space="preserve"> 人，事业编制 </w:t>
      </w:r>
      <w:r>
        <w:rPr>
          <w:spacing w:val="-8"/>
        </w:rPr>
        <w:t>29</w:t>
      </w:r>
      <w:r>
        <w:rPr>
          <w:spacing w:val="-22"/>
        </w:rPr>
        <w:t xml:space="preserve"> 人。离退</w:t>
      </w:r>
      <w:r>
        <w:rPr>
          <w:spacing w:val="-40"/>
        </w:rPr>
        <w:t xml:space="preserve">休 </w:t>
      </w:r>
      <w:r>
        <w:rPr>
          <w:spacing w:val="-4"/>
        </w:rPr>
        <w:t>6</w:t>
      </w:r>
      <w:r>
        <w:rPr>
          <w:spacing w:val="-24"/>
        </w:rPr>
        <w:t xml:space="preserve"> 人，其他人员 </w:t>
      </w:r>
      <w:r>
        <w:rPr>
          <w:spacing w:val="-4"/>
        </w:rPr>
        <w:t>4</w:t>
      </w:r>
      <w:r>
        <w:rPr>
          <w:rFonts w:hint="eastAsia"/>
          <w:spacing w:val="-4"/>
          <w:lang w:val="en-US" w:eastAsia="zh-CN"/>
        </w:rPr>
        <w:t>2</w:t>
      </w:r>
      <w:r>
        <w:rPr>
          <w:spacing w:val="-30"/>
        </w:rPr>
        <w:t xml:space="preserve"> 人。</w:t>
      </w:r>
    </w:p>
    <w:p w14:paraId="767E8BE8">
      <w:pPr>
        <w:pStyle w:val="5"/>
        <w:keepNext w:val="0"/>
        <w:keepLines w:val="0"/>
        <w:pageBreakBefore w:val="0"/>
        <w:widowControl w:val="0"/>
        <w:kinsoku w:val="0"/>
        <w:wordWrap/>
        <w:overflowPunct/>
        <w:topLinePunct w:val="0"/>
        <w:autoSpaceDE w:val="0"/>
        <w:autoSpaceDN w:val="0"/>
        <w:bidi w:val="0"/>
        <w:adjustRightInd w:val="0"/>
        <w:snapToGrid w:val="0"/>
        <w:spacing w:before="27"/>
        <w:ind w:left="752" w:right="6"/>
        <w:textAlignment w:val="auto"/>
      </w:pPr>
      <w:r>
        <w:rPr>
          <w:spacing w:val="-4"/>
        </w:rPr>
        <w:t>（二）</w:t>
      </w:r>
      <w:r>
        <w:rPr>
          <w:spacing w:val="-5"/>
        </w:rPr>
        <w:t>市营商环境促进中心单位设置情况</w:t>
      </w:r>
    </w:p>
    <w:p w14:paraId="0C8C8AB7">
      <w:pPr>
        <w:pStyle w:val="5"/>
        <w:keepNext w:val="0"/>
        <w:keepLines w:val="0"/>
        <w:pageBreakBefore w:val="0"/>
        <w:widowControl w:val="0"/>
        <w:kinsoku w:val="0"/>
        <w:wordWrap/>
        <w:overflowPunct/>
        <w:topLinePunct w:val="0"/>
        <w:autoSpaceDE w:val="0"/>
        <w:autoSpaceDN w:val="0"/>
        <w:bidi w:val="0"/>
        <w:adjustRightInd w:val="0"/>
        <w:snapToGrid w:val="0"/>
        <w:spacing w:before="210" w:line="201" w:lineRule="auto"/>
        <w:ind w:left="3731" w:right="6" w:hanging="2979"/>
        <w:textAlignment w:val="auto"/>
        <w:rPr>
          <w:spacing w:val="-11"/>
        </w:rPr>
      </w:pPr>
      <w:r>
        <w:rPr>
          <w:spacing w:val="-25"/>
        </w:rPr>
        <w:t xml:space="preserve">纳入 </w:t>
      </w:r>
      <w:r>
        <w:rPr>
          <w:spacing w:val="-2"/>
        </w:rPr>
        <w:t>202</w:t>
      </w:r>
      <w:r>
        <w:rPr>
          <w:rFonts w:hint="eastAsia"/>
          <w:spacing w:val="-2"/>
          <w:lang w:val="en-US" w:eastAsia="zh-CN"/>
        </w:rPr>
        <w:t>6</w:t>
      </w:r>
      <w:r>
        <w:rPr>
          <w:spacing w:val="-11"/>
        </w:rPr>
        <w:t xml:space="preserve"> 年部门预算编制范围的二级预算单位情况：</w:t>
      </w:r>
    </w:p>
    <w:p w14:paraId="15D1061F">
      <w:pPr>
        <w:pStyle w:val="5"/>
        <w:keepNext w:val="0"/>
        <w:keepLines w:val="0"/>
        <w:pageBreakBefore w:val="0"/>
        <w:widowControl w:val="0"/>
        <w:kinsoku w:val="0"/>
        <w:wordWrap/>
        <w:overflowPunct/>
        <w:topLinePunct w:val="0"/>
        <w:autoSpaceDE w:val="0"/>
        <w:autoSpaceDN w:val="0"/>
        <w:bidi w:val="0"/>
        <w:adjustRightInd w:val="0"/>
        <w:snapToGrid w:val="0"/>
        <w:spacing w:before="210" w:line="201" w:lineRule="auto"/>
        <w:ind w:left="3885" w:leftChars="1553" w:right="6" w:hanging="468" w:hangingChars="150"/>
        <w:textAlignment w:val="auto"/>
        <w:rPr>
          <w:rFonts w:ascii="Microsoft JhengHei" w:eastAsia="Microsoft JhengHei"/>
          <w:b/>
        </w:rPr>
      </w:pPr>
      <w:r>
        <w:rPr>
          <w:rFonts w:ascii="Microsoft JhengHei" w:eastAsia="Microsoft JhengHei"/>
          <w:b/>
          <w:spacing w:val="-4"/>
        </w:rPr>
        <w:t>单位情况表</w:t>
      </w:r>
    </w:p>
    <w:p w14:paraId="463CE27B">
      <w:pPr>
        <w:pStyle w:val="5"/>
        <w:keepNext w:val="0"/>
        <w:keepLines w:val="0"/>
        <w:pageBreakBefore w:val="0"/>
        <w:widowControl w:val="0"/>
        <w:kinsoku w:val="0"/>
        <w:wordWrap/>
        <w:overflowPunct/>
        <w:topLinePunct w:val="0"/>
        <w:autoSpaceDE w:val="0"/>
        <w:autoSpaceDN w:val="0"/>
        <w:bidi w:val="0"/>
        <w:adjustRightInd w:val="0"/>
        <w:snapToGrid w:val="0"/>
        <w:spacing w:before="14" w:after="1"/>
        <w:ind w:left="0" w:right="6"/>
        <w:textAlignment w:val="auto"/>
        <w:rPr>
          <w:rFonts w:ascii="Microsoft JhengHei"/>
          <w:b/>
          <w:sz w:val="17"/>
        </w:rPr>
      </w:pPr>
    </w:p>
    <w:tbl>
      <w:tblPr>
        <w:tblStyle w:val="9"/>
        <w:tblW w:w="0" w:type="auto"/>
        <w:tblInd w:w="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5"/>
        <w:gridCol w:w="3781"/>
        <w:gridCol w:w="3325"/>
      </w:tblGrid>
      <w:tr w14:paraId="079A7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5" w:type="dxa"/>
          </w:tcPr>
          <w:p w14:paraId="4215DA54">
            <w:pPr>
              <w:pStyle w:val="13"/>
              <w:keepNext w:val="0"/>
              <w:keepLines w:val="0"/>
              <w:pageBreakBefore w:val="0"/>
              <w:widowControl w:val="0"/>
              <w:kinsoku w:val="0"/>
              <w:wordWrap/>
              <w:overflowPunct/>
              <w:topLinePunct w:val="0"/>
              <w:autoSpaceDE w:val="0"/>
              <w:autoSpaceDN w:val="0"/>
              <w:bidi w:val="0"/>
              <w:adjustRightInd w:val="0"/>
              <w:snapToGrid w:val="0"/>
              <w:ind w:left="268" w:right="6"/>
              <w:textAlignment w:val="auto"/>
              <w:rPr>
                <w:sz w:val="32"/>
              </w:rPr>
            </w:pPr>
            <w:r>
              <w:rPr>
                <w:spacing w:val="-6"/>
                <w:sz w:val="32"/>
              </w:rPr>
              <w:t>序号</w:t>
            </w:r>
          </w:p>
        </w:tc>
        <w:tc>
          <w:tcPr>
            <w:tcW w:w="3781" w:type="dxa"/>
          </w:tcPr>
          <w:p w14:paraId="304771B0">
            <w:pPr>
              <w:pStyle w:val="13"/>
              <w:keepNext w:val="0"/>
              <w:keepLines w:val="0"/>
              <w:pageBreakBefore w:val="0"/>
              <w:widowControl w:val="0"/>
              <w:kinsoku w:val="0"/>
              <w:wordWrap/>
              <w:overflowPunct/>
              <w:topLinePunct w:val="0"/>
              <w:autoSpaceDE w:val="0"/>
              <w:autoSpaceDN w:val="0"/>
              <w:bidi w:val="0"/>
              <w:adjustRightInd w:val="0"/>
              <w:snapToGrid w:val="0"/>
              <w:ind w:right="6"/>
              <w:textAlignment w:val="auto"/>
              <w:rPr>
                <w:sz w:val="32"/>
              </w:rPr>
            </w:pPr>
            <w:r>
              <w:rPr>
                <w:spacing w:val="-6"/>
                <w:sz w:val="32"/>
              </w:rPr>
              <w:t>单位名称</w:t>
            </w:r>
          </w:p>
        </w:tc>
        <w:tc>
          <w:tcPr>
            <w:tcW w:w="3325" w:type="dxa"/>
          </w:tcPr>
          <w:p w14:paraId="3D52AFC5">
            <w:pPr>
              <w:pStyle w:val="13"/>
              <w:keepNext w:val="0"/>
              <w:keepLines w:val="0"/>
              <w:pageBreakBefore w:val="0"/>
              <w:widowControl w:val="0"/>
              <w:kinsoku w:val="0"/>
              <w:wordWrap/>
              <w:overflowPunct/>
              <w:topLinePunct w:val="0"/>
              <w:autoSpaceDE w:val="0"/>
              <w:autoSpaceDN w:val="0"/>
              <w:bidi w:val="0"/>
              <w:adjustRightInd w:val="0"/>
              <w:snapToGrid w:val="0"/>
              <w:ind w:left="378" w:right="6"/>
              <w:textAlignment w:val="auto"/>
              <w:rPr>
                <w:sz w:val="32"/>
              </w:rPr>
            </w:pPr>
            <w:r>
              <w:rPr>
                <w:spacing w:val="-6"/>
                <w:sz w:val="32"/>
              </w:rPr>
              <w:t>单位性质</w:t>
            </w:r>
          </w:p>
        </w:tc>
      </w:tr>
      <w:tr w14:paraId="151FB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5" w:type="dxa"/>
          </w:tcPr>
          <w:p w14:paraId="05FC44C3">
            <w:pPr>
              <w:pStyle w:val="13"/>
              <w:keepNext w:val="0"/>
              <w:keepLines w:val="0"/>
              <w:pageBreakBefore w:val="0"/>
              <w:widowControl w:val="0"/>
              <w:kinsoku w:val="0"/>
              <w:wordWrap/>
              <w:overflowPunct/>
              <w:topLinePunct w:val="0"/>
              <w:autoSpaceDE w:val="0"/>
              <w:autoSpaceDN w:val="0"/>
              <w:bidi w:val="0"/>
              <w:adjustRightInd w:val="0"/>
              <w:snapToGrid w:val="0"/>
              <w:ind w:left="5" w:right="6"/>
              <w:textAlignment w:val="auto"/>
              <w:rPr>
                <w:sz w:val="32"/>
              </w:rPr>
            </w:pPr>
            <w:r>
              <w:rPr>
                <w:w w:val="99"/>
                <w:sz w:val="32"/>
              </w:rPr>
              <w:t>1</w:t>
            </w:r>
          </w:p>
        </w:tc>
        <w:tc>
          <w:tcPr>
            <w:tcW w:w="3781" w:type="dxa"/>
          </w:tcPr>
          <w:p w14:paraId="0F1A8482">
            <w:pPr>
              <w:pStyle w:val="13"/>
              <w:keepNext w:val="0"/>
              <w:keepLines w:val="0"/>
              <w:pageBreakBefore w:val="0"/>
              <w:widowControl w:val="0"/>
              <w:kinsoku w:val="0"/>
              <w:wordWrap/>
              <w:overflowPunct/>
              <w:topLinePunct w:val="0"/>
              <w:autoSpaceDE w:val="0"/>
              <w:autoSpaceDN w:val="0"/>
              <w:bidi w:val="0"/>
              <w:adjustRightInd w:val="0"/>
              <w:snapToGrid w:val="0"/>
              <w:ind w:right="6"/>
              <w:textAlignment w:val="auto"/>
              <w:rPr>
                <w:sz w:val="32"/>
              </w:rPr>
            </w:pPr>
            <w:r>
              <w:rPr>
                <w:spacing w:val="-5"/>
                <w:sz w:val="32"/>
              </w:rPr>
              <w:t>赤峰市营商环境促进中心</w:t>
            </w:r>
          </w:p>
        </w:tc>
        <w:tc>
          <w:tcPr>
            <w:tcW w:w="3325" w:type="dxa"/>
          </w:tcPr>
          <w:p w14:paraId="44165E50">
            <w:pPr>
              <w:pStyle w:val="13"/>
              <w:keepNext w:val="0"/>
              <w:keepLines w:val="0"/>
              <w:pageBreakBefore w:val="0"/>
              <w:widowControl w:val="0"/>
              <w:kinsoku w:val="0"/>
              <w:wordWrap/>
              <w:overflowPunct/>
              <w:topLinePunct w:val="0"/>
              <w:autoSpaceDE w:val="0"/>
              <w:autoSpaceDN w:val="0"/>
              <w:bidi w:val="0"/>
              <w:adjustRightInd w:val="0"/>
              <w:snapToGrid w:val="0"/>
              <w:ind w:left="380" w:right="6"/>
              <w:textAlignment w:val="auto"/>
              <w:rPr>
                <w:sz w:val="32"/>
              </w:rPr>
            </w:pPr>
            <w:r>
              <w:rPr>
                <w:spacing w:val="-5"/>
                <w:sz w:val="32"/>
              </w:rPr>
              <w:t>公益一类事业单位</w:t>
            </w:r>
          </w:p>
        </w:tc>
      </w:tr>
    </w:tbl>
    <w:p w14:paraId="2A9DC8F0">
      <w:pPr>
        <w:pStyle w:val="5"/>
        <w:keepNext w:val="0"/>
        <w:keepLines w:val="0"/>
        <w:pageBreakBefore w:val="0"/>
        <w:widowControl w:val="0"/>
        <w:kinsoku w:val="0"/>
        <w:wordWrap/>
        <w:overflowPunct/>
        <w:topLinePunct w:val="0"/>
        <w:autoSpaceDE w:val="0"/>
        <w:autoSpaceDN w:val="0"/>
        <w:bidi w:val="0"/>
        <w:adjustRightInd w:val="0"/>
        <w:snapToGrid w:val="0"/>
        <w:spacing w:before="8"/>
        <w:ind w:left="0" w:right="6"/>
        <w:textAlignment w:val="auto"/>
        <w:rPr>
          <w:rFonts w:ascii="Microsoft JhengHei"/>
          <w:b/>
          <w:sz w:val="4"/>
        </w:rPr>
      </w:pPr>
    </w:p>
    <w:p w14:paraId="65301AAF">
      <w:pPr>
        <w:pStyle w:val="5"/>
        <w:keepNext w:val="0"/>
        <w:keepLines w:val="0"/>
        <w:pageBreakBefore w:val="0"/>
        <w:widowControl w:val="0"/>
        <w:kinsoku w:val="0"/>
        <w:wordWrap/>
        <w:overflowPunct/>
        <w:topLinePunct w:val="0"/>
        <w:autoSpaceDE w:val="0"/>
        <w:autoSpaceDN w:val="0"/>
        <w:bidi w:val="0"/>
        <w:adjustRightInd w:val="0"/>
        <w:snapToGrid w:val="0"/>
        <w:spacing w:before="55"/>
        <w:ind w:left="752" w:right="6"/>
        <w:textAlignment w:val="auto"/>
      </w:pPr>
      <w:r>
        <w:rPr>
          <w:spacing w:val="-4"/>
        </w:rPr>
        <w:t>三、202</w:t>
      </w:r>
      <w:r>
        <w:rPr>
          <w:rFonts w:hint="eastAsia"/>
          <w:spacing w:val="-4"/>
          <w:lang w:val="en-US" w:eastAsia="zh-CN"/>
        </w:rPr>
        <w:t>6</w:t>
      </w:r>
      <w:r>
        <w:rPr>
          <w:spacing w:val="-12"/>
        </w:rPr>
        <w:t xml:space="preserve"> 年主要工作任务及目标</w:t>
      </w:r>
    </w:p>
    <w:p w14:paraId="0B359EA9">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eastAsia" w:ascii="宋体" w:hAnsi="宋体" w:eastAsia="宋体" w:cs="宋体"/>
          <w:spacing w:val="-4"/>
          <w:sz w:val="32"/>
          <w:szCs w:val="32"/>
          <w:lang w:val="en-US" w:eastAsia="zh-CN" w:bidi="ar-SA"/>
        </w:rPr>
      </w:pPr>
      <w:r>
        <w:rPr>
          <w:rFonts w:hint="eastAsia" w:ascii="宋体" w:hAnsi="宋体" w:eastAsia="宋体" w:cs="宋体"/>
          <w:spacing w:val="-4"/>
          <w:sz w:val="32"/>
          <w:szCs w:val="32"/>
          <w:lang w:val="en-US" w:eastAsia="zh-CN" w:bidi="ar-SA"/>
        </w:rPr>
        <w:t>（一）党建方面</w:t>
      </w:r>
    </w:p>
    <w:p w14:paraId="3F852B14">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eastAsia" w:ascii="宋体" w:hAnsi="宋体" w:eastAsia="宋体" w:cs="宋体"/>
          <w:spacing w:val="-4"/>
          <w:sz w:val="32"/>
          <w:szCs w:val="32"/>
          <w:lang w:val="en-US" w:eastAsia="zh-CN" w:bidi="ar-SA"/>
        </w:rPr>
      </w:pPr>
      <w:r>
        <w:rPr>
          <w:rFonts w:hint="eastAsia" w:ascii="宋体" w:hAnsi="宋体" w:eastAsia="宋体" w:cs="宋体"/>
          <w:spacing w:val="-4"/>
          <w:sz w:val="32"/>
          <w:szCs w:val="32"/>
          <w:lang w:val="en-US" w:eastAsia="zh-CN" w:bidi="ar-SA"/>
        </w:rPr>
        <w:t>一是持续强化政治引领，在理论武装与知行合一上实现新深化。坚持“第一议题”制度，持续深入学习习近平新时代中国特色社会主义思想及党的最新理论成果，特别是关于党的建设和优化营商环境的重要论述。将学习贯彻党的二十届历次全会精神作为重要政治任务，引导党员干部不断提高政治判断力、政治领悟力、政治执行力。推动理论学习与营商环境实践深度融合，将学习成果转化为破解难题、推动发展的实际成效。</w:t>
      </w:r>
    </w:p>
    <w:p w14:paraId="36A58FC8">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eastAsia" w:ascii="宋体" w:hAnsi="宋体" w:eastAsia="宋体" w:cs="宋体"/>
          <w:spacing w:val="-4"/>
          <w:sz w:val="32"/>
          <w:szCs w:val="32"/>
          <w:lang w:val="en-US" w:eastAsia="zh-CN" w:bidi="ar-SA"/>
        </w:rPr>
      </w:pPr>
      <w:r>
        <w:rPr>
          <w:rFonts w:hint="eastAsia" w:ascii="宋体" w:hAnsi="宋体" w:eastAsia="宋体" w:cs="宋体"/>
          <w:spacing w:val="-4"/>
          <w:sz w:val="32"/>
          <w:szCs w:val="32"/>
          <w:lang w:val="en-US" w:eastAsia="zh-CN" w:bidi="ar-SA"/>
        </w:rPr>
        <w:t>二是着力激发组织活力，在队伍建设与作用发挥上取得新实效。进一步优化党支部组织设置和运行机制。加强对年轻干部、年轻党员的培养、管理和关爱，注重政治历练和专业训练，激发其干事创业的内生动力。严格党员日常教育管理，不断丰富组织生活内容和形式，着力提升组织生活质效。积极搭建党员发挥先锋模范作用的实践平台，完善激励机制，引导党员在优化营商环境、服务基层群众中主动作为、争当先锋，特别是在“双报到、双服务、双报告”中提升服务能力。</w:t>
      </w:r>
    </w:p>
    <w:p w14:paraId="34930C11">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eastAsia" w:ascii="宋体" w:hAnsi="宋体" w:eastAsia="宋体" w:cs="宋体"/>
          <w:spacing w:val="-4"/>
          <w:sz w:val="32"/>
          <w:szCs w:val="32"/>
          <w:lang w:val="en-US" w:eastAsia="zh-CN" w:bidi="ar-SA"/>
        </w:rPr>
      </w:pPr>
      <w:r>
        <w:rPr>
          <w:rFonts w:hint="eastAsia" w:ascii="宋体" w:hAnsi="宋体" w:eastAsia="宋体" w:cs="宋体"/>
          <w:spacing w:val="-4"/>
          <w:sz w:val="32"/>
          <w:szCs w:val="32"/>
          <w:lang w:val="en-US" w:eastAsia="zh-CN" w:bidi="ar-SA"/>
        </w:rPr>
        <w:t>三是纵深推进正风肃纪，在风险防控与常态长效上谋求新突破。持续加固中央八项规定精神堤坝，密切关注“四风”隐形变异新动向。深化廉政风险防控机制建设，动态排查风险点，完善防控措施。加强对党员干部特别是窗口单位、关键岗位人员的日常监督管理，做到抓早抓小、防微杜渐。精准运用监督执纪“四种形态”。创新警示教育形式，增强教育的针对性和感染力，弘扬廉洁文化。常态化开展廉政谈话和警示教育，筑牢拒腐防变思想防线。</w:t>
      </w:r>
    </w:p>
    <w:p w14:paraId="037E30CB">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eastAsia" w:ascii="宋体" w:hAnsi="宋体" w:eastAsia="宋体" w:cs="宋体"/>
          <w:spacing w:val="-4"/>
          <w:sz w:val="32"/>
          <w:szCs w:val="32"/>
          <w:lang w:val="en-US" w:eastAsia="zh-CN" w:bidi="ar-SA"/>
        </w:rPr>
      </w:pPr>
      <w:r>
        <w:rPr>
          <w:rFonts w:hint="eastAsia" w:ascii="宋体" w:hAnsi="宋体" w:eastAsia="宋体" w:cs="宋体"/>
          <w:spacing w:val="-4"/>
          <w:sz w:val="32"/>
          <w:szCs w:val="32"/>
          <w:lang w:val="en-US" w:eastAsia="zh-CN" w:bidi="ar-SA"/>
        </w:rPr>
        <w:t>四是聚力推动融合创新，在提升效能与打造品牌上实现新发展。积极探索党建与业务深度融合、相互促进的长效机制，设计开展更多体现营商环境特色的党建活动载体。健全常态化联系服务企业、群众机制，拓宽意见征集渠道，精准对接市场需求。创新党建活动形式，运用新媒体新技术增强党建工作的时代感和吸引力。注重总结提炼开展学习教育以及日常工作中形成的好经验、好做法，健全完善权责清晰、运行透明、过程可追溯的制度体系。用心培育和总结具有中心特色的党建品牌，讲好党建引领营商环境优化的生动故事，努力以高质量党建推动中心事业实现更高质量发展。</w:t>
      </w:r>
    </w:p>
    <w:p w14:paraId="2AFD868A">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eastAsia" w:ascii="宋体" w:hAnsi="宋体" w:eastAsia="宋体" w:cs="宋体"/>
          <w:spacing w:val="-4"/>
          <w:sz w:val="32"/>
          <w:szCs w:val="32"/>
          <w:lang w:val="en-US" w:eastAsia="zh-CN" w:bidi="ar-SA"/>
        </w:rPr>
      </w:pPr>
      <w:r>
        <w:rPr>
          <w:rFonts w:hint="eastAsia" w:ascii="宋体" w:hAnsi="宋体" w:eastAsia="宋体" w:cs="宋体"/>
          <w:spacing w:val="-4"/>
          <w:sz w:val="32"/>
          <w:szCs w:val="32"/>
          <w:lang w:val="en-US" w:eastAsia="zh-CN" w:bidi="ar-SA"/>
        </w:rPr>
        <w:t>（二）优化营商环境工作方面</w:t>
      </w:r>
    </w:p>
    <w:p w14:paraId="3F23279B">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eastAsia" w:ascii="宋体" w:hAnsi="宋体" w:eastAsia="宋体" w:cs="宋体"/>
          <w:spacing w:val="-4"/>
          <w:sz w:val="32"/>
          <w:szCs w:val="32"/>
          <w:lang w:val="en-US" w:eastAsia="zh-CN" w:bidi="ar-SA"/>
        </w:rPr>
      </w:pPr>
      <w:r>
        <w:rPr>
          <w:rFonts w:hint="eastAsia" w:ascii="宋体" w:hAnsi="宋体" w:eastAsia="宋体" w:cs="宋体"/>
          <w:spacing w:val="-4"/>
          <w:sz w:val="32"/>
          <w:szCs w:val="32"/>
          <w:lang w:val="en-US" w:eastAsia="zh-CN" w:bidi="ar-SA"/>
        </w:rPr>
        <w:t>一是聚力指标攻坚，提升评估竞争力。全面对接落实自治区优化营商环境5.0版方案，建立任务清单与协同推进机制，加强动态跟踪与难点堵点疏解，确保各项改革任务在赤峰落地生根、取得实效。精心组织参与自治区营商环境评估，严格对标最新评估指标体系，提前开展针对性培训与模拟填报演练，提升各相关部门的迎评准备水平和数据填报质量。积极配合自治区政数局推进营商环境无感监测指标体系建设，重点聚焦企业办事时长、成本、环节数、跑动次数、政策兑现效率等可量化、可抓取的监测“靶点”，梳理形成《营商环境无感监测指标靶点清单》，为全区营商环境评估提供数据支撑。</w:t>
      </w:r>
    </w:p>
    <w:p w14:paraId="6ED0B078">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eastAsia" w:ascii="宋体" w:hAnsi="宋体" w:eastAsia="宋体" w:cs="宋体"/>
          <w:spacing w:val="-4"/>
          <w:sz w:val="32"/>
          <w:szCs w:val="32"/>
          <w:lang w:val="en-US" w:eastAsia="zh-CN" w:bidi="ar-SA"/>
        </w:rPr>
      </w:pPr>
      <w:r>
        <w:rPr>
          <w:rFonts w:hint="eastAsia" w:ascii="宋体" w:hAnsi="宋体" w:eastAsia="宋体" w:cs="宋体"/>
          <w:spacing w:val="-4"/>
          <w:sz w:val="32"/>
          <w:szCs w:val="32"/>
          <w:lang w:val="en-US" w:eastAsia="zh-CN" w:bidi="ar-SA"/>
        </w:rPr>
        <w:t>二是聚焦满意度提升，优化服务供给质效。建立健全常态化企业走访联系与意见征集反馈机制，推动职能部门主动下沉服务、送政策上门。针对政策“找不到、看不懂、难兑现”问题，完善惠企政策集中发布、动态更新机制，探索运用短视频解读、政策直播等新媒体方式提升宣传效果。依托“蒙企通”等平台，建立惠企政策精准推送、智能匹配机制，推动更多政策“免申即享、直达快享”，切实提升政策普惠性和企业获得感。</w:t>
      </w:r>
    </w:p>
    <w:p w14:paraId="2654AFB9">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default" w:ascii="宋体" w:hAnsi="宋体" w:eastAsia="宋体" w:cs="宋体"/>
          <w:spacing w:val="-4"/>
          <w:sz w:val="32"/>
          <w:szCs w:val="32"/>
          <w:lang w:val="en-US" w:eastAsia="zh-CN" w:bidi="ar-SA"/>
        </w:rPr>
      </w:pPr>
      <w:r>
        <w:rPr>
          <w:rFonts w:hint="eastAsia" w:ascii="宋体" w:hAnsi="宋体" w:eastAsia="宋体" w:cs="宋体"/>
          <w:spacing w:val="-4"/>
          <w:sz w:val="32"/>
          <w:szCs w:val="32"/>
          <w:lang w:val="en-US" w:eastAsia="zh-CN" w:bidi="ar-SA"/>
        </w:rPr>
        <w:t>三是着力</w:t>
      </w:r>
      <w:r>
        <w:rPr>
          <w:rFonts w:hint="default" w:ascii="宋体" w:hAnsi="宋体" w:eastAsia="宋体" w:cs="宋体"/>
          <w:spacing w:val="-4"/>
          <w:sz w:val="32"/>
          <w:szCs w:val="32"/>
          <w:lang w:val="en-US" w:eastAsia="zh-CN" w:bidi="ar-SA"/>
        </w:rPr>
        <w:t>品牌塑造，打造赤峰特色名片。在</w:t>
      </w:r>
      <w:r>
        <w:rPr>
          <w:rFonts w:hint="eastAsia" w:ascii="宋体" w:hAnsi="宋体" w:eastAsia="宋体" w:cs="宋体"/>
          <w:spacing w:val="-4"/>
          <w:sz w:val="32"/>
          <w:szCs w:val="32"/>
          <w:lang w:val="en-US" w:eastAsia="zh-CN" w:bidi="ar-SA"/>
        </w:rPr>
        <w:t>借鉴</w:t>
      </w:r>
      <w:r>
        <w:rPr>
          <w:rFonts w:hint="default" w:ascii="宋体" w:hAnsi="宋体" w:eastAsia="宋体" w:cs="宋体"/>
          <w:spacing w:val="-4"/>
          <w:sz w:val="32"/>
          <w:szCs w:val="32"/>
          <w:lang w:val="en-US" w:eastAsia="zh-CN" w:bidi="ar-SA"/>
        </w:rPr>
        <w:t>吸收先进地区经验</w:t>
      </w:r>
      <w:r>
        <w:rPr>
          <w:rFonts w:hint="eastAsia" w:ascii="宋体" w:hAnsi="宋体" w:eastAsia="宋体" w:cs="宋体"/>
          <w:spacing w:val="-4"/>
          <w:sz w:val="32"/>
          <w:szCs w:val="32"/>
          <w:lang w:val="en-US" w:eastAsia="zh-CN" w:bidi="ar-SA"/>
        </w:rPr>
        <w:t>做法的</w:t>
      </w:r>
      <w:r>
        <w:rPr>
          <w:rFonts w:hint="default" w:ascii="宋体" w:hAnsi="宋体" w:eastAsia="宋体" w:cs="宋体"/>
          <w:spacing w:val="-4"/>
          <w:sz w:val="32"/>
          <w:szCs w:val="32"/>
          <w:lang w:val="en-US" w:eastAsia="zh-CN" w:bidi="ar-SA"/>
        </w:rPr>
        <w:t>基础上，紧密结合赤峰市</w:t>
      </w:r>
      <w:r>
        <w:rPr>
          <w:rFonts w:hint="eastAsia" w:ascii="宋体" w:hAnsi="宋体" w:eastAsia="宋体" w:cs="宋体"/>
          <w:spacing w:val="-4"/>
          <w:sz w:val="32"/>
          <w:szCs w:val="32"/>
          <w:lang w:val="en-US" w:eastAsia="zh-CN" w:bidi="ar-SA"/>
        </w:rPr>
        <w:t>资源禀赋、</w:t>
      </w:r>
      <w:r>
        <w:rPr>
          <w:rFonts w:hint="default" w:ascii="宋体" w:hAnsi="宋体" w:eastAsia="宋体" w:cs="宋体"/>
          <w:spacing w:val="-4"/>
          <w:sz w:val="32"/>
          <w:szCs w:val="32"/>
          <w:lang w:val="en-US" w:eastAsia="zh-CN" w:bidi="ar-SA"/>
        </w:rPr>
        <w:t>产业</w:t>
      </w:r>
      <w:r>
        <w:rPr>
          <w:rFonts w:hint="eastAsia" w:ascii="宋体" w:hAnsi="宋体" w:eastAsia="宋体" w:cs="宋体"/>
          <w:spacing w:val="-4"/>
          <w:sz w:val="32"/>
          <w:szCs w:val="32"/>
          <w:lang w:val="en-US" w:eastAsia="zh-CN" w:bidi="ar-SA"/>
        </w:rPr>
        <w:t>定位</w:t>
      </w:r>
      <w:r>
        <w:rPr>
          <w:rFonts w:hint="default" w:ascii="宋体" w:hAnsi="宋体" w:eastAsia="宋体" w:cs="宋体"/>
          <w:spacing w:val="-4"/>
          <w:sz w:val="32"/>
          <w:szCs w:val="32"/>
          <w:lang w:val="en-US" w:eastAsia="zh-CN" w:bidi="ar-SA"/>
        </w:rPr>
        <w:t>、企业需求和文化特色，在政务服务、要素保障、法治环境、信用监管等领域进行差异化探索和创新实践。深入挖掘、总结推广一批具有赤峰辨识度的优化营商环境创新案例和典型经验。精心培育打造“一盟市一品牌”，形成一批</w:t>
      </w:r>
      <w:r>
        <w:rPr>
          <w:rFonts w:hint="eastAsia" w:ascii="宋体" w:hAnsi="宋体" w:eastAsia="宋体" w:cs="宋体"/>
          <w:spacing w:val="-4"/>
          <w:sz w:val="32"/>
          <w:szCs w:val="32"/>
          <w:lang w:val="en-US" w:eastAsia="zh-CN" w:bidi="ar-SA"/>
        </w:rPr>
        <w:t>有影响力</w:t>
      </w:r>
      <w:r>
        <w:rPr>
          <w:rFonts w:hint="default" w:ascii="宋体" w:hAnsi="宋体" w:eastAsia="宋体" w:cs="宋体"/>
          <w:spacing w:val="-4"/>
          <w:sz w:val="32"/>
          <w:szCs w:val="32"/>
          <w:lang w:val="en-US" w:eastAsia="zh-CN" w:bidi="ar-SA"/>
        </w:rPr>
        <w:t>的</w:t>
      </w:r>
      <w:r>
        <w:rPr>
          <w:rFonts w:hint="eastAsia" w:ascii="宋体" w:hAnsi="宋体" w:eastAsia="宋体" w:cs="宋体"/>
          <w:spacing w:val="-4"/>
          <w:sz w:val="32"/>
          <w:szCs w:val="32"/>
          <w:lang w:val="en-US" w:eastAsia="zh-CN" w:bidi="ar-SA"/>
        </w:rPr>
        <w:t>赤峰</w:t>
      </w:r>
      <w:r>
        <w:rPr>
          <w:rFonts w:hint="default" w:ascii="宋体" w:hAnsi="宋体" w:eastAsia="宋体" w:cs="宋体"/>
          <w:spacing w:val="-4"/>
          <w:sz w:val="32"/>
          <w:szCs w:val="32"/>
          <w:lang w:val="en-US" w:eastAsia="zh-CN" w:bidi="ar-SA"/>
        </w:rPr>
        <w:t>营商环境</w:t>
      </w:r>
      <w:r>
        <w:rPr>
          <w:rFonts w:hint="eastAsia" w:ascii="宋体" w:hAnsi="宋体" w:eastAsia="宋体" w:cs="宋体"/>
          <w:spacing w:val="-4"/>
          <w:sz w:val="32"/>
          <w:szCs w:val="32"/>
          <w:lang w:val="en-US" w:eastAsia="zh-CN" w:bidi="ar-SA"/>
        </w:rPr>
        <w:t>特色</w:t>
      </w:r>
      <w:r>
        <w:rPr>
          <w:rFonts w:hint="default" w:ascii="宋体" w:hAnsi="宋体" w:eastAsia="宋体" w:cs="宋体"/>
          <w:spacing w:val="-4"/>
          <w:sz w:val="32"/>
          <w:szCs w:val="32"/>
          <w:lang w:val="en-US" w:eastAsia="zh-CN" w:bidi="ar-SA"/>
        </w:rPr>
        <w:t>服务品牌，以品牌建设引领全市营商环境整体水平实现新跃升。</w:t>
      </w:r>
    </w:p>
    <w:p w14:paraId="0C201EEC">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eastAsia" w:ascii="宋体" w:hAnsi="宋体" w:eastAsia="宋体" w:cs="宋体"/>
          <w:spacing w:val="-4"/>
          <w:sz w:val="32"/>
          <w:szCs w:val="32"/>
          <w:lang w:val="en-US" w:eastAsia="zh-CN" w:bidi="ar-SA"/>
        </w:rPr>
      </w:pPr>
      <w:r>
        <w:rPr>
          <w:rFonts w:hint="eastAsia" w:ascii="宋体" w:hAnsi="宋体" w:eastAsia="宋体" w:cs="宋体"/>
          <w:spacing w:val="-4"/>
          <w:sz w:val="32"/>
          <w:szCs w:val="32"/>
          <w:lang w:val="en-US" w:eastAsia="zh-CN" w:bidi="ar-SA"/>
        </w:rPr>
        <w:t>（三）12345政务服务便民热线运行管理方面</w:t>
      </w:r>
    </w:p>
    <w:p w14:paraId="52649510">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default" w:ascii="宋体" w:hAnsi="宋体" w:eastAsia="宋体" w:cs="宋体"/>
          <w:spacing w:val="-4"/>
          <w:sz w:val="32"/>
          <w:szCs w:val="32"/>
          <w:lang w:val="en-US" w:eastAsia="zh-CN" w:bidi="ar-SA"/>
        </w:rPr>
      </w:pPr>
      <w:r>
        <w:rPr>
          <w:rFonts w:hint="default" w:ascii="宋体" w:hAnsi="宋体" w:eastAsia="宋体" w:cs="宋体"/>
          <w:spacing w:val="-4"/>
          <w:sz w:val="32"/>
          <w:szCs w:val="32"/>
          <w:lang w:val="en-US" w:eastAsia="zh-CN" w:bidi="ar-SA"/>
        </w:rPr>
        <w:t>一是持续整合热线资源。根据自治区“应并则并、能并则并”要求，做好热线整合、业务衔接及数据汇聚等工作。着力加强与“12328”“12329”主管部门的沟通协调，以整体归并的形式并入12345热线，巩固热线归并整合成果，实现一条热线听诉求，一张工单管全程。</w:t>
      </w:r>
    </w:p>
    <w:p w14:paraId="652469FE">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default" w:ascii="宋体" w:hAnsi="宋体" w:eastAsia="宋体" w:cs="宋体"/>
          <w:spacing w:val="-4"/>
          <w:sz w:val="32"/>
          <w:szCs w:val="32"/>
          <w:lang w:val="en-US" w:eastAsia="zh-CN" w:bidi="ar-SA"/>
        </w:rPr>
      </w:pPr>
      <w:r>
        <w:rPr>
          <w:rFonts w:hint="default" w:ascii="宋体" w:hAnsi="宋体" w:eastAsia="宋体" w:cs="宋体"/>
          <w:spacing w:val="-4"/>
          <w:sz w:val="32"/>
          <w:szCs w:val="32"/>
          <w:lang w:val="en-US" w:eastAsia="zh-CN" w:bidi="ar-SA"/>
        </w:rPr>
        <w:t>二是加强知识库更新维护。全力提升知识库引用率和直接答复率，加强日常维护与定期检查。协调采用统一格式更新知识信息，不断强化知识信息的合法性、时效性、准确性，为直办工作提供知识储备。</w:t>
      </w:r>
    </w:p>
    <w:p w14:paraId="330E9CAE">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default" w:ascii="宋体" w:hAnsi="宋体" w:eastAsia="宋体" w:cs="宋体"/>
          <w:spacing w:val="-4"/>
          <w:sz w:val="32"/>
          <w:szCs w:val="32"/>
          <w:lang w:val="en-US" w:eastAsia="zh-CN" w:bidi="ar-SA"/>
        </w:rPr>
      </w:pPr>
      <w:r>
        <w:rPr>
          <w:rFonts w:hint="eastAsia" w:ascii="宋体" w:hAnsi="宋体" w:eastAsia="宋体" w:cs="宋体"/>
          <w:spacing w:val="-4"/>
          <w:sz w:val="32"/>
          <w:szCs w:val="32"/>
          <w:lang w:val="en-US" w:eastAsia="zh-CN" w:bidi="ar-SA"/>
        </w:rPr>
        <w:t>三</w:t>
      </w:r>
      <w:r>
        <w:rPr>
          <w:rFonts w:hint="default" w:ascii="宋体" w:hAnsi="宋体" w:eastAsia="宋体" w:cs="宋体"/>
          <w:spacing w:val="-4"/>
          <w:sz w:val="32"/>
          <w:szCs w:val="32"/>
          <w:lang w:val="en-US" w:eastAsia="zh-CN" w:bidi="ar-SA"/>
        </w:rPr>
        <w:t>是完善疑难工单长效办理机制。建立健全超期预警机制，对工作长期落后的地区、单位发送提醒函；全面梳理疑难事项形成问题清单，对于涉及多部门或地区间职责交叉的事项，采取主办单位牵头、协办单位协同办理的形式处办，持续提升疑难复杂工单处置能力。</w:t>
      </w:r>
    </w:p>
    <w:p w14:paraId="6B9BD5CF">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default" w:ascii="宋体" w:hAnsi="宋体" w:eastAsia="宋体" w:cs="宋体"/>
          <w:spacing w:val="-4"/>
          <w:sz w:val="32"/>
          <w:szCs w:val="32"/>
          <w:lang w:val="en-US" w:eastAsia="zh-CN" w:bidi="ar-SA"/>
        </w:rPr>
      </w:pPr>
      <w:r>
        <w:rPr>
          <w:rFonts w:hint="eastAsia" w:ascii="宋体" w:hAnsi="宋体" w:eastAsia="宋体" w:cs="宋体"/>
          <w:spacing w:val="-4"/>
          <w:sz w:val="32"/>
          <w:szCs w:val="32"/>
          <w:lang w:val="en-US" w:eastAsia="zh-CN" w:bidi="ar-SA"/>
        </w:rPr>
        <w:t>四</w:t>
      </w:r>
      <w:r>
        <w:rPr>
          <w:rFonts w:hint="default" w:ascii="宋体" w:hAnsi="宋体" w:eastAsia="宋体" w:cs="宋体"/>
          <w:spacing w:val="-4"/>
          <w:sz w:val="32"/>
          <w:szCs w:val="32"/>
          <w:lang w:val="en-US" w:eastAsia="zh-CN" w:bidi="ar-SA"/>
        </w:rPr>
        <w:t>是持续畅通代表委员履职通道。更好发挥代表委员在密切沟通联系群众方面的重要作用，邀请参与跨部门、跨层级难点诉求办理，引导</w:t>
      </w:r>
      <w:r>
        <w:rPr>
          <w:rFonts w:hint="eastAsia" w:ascii="宋体" w:hAnsi="宋体" w:eastAsia="宋体" w:cs="宋体"/>
          <w:spacing w:val="-4"/>
          <w:sz w:val="32"/>
          <w:szCs w:val="32"/>
          <w:lang w:val="en-US" w:eastAsia="zh-CN" w:bidi="ar-SA"/>
        </w:rPr>
        <w:t>其</w:t>
      </w:r>
      <w:r>
        <w:rPr>
          <w:rFonts w:hint="default" w:ascii="宋体" w:hAnsi="宋体" w:eastAsia="宋体" w:cs="宋体"/>
          <w:spacing w:val="-4"/>
          <w:sz w:val="32"/>
          <w:szCs w:val="32"/>
          <w:lang w:val="en-US" w:eastAsia="zh-CN" w:bidi="ar-SA"/>
        </w:rPr>
        <w:t>常态化监督热线服务质量；收集采纳代表委员意见建议，不断改进热线工作，全面拓展代表委员常态化发挥作用的实践路径。</w:t>
      </w:r>
    </w:p>
    <w:p w14:paraId="765F60BB">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default" w:ascii="宋体" w:hAnsi="宋体" w:eastAsia="宋体" w:cs="宋体"/>
          <w:spacing w:val="-4"/>
          <w:sz w:val="32"/>
          <w:szCs w:val="32"/>
          <w:lang w:val="en-US" w:eastAsia="zh-CN" w:bidi="ar-SA"/>
        </w:rPr>
      </w:pPr>
      <w:r>
        <w:rPr>
          <w:rFonts w:hint="eastAsia" w:ascii="宋体" w:hAnsi="宋体" w:eastAsia="宋体" w:cs="宋体"/>
          <w:spacing w:val="-4"/>
          <w:sz w:val="32"/>
          <w:szCs w:val="32"/>
          <w:lang w:val="en-US" w:eastAsia="zh-CN" w:bidi="ar-SA"/>
        </w:rPr>
        <w:t>五</w:t>
      </w:r>
      <w:r>
        <w:rPr>
          <w:rFonts w:hint="default" w:ascii="宋体" w:hAnsi="宋体" w:eastAsia="宋体" w:cs="宋体"/>
          <w:spacing w:val="-4"/>
          <w:sz w:val="32"/>
          <w:szCs w:val="32"/>
          <w:lang w:val="en-US" w:eastAsia="zh-CN" w:bidi="ar-SA"/>
        </w:rPr>
        <w:t>是加大督办整改力度。对于自治区抽检结果为未解决、不满意的工单以及“三率”连续不达标的地区和单位，进行分级约谈；继续建立重点督办事项台账，通过会议督办、现场督办等形式，督促承办单位及时整改、高效处办、有效履职，切实提升工单解决率、满意率。</w:t>
      </w:r>
    </w:p>
    <w:p w14:paraId="6E81966F">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eastAsia" w:ascii="宋体" w:hAnsi="宋体" w:eastAsia="宋体" w:cs="宋体"/>
          <w:spacing w:val="-4"/>
          <w:sz w:val="32"/>
          <w:szCs w:val="32"/>
          <w:lang w:val="en-US" w:eastAsia="zh-CN" w:bidi="ar-SA"/>
        </w:rPr>
      </w:pPr>
      <w:r>
        <w:rPr>
          <w:rFonts w:hint="eastAsia" w:ascii="宋体" w:hAnsi="宋体" w:eastAsia="宋体" w:cs="宋体"/>
          <w:spacing w:val="-4"/>
          <w:sz w:val="32"/>
          <w:szCs w:val="32"/>
          <w:lang w:val="en-US" w:eastAsia="zh-CN" w:bidi="ar-SA"/>
        </w:rPr>
        <w:t>（四）市政务服务大厅管理方面</w:t>
      </w:r>
    </w:p>
    <w:p w14:paraId="1B36BB30">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default" w:ascii="宋体" w:hAnsi="宋体" w:eastAsia="宋体" w:cs="宋体"/>
          <w:spacing w:val="-4"/>
          <w:sz w:val="32"/>
          <w:szCs w:val="32"/>
          <w:lang w:val="en-US" w:eastAsia="zh-CN" w:bidi="ar-SA"/>
        </w:rPr>
      </w:pPr>
      <w:r>
        <w:rPr>
          <w:rFonts w:hint="eastAsia" w:ascii="宋体" w:hAnsi="宋体" w:eastAsia="宋体" w:cs="宋体"/>
          <w:spacing w:val="-4"/>
          <w:sz w:val="32"/>
          <w:szCs w:val="32"/>
          <w:lang w:val="en-US" w:eastAsia="zh-CN" w:bidi="ar-SA"/>
        </w:rPr>
        <w:t>一是</w:t>
      </w:r>
      <w:r>
        <w:rPr>
          <w:rFonts w:hint="default" w:ascii="宋体" w:hAnsi="宋体" w:eastAsia="宋体" w:cs="宋体"/>
          <w:spacing w:val="-4"/>
          <w:sz w:val="32"/>
          <w:szCs w:val="32"/>
          <w:lang w:val="en-US" w:eastAsia="zh-CN" w:bidi="ar-SA"/>
        </w:rPr>
        <w:t>推进“高效办成一件事”重点事项。以“高效办成一件事”的事项关联性为主要抓手，跨部门协同推进，快速反应，高效联动，推行“告知承诺+容缺受理”服务模式，优化企业服务专区运行模式，大力推进涉企经营审批事项集成办理，营造“高效办成一件事”良好氛围。</w:t>
      </w:r>
    </w:p>
    <w:p w14:paraId="26B6561D">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default" w:ascii="宋体" w:hAnsi="宋体" w:eastAsia="宋体" w:cs="宋体"/>
          <w:spacing w:val="-4"/>
          <w:sz w:val="32"/>
          <w:szCs w:val="32"/>
          <w:lang w:val="en-US" w:eastAsia="zh-CN" w:bidi="ar-SA"/>
        </w:rPr>
      </w:pPr>
      <w:r>
        <w:rPr>
          <w:rFonts w:hint="eastAsia" w:ascii="宋体" w:hAnsi="宋体" w:eastAsia="宋体" w:cs="宋体"/>
          <w:spacing w:val="-4"/>
          <w:sz w:val="32"/>
          <w:szCs w:val="32"/>
          <w:lang w:val="en-US" w:eastAsia="zh-CN" w:bidi="ar-SA"/>
        </w:rPr>
        <w:t>二是</w:t>
      </w:r>
      <w:r>
        <w:rPr>
          <w:rFonts w:hint="default" w:ascii="宋体" w:hAnsi="宋体" w:eastAsia="宋体" w:cs="宋体"/>
          <w:spacing w:val="-4"/>
          <w:sz w:val="32"/>
          <w:szCs w:val="32"/>
          <w:lang w:val="en-US" w:eastAsia="zh-CN" w:bidi="ar-SA"/>
        </w:rPr>
        <w:t>巩固综窗改革成果。形成稳定的“一窗受理”模式。让窗口服务人员实现“来件即收”。同时，通过政务服务网对外公布，为企业群众提供精准指导。研究分析一窗受理中的实际问题，重点从事项受理标准、资料流转、受理系统使用等方面，逐一排查难点、堵点，并及时反馈、加以解决。</w:t>
      </w:r>
    </w:p>
    <w:p w14:paraId="3596F49C">
      <w:pPr>
        <w:keepNext w:val="0"/>
        <w:keepLines w:val="0"/>
        <w:pageBreakBefore w:val="0"/>
        <w:widowControl w:val="0"/>
        <w:kinsoku w:val="0"/>
        <w:wordWrap/>
        <w:overflowPunct/>
        <w:topLinePunct w:val="0"/>
        <w:autoSpaceDE w:val="0"/>
        <w:autoSpaceDN w:val="0"/>
        <w:bidi w:val="0"/>
        <w:adjustRightInd w:val="0"/>
        <w:snapToGrid w:val="0"/>
        <w:spacing w:before="257" w:line="600" w:lineRule="exact"/>
        <w:ind w:left="0" w:right="6" w:firstLine="624" w:firstLineChars="200"/>
        <w:jc w:val="both"/>
        <w:textAlignment w:val="auto"/>
        <w:outlineLvl w:val="9"/>
        <w:rPr>
          <w:rFonts w:hint="default" w:ascii="宋体" w:hAnsi="宋体" w:eastAsia="宋体" w:cs="宋体"/>
          <w:spacing w:val="-4"/>
          <w:sz w:val="32"/>
          <w:szCs w:val="32"/>
          <w:lang w:val="en-US" w:eastAsia="zh-CN" w:bidi="ar-SA"/>
        </w:rPr>
      </w:pPr>
      <w:r>
        <w:rPr>
          <w:rFonts w:hint="eastAsia" w:ascii="宋体" w:hAnsi="宋体" w:eastAsia="宋体" w:cs="宋体"/>
          <w:spacing w:val="-4"/>
          <w:sz w:val="32"/>
          <w:szCs w:val="32"/>
          <w:lang w:val="en-US" w:eastAsia="zh-CN" w:bidi="ar-SA"/>
        </w:rPr>
        <w:t>三是</w:t>
      </w:r>
      <w:r>
        <w:rPr>
          <w:rFonts w:hint="default" w:ascii="宋体" w:hAnsi="宋体" w:eastAsia="宋体" w:cs="宋体"/>
          <w:spacing w:val="-4"/>
          <w:sz w:val="32"/>
          <w:szCs w:val="32"/>
          <w:lang w:val="en-US" w:eastAsia="zh-CN" w:bidi="ar-SA"/>
        </w:rPr>
        <w:t>持续优化助企服务。以企业服务专区为服务阵地，以“高效办成一件事”改革为指引，为企业提供个性化、定制化的“一件事”服务，在“企业之家”构建政策解读、政企对接、法律咨询、人才招聘等服务体系，提供全方位、个性化、精准化的政务服务。</w:t>
      </w:r>
    </w:p>
    <w:p w14:paraId="6CA228A3">
      <w:pPr>
        <w:pStyle w:val="4"/>
        <w:keepNext w:val="0"/>
        <w:keepLines w:val="0"/>
        <w:pageBreakBefore w:val="0"/>
        <w:widowControl w:val="0"/>
        <w:kinsoku w:val="0"/>
        <w:wordWrap/>
        <w:overflowPunct/>
        <w:topLinePunct w:val="0"/>
        <w:autoSpaceDE w:val="0"/>
        <w:autoSpaceDN w:val="0"/>
        <w:bidi w:val="0"/>
        <w:adjustRightInd w:val="0"/>
        <w:snapToGrid w:val="0"/>
        <w:spacing w:before="257"/>
        <w:ind w:left="1246" w:right="6"/>
        <w:jc w:val="both"/>
        <w:textAlignment w:val="auto"/>
      </w:pPr>
      <w:r>
        <w:t>第二部分  202</w:t>
      </w:r>
      <w:r>
        <w:rPr>
          <w:rFonts w:hint="eastAsia"/>
          <w:lang w:val="en-US" w:eastAsia="zh-CN"/>
        </w:rPr>
        <w:t>6</w:t>
      </w:r>
      <w:r>
        <w:rPr>
          <w:spacing w:val="-10"/>
        </w:rPr>
        <w:t xml:space="preserve"> 年单位预算安排情况说明</w:t>
      </w:r>
    </w:p>
    <w:p w14:paraId="7AD624A2">
      <w:pPr>
        <w:pStyle w:val="5"/>
        <w:keepNext w:val="0"/>
        <w:keepLines w:val="0"/>
        <w:pageBreakBefore w:val="0"/>
        <w:widowControl w:val="0"/>
        <w:kinsoku w:val="0"/>
        <w:wordWrap/>
        <w:overflowPunct/>
        <w:topLinePunct w:val="0"/>
        <w:autoSpaceDE w:val="0"/>
        <w:autoSpaceDN w:val="0"/>
        <w:bidi w:val="0"/>
        <w:adjustRightInd w:val="0"/>
        <w:snapToGrid w:val="0"/>
        <w:spacing w:before="11"/>
        <w:ind w:left="0" w:right="6"/>
        <w:textAlignment w:val="auto"/>
        <w:rPr>
          <w:sz w:val="35"/>
        </w:rPr>
      </w:pPr>
    </w:p>
    <w:p w14:paraId="026918B7">
      <w:pPr>
        <w:pStyle w:val="5"/>
        <w:keepNext w:val="0"/>
        <w:keepLines w:val="0"/>
        <w:pageBreakBefore w:val="0"/>
        <w:widowControl w:val="0"/>
        <w:kinsoku w:val="0"/>
        <w:wordWrap/>
        <w:overflowPunct/>
        <w:topLinePunct w:val="0"/>
        <w:autoSpaceDE w:val="0"/>
        <w:autoSpaceDN w:val="0"/>
        <w:bidi w:val="0"/>
        <w:adjustRightInd w:val="0"/>
        <w:snapToGrid w:val="0"/>
        <w:ind w:left="752" w:right="6"/>
        <w:textAlignment w:val="auto"/>
      </w:pPr>
      <w:r>
        <w:rPr>
          <w:spacing w:val="-5"/>
        </w:rPr>
        <w:t>一、收支预算总体情况说明</w:t>
      </w:r>
    </w:p>
    <w:p w14:paraId="13366696">
      <w:pPr>
        <w:pStyle w:val="5"/>
        <w:keepNext w:val="0"/>
        <w:keepLines w:val="0"/>
        <w:pageBreakBefore w:val="0"/>
        <w:widowControl w:val="0"/>
        <w:kinsoku w:val="0"/>
        <w:wordWrap/>
        <w:overflowPunct/>
        <w:topLinePunct w:val="0"/>
        <w:autoSpaceDE w:val="0"/>
        <w:autoSpaceDN w:val="0"/>
        <w:bidi w:val="0"/>
        <w:adjustRightInd w:val="0"/>
        <w:snapToGrid w:val="0"/>
        <w:spacing w:before="161"/>
        <w:ind w:left="752" w:right="6"/>
        <w:textAlignment w:val="auto"/>
      </w:pPr>
      <w:r>
        <w:rPr>
          <w:spacing w:val="-7"/>
        </w:rPr>
        <w:t xml:space="preserve">赤峰市营商环境促进中心单位 </w:t>
      </w:r>
      <w:r>
        <w:rPr>
          <w:spacing w:val="-4"/>
        </w:rPr>
        <w:t>202</w:t>
      </w:r>
      <w:r>
        <w:rPr>
          <w:rFonts w:hint="eastAsia"/>
          <w:spacing w:val="-4"/>
          <w:lang w:val="en-US" w:eastAsia="zh-CN"/>
        </w:rPr>
        <w:t>6</w:t>
      </w:r>
      <w:r>
        <w:rPr>
          <w:spacing w:val="-10"/>
        </w:rPr>
        <w:t xml:space="preserve"> 年度收入、支出预算总</w:t>
      </w:r>
    </w:p>
    <w:p w14:paraId="2B0614E9">
      <w:pPr>
        <w:pStyle w:val="5"/>
        <w:keepNext w:val="0"/>
        <w:keepLines w:val="0"/>
        <w:pageBreakBefore w:val="0"/>
        <w:widowControl w:val="0"/>
        <w:kinsoku w:val="0"/>
        <w:wordWrap/>
        <w:overflowPunct/>
        <w:topLinePunct w:val="0"/>
        <w:autoSpaceDE w:val="0"/>
        <w:autoSpaceDN w:val="0"/>
        <w:bidi w:val="0"/>
        <w:adjustRightInd w:val="0"/>
        <w:snapToGrid w:val="0"/>
        <w:spacing w:before="159" w:line="333" w:lineRule="auto"/>
        <w:ind w:right="6"/>
        <w:textAlignment w:val="auto"/>
      </w:pPr>
      <w:r>
        <w:rPr>
          <w:spacing w:val="-31"/>
        </w:rPr>
        <w:t xml:space="preserve">计 </w:t>
      </w:r>
      <w:r>
        <w:rPr>
          <w:rFonts w:hint="eastAsia"/>
          <w:spacing w:val="-2"/>
          <w:lang w:val="en-US" w:eastAsia="zh-CN"/>
        </w:rPr>
        <w:t>1210.75</w:t>
      </w:r>
      <w:r>
        <w:rPr>
          <w:spacing w:val="-13"/>
        </w:rPr>
        <w:t xml:space="preserve"> 万元，与上年相比收、支预算总计各减少 </w:t>
      </w:r>
      <w:r>
        <w:rPr>
          <w:rFonts w:hint="eastAsia"/>
          <w:spacing w:val="-2"/>
          <w:lang w:val="en-US" w:eastAsia="zh-CN"/>
        </w:rPr>
        <w:t>18.16</w:t>
      </w:r>
      <w:r>
        <w:rPr>
          <w:spacing w:val="-32"/>
        </w:rPr>
        <w:t xml:space="preserve"> 万</w:t>
      </w:r>
      <w:r>
        <w:rPr>
          <w:spacing w:val="-9"/>
        </w:rPr>
        <w:t xml:space="preserve">元，减少 </w:t>
      </w:r>
      <w:r>
        <w:rPr>
          <w:rFonts w:hint="eastAsia"/>
          <w:lang w:val="en-US" w:eastAsia="zh-CN"/>
        </w:rPr>
        <w:t>1.48</w:t>
      </w:r>
      <w:r>
        <w:t>%。其中：</w:t>
      </w:r>
    </w:p>
    <w:p w14:paraId="0C1905EE">
      <w:pPr>
        <w:pStyle w:val="5"/>
        <w:keepNext w:val="0"/>
        <w:keepLines w:val="0"/>
        <w:pageBreakBefore w:val="0"/>
        <w:widowControl w:val="0"/>
        <w:kinsoku w:val="0"/>
        <w:wordWrap/>
        <w:overflowPunct/>
        <w:topLinePunct w:val="0"/>
        <w:autoSpaceDE w:val="0"/>
        <w:autoSpaceDN w:val="0"/>
        <w:bidi w:val="0"/>
        <w:adjustRightInd w:val="0"/>
        <w:snapToGrid w:val="0"/>
        <w:ind w:left="752" w:right="6"/>
        <w:textAlignment w:val="auto"/>
      </w:pPr>
      <w:r>
        <w:rPr>
          <w:spacing w:val="-4"/>
        </w:rPr>
        <w:t>（一）</w:t>
      </w:r>
      <w:r>
        <w:rPr>
          <w:spacing w:val="-13"/>
        </w:rPr>
        <w:t xml:space="preserve">收入预算总计 </w:t>
      </w:r>
      <w:r>
        <w:rPr>
          <w:rFonts w:hint="eastAsia"/>
          <w:spacing w:val="-4"/>
          <w:lang w:val="en-US" w:eastAsia="zh-CN"/>
        </w:rPr>
        <w:t>1163.66</w:t>
      </w:r>
      <w:r>
        <w:rPr>
          <w:spacing w:val="-14"/>
        </w:rPr>
        <w:t>万元。包括：</w:t>
      </w:r>
    </w:p>
    <w:p w14:paraId="36D729F2">
      <w:pPr>
        <w:pStyle w:val="12"/>
        <w:keepNext w:val="0"/>
        <w:keepLines w:val="0"/>
        <w:pageBreakBefore w:val="0"/>
        <w:widowControl w:val="0"/>
        <w:numPr>
          <w:ilvl w:val="0"/>
          <w:numId w:val="3"/>
        </w:numPr>
        <w:tabs>
          <w:tab w:val="left" w:pos="1231"/>
        </w:tabs>
        <w:kinsoku w:val="0"/>
        <w:wordWrap/>
        <w:overflowPunct/>
        <w:topLinePunct w:val="0"/>
        <w:autoSpaceDE w:val="0"/>
        <w:autoSpaceDN w:val="0"/>
        <w:bidi w:val="0"/>
        <w:adjustRightInd w:val="0"/>
        <w:snapToGrid w:val="0"/>
        <w:spacing w:before="162" w:after="0" w:line="240" w:lineRule="auto"/>
        <w:ind w:left="1231" w:right="6" w:hanging="479"/>
        <w:jc w:val="left"/>
        <w:textAlignment w:val="auto"/>
        <w:rPr>
          <w:sz w:val="32"/>
        </w:rPr>
      </w:pPr>
      <w:r>
        <w:rPr>
          <w:spacing w:val="-13"/>
          <w:sz w:val="32"/>
        </w:rPr>
        <w:t xml:space="preserve">本年收入合计 </w:t>
      </w:r>
      <w:r>
        <w:rPr>
          <w:rFonts w:hint="eastAsia"/>
          <w:spacing w:val="-4"/>
          <w:sz w:val="32"/>
          <w:lang w:val="en-US" w:eastAsia="zh-CN"/>
        </w:rPr>
        <w:t>1163.66</w:t>
      </w:r>
      <w:r>
        <w:rPr>
          <w:spacing w:val="-22"/>
          <w:sz w:val="32"/>
        </w:rPr>
        <w:t xml:space="preserve"> 万元。</w:t>
      </w:r>
    </w:p>
    <w:p w14:paraId="4088E545">
      <w:pPr>
        <w:pStyle w:val="12"/>
        <w:keepNext w:val="0"/>
        <w:keepLines w:val="0"/>
        <w:pageBreakBefore w:val="0"/>
        <w:widowControl w:val="0"/>
        <w:numPr>
          <w:ilvl w:val="0"/>
          <w:numId w:val="4"/>
        </w:numPr>
        <w:tabs>
          <w:tab w:val="left" w:pos="1457"/>
        </w:tabs>
        <w:kinsoku w:val="0"/>
        <w:wordWrap/>
        <w:overflowPunct/>
        <w:topLinePunct w:val="0"/>
        <w:autoSpaceDE w:val="0"/>
        <w:autoSpaceDN w:val="0"/>
        <w:bidi w:val="0"/>
        <w:adjustRightInd w:val="0"/>
        <w:snapToGrid w:val="0"/>
        <w:spacing w:before="27" w:after="0" w:line="333" w:lineRule="auto"/>
        <w:ind w:left="111" w:right="6" w:firstLine="640"/>
        <w:jc w:val="left"/>
        <w:textAlignment w:val="auto"/>
        <w:rPr>
          <w:sz w:val="32"/>
        </w:rPr>
      </w:pPr>
      <w:r>
        <w:rPr>
          <w:sz w:val="32"/>
        </w:rPr>
        <w:t xml:space="preserve">一般公共预算拨款收入 </w:t>
      </w:r>
      <w:r>
        <w:rPr>
          <w:rFonts w:hint="eastAsia"/>
          <w:sz w:val="32"/>
          <w:lang w:val="en-US" w:eastAsia="zh-CN"/>
        </w:rPr>
        <w:t>1163.66</w:t>
      </w:r>
      <w:r>
        <w:rPr>
          <w:sz w:val="32"/>
        </w:rPr>
        <w:t xml:space="preserve"> 万元，与上年相比</w:t>
      </w:r>
      <w:r>
        <w:rPr>
          <w:rFonts w:hint="eastAsia"/>
          <w:sz w:val="32"/>
          <w:lang w:val="en-US" w:eastAsia="zh-CN"/>
        </w:rPr>
        <w:t>增加15.79</w:t>
      </w:r>
      <w:r>
        <w:rPr>
          <w:spacing w:val="-25"/>
          <w:sz w:val="32"/>
        </w:rPr>
        <w:t>万元，</w:t>
      </w:r>
      <w:r>
        <w:rPr>
          <w:rFonts w:hint="eastAsia"/>
          <w:spacing w:val="-25"/>
          <w:sz w:val="32"/>
          <w:lang w:val="en-US" w:eastAsia="zh-CN"/>
        </w:rPr>
        <w:t>增加1.38</w:t>
      </w:r>
      <w:r>
        <w:rPr>
          <w:spacing w:val="-2"/>
          <w:sz w:val="32"/>
        </w:rPr>
        <w:t>%。主要原因是</w:t>
      </w:r>
      <w:r>
        <w:rPr>
          <w:rFonts w:hint="eastAsia"/>
          <w:spacing w:val="-2"/>
          <w:sz w:val="32"/>
          <w:lang w:val="en-US" w:eastAsia="zh-CN"/>
        </w:rPr>
        <w:t>2025年中心新进5名工作人员。</w:t>
      </w:r>
      <w:r>
        <w:rPr>
          <w:spacing w:val="-8"/>
          <w:sz w:val="32"/>
        </w:rPr>
        <w:t xml:space="preserve">政府性基金预算拨款收入 </w:t>
      </w:r>
      <w:r>
        <w:rPr>
          <w:spacing w:val="-2"/>
          <w:sz w:val="32"/>
        </w:rPr>
        <w:t>0</w:t>
      </w:r>
      <w:r>
        <w:rPr>
          <w:spacing w:val="-27"/>
          <w:sz w:val="32"/>
        </w:rPr>
        <w:t xml:space="preserve"> 万元，与上年相比增加</w:t>
      </w:r>
      <w:r>
        <w:rPr>
          <w:spacing w:val="-2"/>
          <w:sz w:val="32"/>
        </w:rPr>
        <w:t>（减</w:t>
      </w:r>
      <w:r>
        <w:rPr>
          <w:sz w:val="32"/>
        </w:rPr>
        <w:t>少）0</w:t>
      </w:r>
      <w:r>
        <w:rPr>
          <w:spacing w:val="-7"/>
          <w:sz w:val="32"/>
        </w:rPr>
        <w:t xml:space="preserve"> 万元，增长 </w:t>
      </w:r>
      <w:r>
        <w:rPr>
          <w:sz w:val="32"/>
        </w:rPr>
        <w:t>0%。主要原因是不存在此项内容。</w:t>
      </w:r>
    </w:p>
    <w:p w14:paraId="63C1F0F3">
      <w:pPr>
        <w:pStyle w:val="12"/>
        <w:keepNext w:val="0"/>
        <w:keepLines w:val="0"/>
        <w:pageBreakBefore w:val="0"/>
        <w:widowControl w:val="0"/>
        <w:numPr>
          <w:ilvl w:val="0"/>
          <w:numId w:val="4"/>
        </w:numPr>
        <w:tabs>
          <w:tab w:val="left" w:pos="1552"/>
        </w:tabs>
        <w:kinsoku w:val="0"/>
        <w:wordWrap/>
        <w:overflowPunct/>
        <w:topLinePunct w:val="0"/>
        <w:autoSpaceDE w:val="0"/>
        <w:autoSpaceDN w:val="0"/>
        <w:bidi w:val="0"/>
        <w:adjustRightInd w:val="0"/>
        <w:snapToGrid w:val="0"/>
        <w:spacing w:before="0" w:after="0" w:line="240" w:lineRule="auto"/>
        <w:ind w:left="1552" w:right="6" w:hanging="800"/>
        <w:jc w:val="left"/>
        <w:textAlignment w:val="auto"/>
        <w:rPr>
          <w:sz w:val="32"/>
        </w:rPr>
      </w:pPr>
      <w:r>
        <w:rPr>
          <w:spacing w:val="-7"/>
          <w:sz w:val="32"/>
        </w:rPr>
        <w:t xml:space="preserve">国有资本经营预算拨款收入 </w:t>
      </w:r>
      <w:r>
        <w:rPr>
          <w:spacing w:val="-4"/>
          <w:sz w:val="32"/>
        </w:rPr>
        <w:t>0</w:t>
      </w:r>
      <w:r>
        <w:rPr>
          <w:spacing w:val="-10"/>
          <w:sz w:val="32"/>
        </w:rPr>
        <w:t xml:space="preserve"> 万元，与上年相比增加</w:t>
      </w:r>
    </w:p>
    <w:p w14:paraId="194EECE7">
      <w:pPr>
        <w:pStyle w:val="5"/>
        <w:keepNext w:val="0"/>
        <w:keepLines w:val="0"/>
        <w:pageBreakBefore w:val="0"/>
        <w:widowControl w:val="0"/>
        <w:kinsoku w:val="0"/>
        <w:wordWrap/>
        <w:overflowPunct/>
        <w:topLinePunct w:val="0"/>
        <w:autoSpaceDE w:val="0"/>
        <w:autoSpaceDN w:val="0"/>
        <w:bidi w:val="0"/>
        <w:adjustRightInd w:val="0"/>
        <w:snapToGrid w:val="0"/>
        <w:spacing w:before="159"/>
        <w:ind w:right="6"/>
        <w:textAlignment w:val="auto"/>
      </w:pPr>
      <w:r>
        <w:rPr>
          <w:spacing w:val="-10"/>
        </w:rPr>
        <w:t>（减少）0</w:t>
      </w:r>
      <w:r>
        <w:rPr>
          <w:spacing w:val="-19"/>
        </w:rPr>
        <w:t xml:space="preserve"> 万元，增长</w:t>
      </w:r>
      <w:r>
        <w:rPr>
          <w:spacing w:val="-10"/>
        </w:rPr>
        <w:t>（减少）0%。主要原因是不存在此项内容。</w:t>
      </w:r>
    </w:p>
    <w:p w14:paraId="579A3CA7">
      <w:pPr>
        <w:pStyle w:val="12"/>
        <w:keepNext w:val="0"/>
        <w:keepLines w:val="0"/>
        <w:pageBreakBefore w:val="0"/>
        <w:widowControl w:val="0"/>
        <w:numPr>
          <w:ilvl w:val="0"/>
          <w:numId w:val="4"/>
        </w:numPr>
        <w:tabs>
          <w:tab w:val="left" w:pos="1551"/>
        </w:tabs>
        <w:kinsoku w:val="0"/>
        <w:wordWrap/>
        <w:overflowPunct/>
        <w:topLinePunct w:val="0"/>
        <w:autoSpaceDE w:val="0"/>
        <w:autoSpaceDN w:val="0"/>
        <w:bidi w:val="0"/>
        <w:adjustRightInd w:val="0"/>
        <w:snapToGrid w:val="0"/>
        <w:spacing w:before="161" w:after="0" w:line="333" w:lineRule="auto"/>
        <w:ind w:left="111" w:right="6" w:firstLine="640"/>
        <w:jc w:val="left"/>
        <w:textAlignment w:val="auto"/>
        <w:rPr>
          <w:sz w:val="32"/>
        </w:rPr>
      </w:pPr>
      <w:r>
        <w:rPr>
          <w:spacing w:val="-7"/>
          <w:sz w:val="32"/>
        </w:rPr>
        <w:t xml:space="preserve">财政专户管理资金收入 </w:t>
      </w:r>
      <w:r>
        <w:rPr>
          <w:spacing w:val="-2"/>
          <w:sz w:val="32"/>
        </w:rPr>
        <w:t>0</w:t>
      </w:r>
      <w:r>
        <w:rPr>
          <w:spacing w:val="-10"/>
          <w:sz w:val="32"/>
        </w:rPr>
        <w:t xml:space="preserve"> 万元，与上年相比增加</w:t>
      </w:r>
      <w:r>
        <w:rPr>
          <w:spacing w:val="-2"/>
          <w:sz w:val="32"/>
        </w:rPr>
        <w:t>（减</w:t>
      </w:r>
      <w:r>
        <w:rPr>
          <w:sz w:val="32"/>
        </w:rPr>
        <w:t>少）0</w:t>
      </w:r>
      <w:r>
        <w:rPr>
          <w:spacing w:val="-9"/>
          <w:sz w:val="32"/>
        </w:rPr>
        <w:t xml:space="preserve"> 万元，增长</w:t>
      </w:r>
      <w:r>
        <w:rPr>
          <w:sz w:val="32"/>
        </w:rPr>
        <w:t>（减少）0%。主要原因是不存在此项内容。</w:t>
      </w:r>
    </w:p>
    <w:p w14:paraId="36F54A52">
      <w:pPr>
        <w:pStyle w:val="12"/>
        <w:keepNext w:val="0"/>
        <w:keepLines w:val="0"/>
        <w:pageBreakBefore w:val="0"/>
        <w:widowControl w:val="0"/>
        <w:numPr>
          <w:ilvl w:val="0"/>
          <w:numId w:val="4"/>
        </w:numPr>
        <w:tabs>
          <w:tab w:val="left" w:pos="1551"/>
        </w:tabs>
        <w:kinsoku w:val="0"/>
        <w:wordWrap/>
        <w:overflowPunct/>
        <w:topLinePunct w:val="0"/>
        <w:autoSpaceDE w:val="0"/>
        <w:autoSpaceDN w:val="0"/>
        <w:bidi w:val="0"/>
        <w:adjustRightInd w:val="0"/>
        <w:snapToGrid w:val="0"/>
        <w:spacing w:before="0" w:after="0" w:line="333" w:lineRule="auto"/>
        <w:ind w:left="111" w:right="6" w:firstLine="640"/>
        <w:jc w:val="left"/>
        <w:textAlignment w:val="auto"/>
        <w:rPr>
          <w:sz w:val="32"/>
        </w:rPr>
      </w:pPr>
      <w:r>
        <w:rPr>
          <w:spacing w:val="-8"/>
          <w:sz w:val="32"/>
        </w:rPr>
        <w:t xml:space="preserve">事业收入 </w:t>
      </w:r>
      <w:r>
        <w:rPr>
          <w:sz w:val="32"/>
        </w:rPr>
        <w:t>0</w:t>
      </w:r>
      <w:r>
        <w:rPr>
          <w:spacing w:val="-7"/>
          <w:sz w:val="32"/>
        </w:rPr>
        <w:t xml:space="preserve"> 万元，与上年相比增加</w:t>
      </w:r>
      <w:r>
        <w:rPr>
          <w:sz w:val="32"/>
        </w:rPr>
        <w:t>（减少）0</w:t>
      </w:r>
      <w:r>
        <w:rPr>
          <w:spacing w:val="-11"/>
          <w:sz w:val="32"/>
        </w:rPr>
        <w:t xml:space="preserve"> 万元，</w:t>
      </w:r>
      <w:r>
        <w:rPr>
          <w:spacing w:val="-2"/>
          <w:sz w:val="32"/>
        </w:rPr>
        <w:t>增长（减少）0%。主要原因是不存在此项内容。</w:t>
      </w:r>
    </w:p>
    <w:p w14:paraId="76F2B5C9">
      <w:pPr>
        <w:pStyle w:val="12"/>
        <w:keepNext w:val="0"/>
        <w:keepLines w:val="0"/>
        <w:pageBreakBefore w:val="0"/>
        <w:widowControl w:val="0"/>
        <w:numPr>
          <w:ilvl w:val="0"/>
          <w:numId w:val="4"/>
        </w:numPr>
        <w:tabs>
          <w:tab w:val="left" w:pos="1522"/>
        </w:tabs>
        <w:kinsoku w:val="0"/>
        <w:wordWrap/>
        <w:overflowPunct/>
        <w:topLinePunct w:val="0"/>
        <w:autoSpaceDE w:val="0"/>
        <w:autoSpaceDN w:val="0"/>
        <w:bidi w:val="0"/>
        <w:adjustRightInd w:val="0"/>
        <w:snapToGrid w:val="0"/>
        <w:spacing w:before="1" w:after="0" w:line="333" w:lineRule="auto"/>
        <w:ind w:left="111" w:right="6" w:firstLine="640"/>
        <w:jc w:val="left"/>
        <w:textAlignment w:val="auto"/>
        <w:rPr>
          <w:sz w:val="32"/>
        </w:rPr>
      </w:pPr>
      <w:r>
        <w:rPr>
          <w:spacing w:val="-13"/>
          <w:sz w:val="32"/>
        </w:rPr>
        <w:t xml:space="preserve">事业单位经营收入 </w:t>
      </w:r>
      <w:r>
        <w:rPr>
          <w:spacing w:val="-4"/>
          <w:sz w:val="32"/>
        </w:rPr>
        <w:t>0</w:t>
      </w:r>
      <w:r>
        <w:rPr>
          <w:spacing w:val="-13"/>
          <w:sz w:val="32"/>
        </w:rPr>
        <w:t xml:space="preserve"> 万元，与上年相比增加</w:t>
      </w:r>
      <w:r>
        <w:rPr>
          <w:spacing w:val="-4"/>
          <w:sz w:val="32"/>
        </w:rPr>
        <w:t>（减少）0</w:t>
      </w:r>
      <w:r>
        <w:rPr>
          <w:spacing w:val="-2"/>
          <w:sz w:val="32"/>
        </w:rPr>
        <w:t>万元，增长（减少）0%。主要原因是不存在此项内容。</w:t>
      </w:r>
    </w:p>
    <w:p w14:paraId="09E5929A">
      <w:pPr>
        <w:pStyle w:val="12"/>
        <w:keepNext w:val="0"/>
        <w:keepLines w:val="0"/>
        <w:pageBreakBefore w:val="0"/>
        <w:widowControl w:val="0"/>
        <w:numPr>
          <w:ilvl w:val="0"/>
          <w:numId w:val="4"/>
        </w:numPr>
        <w:tabs>
          <w:tab w:val="left" w:pos="1551"/>
        </w:tabs>
        <w:kinsoku w:val="0"/>
        <w:wordWrap/>
        <w:overflowPunct/>
        <w:topLinePunct w:val="0"/>
        <w:autoSpaceDE w:val="0"/>
        <w:autoSpaceDN w:val="0"/>
        <w:bidi w:val="0"/>
        <w:adjustRightInd w:val="0"/>
        <w:snapToGrid w:val="0"/>
        <w:spacing w:before="0" w:after="0" w:line="333" w:lineRule="auto"/>
        <w:ind w:left="111" w:right="6" w:firstLine="640"/>
        <w:jc w:val="left"/>
        <w:textAlignment w:val="auto"/>
        <w:rPr>
          <w:sz w:val="32"/>
        </w:rPr>
      </w:pPr>
      <w:r>
        <w:rPr>
          <w:spacing w:val="-6"/>
          <w:sz w:val="32"/>
        </w:rPr>
        <w:t xml:space="preserve">上级补助收入 </w:t>
      </w:r>
      <w:r>
        <w:rPr>
          <w:sz w:val="32"/>
        </w:rPr>
        <w:t>0</w:t>
      </w:r>
      <w:r>
        <w:rPr>
          <w:spacing w:val="-7"/>
          <w:sz w:val="32"/>
        </w:rPr>
        <w:t xml:space="preserve"> 万元，与上年相比增加</w:t>
      </w:r>
      <w:r>
        <w:rPr>
          <w:sz w:val="32"/>
        </w:rPr>
        <w:t>（减少）0</w:t>
      </w:r>
      <w:r>
        <w:rPr>
          <w:spacing w:val="-20"/>
          <w:sz w:val="32"/>
        </w:rPr>
        <w:t xml:space="preserve"> 万</w:t>
      </w:r>
      <w:r>
        <w:rPr>
          <w:spacing w:val="-2"/>
          <w:sz w:val="32"/>
        </w:rPr>
        <w:t>元，增长（减少）0%。主要原因是不存在此项内容。</w:t>
      </w:r>
    </w:p>
    <w:p w14:paraId="1238C949">
      <w:pPr>
        <w:pStyle w:val="12"/>
        <w:keepNext w:val="0"/>
        <w:keepLines w:val="0"/>
        <w:pageBreakBefore w:val="0"/>
        <w:widowControl w:val="0"/>
        <w:numPr>
          <w:ilvl w:val="0"/>
          <w:numId w:val="4"/>
        </w:numPr>
        <w:tabs>
          <w:tab w:val="left" w:pos="1552"/>
        </w:tabs>
        <w:kinsoku w:val="0"/>
        <w:wordWrap/>
        <w:overflowPunct/>
        <w:topLinePunct w:val="0"/>
        <w:autoSpaceDE w:val="0"/>
        <w:autoSpaceDN w:val="0"/>
        <w:bidi w:val="0"/>
        <w:adjustRightInd w:val="0"/>
        <w:snapToGrid w:val="0"/>
        <w:spacing w:before="0" w:after="0" w:line="240" w:lineRule="auto"/>
        <w:ind w:left="1552" w:right="6" w:hanging="800"/>
        <w:jc w:val="left"/>
        <w:textAlignment w:val="auto"/>
        <w:rPr>
          <w:sz w:val="32"/>
        </w:rPr>
      </w:pPr>
      <w:r>
        <w:rPr>
          <w:spacing w:val="-9"/>
          <w:sz w:val="32"/>
        </w:rPr>
        <w:t xml:space="preserve">附属单位上缴收入 </w:t>
      </w:r>
      <w:r>
        <w:rPr>
          <w:spacing w:val="-4"/>
          <w:sz w:val="32"/>
        </w:rPr>
        <w:t>0</w:t>
      </w:r>
      <w:r>
        <w:rPr>
          <w:spacing w:val="-10"/>
          <w:sz w:val="32"/>
        </w:rPr>
        <w:t xml:space="preserve"> 万元，与上年相比增加</w:t>
      </w:r>
      <w:r>
        <w:rPr>
          <w:spacing w:val="-4"/>
          <w:sz w:val="32"/>
        </w:rPr>
        <w:t>（减少</w:t>
      </w:r>
      <w:r>
        <w:rPr>
          <w:spacing w:val="-10"/>
          <w:sz w:val="32"/>
        </w:rPr>
        <w:t>）</w:t>
      </w:r>
    </w:p>
    <w:p w14:paraId="6924F884">
      <w:pPr>
        <w:pStyle w:val="5"/>
        <w:keepNext w:val="0"/>
        <w:keepLines w:val="0"/>
        <w:pageBreakBefore w:val="0"/>
        <w:widowControl w:val="0"/>
        <w:kinsoku w:val="0"/>
        <w:wordWrap/>
        <w:overflowPunct/>
        <w:topLinePunct w:val="0"/>
        <w:autoSpaceDE w:val="0"/>
        <w:autoSpaceDN w:val="0"/>
        <w:bidi w:val="0"/>
        <w:adjustRightInd w:val="0"/>
        <w:snapToGrid w:val="0"/>
        <w:spacing w:before="159"/>
        <w:ind w:right="6"/>
        <w:textAlignment w:val="auto"/>
      </w:pPr>
      <w:r>
        <w:rPr>
          <w:spacing w:val="-4"/>
        </w:rPr>
        <w:t>0</w:t>
      </w:r>
      <w:r>
        <w:rPr>
          <w:spacing w:val="-12"/>
        </w:rPr>
        <w:t xml:space="preserve"> 万元，增长</w:t>
      </w:r>
      <w:r>
        <w:rPr>
          <w:spacing w:val="-4"/>
        </w:rPr>
        <w:t>（减少）0</w:t>
      </w:r>
      <w:r>
        <w:rPr>
          <w:spacing w:val="-5"/>
        </w:rPr>
        <w:t>%。主要原因是不存在此项内容。</w:t>
      </w:r>
    </w:p>
    <w:p w14:paraId="0CCA1B62">
      <w:pPr>
        <w:pStyle w:val="12"/>
        <w:keepNext w:val="0"/>
        <w:keepLines w:val="0"/>
        <w:pageBreakBefore w:val="0"/>
        <w:widowControl w:val="0"/>
        <w:numPr>
          <w:ilvl w:val="0"/>
          <w:numId w:val="4"/>
        </w:numPr>
        <w:tabs>
          <w:tab w:val="left" w:pos="1551"/>
        </w:tabs>
        <w:kinsoku w:val="0"/>
        <w:wordWrap/>
        <w:overflowPunct/>
        <w:topLinePunct w:val="0"/>
        <w:autoSpaceDE w:val="0"/>
        <w:autoSpaceDN w:val="0"/>
        <w:bidi w:val="0"/>
        <w:adjustRightInd w:val="0"/>
        <w:snapToGrid w:val="0"/>
        <w:spacing w:before="162" w:after="0" w:line="333" w:lineRule="auto"/>
        <w:ind w:left="111" w:right="6" w:firstLine="640"/>
        <w:jc w:val="left"/>
        <w:textAlignment w:val="auto"/>
        <w:rPr>
          <w:sz w:val="32"/>
        </w:rPr>
      </w:pPr>
      <w:r>
        <w:rPr>
          <w:spacing w:val="-8"/>
          <w:sz w:val="32"/>
        </w:rPr>
        <w:t xml:space="preserve">其他收入 </w:t>
      </w:r>
      <w:r>
        <w:rPr>
          <w:sz w:val="32"/>
        </w:rPr>
        <w:t>0</w:t>
      </w:r>
      <w:r>
        <w:rPr>
          <w:spacing w:val="-7"/>
          <w:sz w:val="32"/>
        </w:rPr>
        <w:t xml:space="preserve"> 万元，与上年相比增加</w:t>
      </w:r>
      <w:r>
        <w:rPr>
          <w:sz w:val="32"/>
        </w:rPr>
        <w:t>（减少）0</w:t>
      </w:r>
      <w:r>
        <w:rPr>
          <w:spacing w:val="-11"/>
          <w:sz w:val="32"/>
        </w:rPr>
        <w:t xml:space="preserve"> 万元，</w:t>
      </w:r>
      <w:r>
        <w:rPr>
          <w:spacing w:val="-2"/>
          <w:sz w:val="32"/>
        </w:rPr>
        <w:t>增长（减少）0%。主要原因是不存在此项内容。</w:t>
      </w:r>
    </w:p>
    <w:p w14:paraId="4B6D7C4B">
      <w:pPr>
        <w:pStyle w:val="12"/>
        <w:keepNext w:val="0"/>
        <w:keepLines w:val="0"/>
        <w:pageBreakBefore w:val="0"/>
        <w:widowControl w:val="0"/>
        <w:numPr>
          <w:ilvl w:val="0"/>
          <w:numId w:val="3"/>
        </w:numPr>
        <w:tabs>
          <w:tab w:val="left" w:pos="1093"/>
        </w:tabs>
        <w:kinsoku w:val="0"/>
        <w:wordWrap/>
        <w:overflowPunct/>
        <w:topLinePunct w:val="0"/>
        <w:autoSpaceDE w:val="0"/>
        <w:autoSpaceDN w:val="0"/>
        <w:bidi w:val="0"/>
        <w:adjustRightInd w:val="0"/>
        <w:snapToGrid w:val="0"/>
        <w:spacing w:before="0" w:after="0" w:line="333" w:lineRule="auto"/>
        <w:ind w:left="111" w:right="6" w:firstLine="640"/>
        <w:jc w:val="left"/>
        <w:textAlignment w:val="auto"/>
        <w:rPr>
          <w:sz w:val="32"/>
        </w:rPr>
      </w:pPr>
      <w:r>
        <w:rPr>
          <w:spacing w:val="-13"/>
          <w:sz w:val="32"/>
        </w:rPr>
        <w:t xml:space="preserve">上年结转结余 </w:t>
      </w:r>
      <w:r>
        <w:rPr>
          <w:rFonts w:hint="eastAsia"/>
          <w:spacing w:val="-2"/>
          <w:sz w:val="32"/>
          <w:lang w:val="en-US" w:eastAsia="zh-CN"/>
        </w:rPr>
        <w:t>47.09</w:t>
      </w:r>
      <w:r>
        <w:rPr>
          <w:spacing w:val="-28"/>
          <w:sz w:val="32"/>
        </w:rPr>
        <w:t xml:space="preserve">万元。与上年相比减少 </w:t>
      </w:r>
      <w:r>
        <w:rPr>
          <w:rFonts w:hint="eastAsia"/>
          <w:spacing w:val="-2"/>
          <w:sz w:val="32"/>
          <w:lang w:val="en-US" w:eastAsia="zh-CN"/>
        </w:rPr>
        <w:t>33.95</w:t>
      </w:r>
      <w:r>
        <w:rPr>
          <w:spacing w:val="-20"/>
          <w:sz w:val="32"/>
        </w:rPr>
        <w:t xml:space="preserve"> 万元，</w:t>
      </w:r>
      <w:r>
        <w:rPr>
          <w:spacing w:val="-17"/>
          <w:sz w:val="32"/>
        </w:rPr>
        <w:t xml:space="preserve">减少 </w:t>
      </w:r>
      <w:r>
        <w:rPr>
          <w:rFonts w:hint="eastAsia"/>
          <w:sz w:val="32"/>
          <w:lang w:val="en-US" w:eastAsia="zh-CN"/>
        </w:rPr>
        <w:t>41.89</w:t>
      </w:r>
      <w:r>
        <w:rPr>
          <w:spacing w:val="-5"/>
          <w:sz w:val="32"/>
        </w:rPr>
        <w:t>%。主要原因是</w:t>
      </w:r>
      <w:r>
        <w:rPr>
          <w:rFonts w:hint="eastAsia"/>
          <w:spacing w:val="-5"/>
          <w:sz w:val="32"/>
          <w:lang w:val="en-US" w:eastAsia="zh-CN"/>
        </w:rPr>
        <w:t>部分资金于2025年进行压减预算，无需结转</w:t>
      </w:r>
      <w:r>
        <w:rPr>
          <w:spacing w:val="-4"/>
          <w:sz w:val="32"/>
        </w:rPr>
        <w:t>。</w:t>
      </w:r>
    </w:p>
    <w:p w14:paraId="1DA47888">
      <w:pPr>
        <w:pStyle w:val="5"/>
        <w:keepNext w:val="0"/>
        <w:keepLines w:val="0"/>
        <w:pageBreakBefore w:val="0"/>
        <w:widowControl w:val="0"/>
        <w:kinsoku w:val="0"/>
        <w:wordWrap/>
        <w:overflowPunct/>
        <w:topLinePunct w:val="0"/>
        <w:autoSpaceDE w:val="0"/>
        <w:autoSpaceDN w:val="0"/>
        <w:bidi w:val="0"/>
        <w:adjustRightInd w:val="0"/>
        <w:snapToGrid w:val="0"/>
        <w:spacing w:line="409" w:lineRule="exact"/>
        <w:ind w:left="752" w:right="6"/>
        <w:textAlignment w:val="auto"/>
      </w:pPr>
      <w:r>
        <w:rPr>
          <w:spacing w:val="-4"/>
        </w:rPr>
        <w:t>（二）</w:t>
      </w:r>
      <w:r>
        <w:rPr>
          <w:spacing w:val="-13"/>
        </w:rPr>
        <w:t xml:space="preserve">支出预算总计 </w:t>
      </w:r>
      <w:r>
        <w:rPr>
          <w:rFonts w:hint="eastAsia"/>
          <w:spacing w:val="-4"/>
          <w:lang w:val="en-US" w:eastAsia="zh-CN"/>
        </w:rPr>
        <w:t>1210.75</w:t>
      </w:r>
      <w:r>
        <w:rPr>
          <w:spacing w:val="-14"/>
        </w:rPr>
        <w:t xml:space="preserve"> 万元。包括：</w:t>
      </w:r>
    </w:p>
    <w:p w14:paraId="3FB27726">
      <w:pPr>
        <w:pStyle w:val="12"/>
        <w:keepNext w:val="0"/>
        <w:keepLines w:val="0"/>
        <w:pageBreakBefore w:val="0"/>
        <w:widowControl w:val="0"/>
        <w:numPr>
          <w:ilvl w:val="0"/>
          <w:numId w:val="5"/>
        </w:numPr>
        <w:tabs>
          <w:tab w:val="left" w:pos="1231"/>
        </w:tabs>
        <w:kinsoku w:val="0"/>
        <w:wordWrap/>
        <w:overflowPunct/>
        <w:topLinePunct w:val="0"/>
        <w:autoSpaceDE w:val="0"/>
        <w:autoSpaceDN w:val="0"/>
        <w:bidi w:val="0"/>
        <w:adjustRightInd w:val="0"/>
        <w:snapToGrid w:val="0"/>
        <w:spacing w:before="162" w:after="0" w:line="240" w:lineRule="auto"/>
        <w:ind w:left="1231" w:right="6" w:hanging="479"/>
        <w:jc w:val="left"/>
        <w:textAlignment w:val="auto"/>
        <w:rPr>
          <w:sz w:val="32"/>
        </w:rPr>
      </w:pPr>
      <w:r>
        <w:rPr>
          <w:spacing w:val="-13"/>
          <w:sz w:val="32"/>
        </w:rPr>
        <w:t xml:space="preserve">本年支出合计 </w:t>
      </w:r>
      <w:r>
        <w:rPr>
          <w:rFonts w:hint="eastAsia"/>
          <w:spacing w:val="-4"/>
          <w:sz w:val="32"/>
          <w:lang w:val="en-US" w:eastAsia="zh-CN"/>
        </w:rPr>
        <w:t>1210.75</w:t>
      </w:r>
      <w:r>
        <w:rPr>
          <w:spacing w:val="-22"/>
          <w:sz w:val="32"/>
        </w:rPr>
        <w:t xml:space="preserve"> 万元。</w:t>
      </w:r>
    </w:p>
    <w:p w14:paraId="0192BE82">
      <w:pPr>
        <w:pStyle w:val="12"/>
        <w:keepNext w:val="0"/>
        <w:keepLines w:val="0"/>
        <w:pageBreakBefore w:val="0"/>
        <w:widowControl w:val="0"/>
        <w:numPr>
          <w:ilvl w:val="0"/>
          <w:numId w:val="6"/>
        </w:numPr>
        <w:tabs>
          <w:tab w:val="left" w:pos="1551"/>
        </w:tabs>
        <w:kinsoku w:val="0"/>
        <w:wordWrap/>
        <w:overflowPunct/>
        <w:topLinePunct w:val="0"/>
        <w:autoSpaceDE w:val="0"/>
        <w:autoSpaceDN w:val="0"/>
        <w:bidi w:val="0"/>
        <w:adjustRightInd w:val="0"/>
        <w:snapToGrid w:val="0"/>
        <w:spacing w:before="158" w:after="0" w:line="333" w:lineRule="auto"/>
        <w:ind w:left="111" w:right="6" w:firstLine="640"/>
        <w:jc w:val="left"/>
        <w:textAlignment w:val="auto"/>
        <w:rPr>
          <w:sz w:val="32"/>
        </w:rPr>
      </w:pPr>
      <w:r>
        <w:rPr>
          <w:spacing w:val="-2"/>
          <w:sz w:val="32"/>
        </w:rPr>
        <w:t>一般公共服务（类）</w:t>
      </w:r>
      <w:r>
        <w:rPr>
          <w:spacing w:val="-18"/>
          <w:sz w:val="32"/>
        </w:rPr>
        <w:t xml:space="preserve">支出 </w:t>
      </w:r>
      <w:r>
        <w:rPr>
          <w:rFonts w:hint="eastAsia"/>
          <w:spacing w:val="-2"/>
          <w:sz w:val="32"/>
          <w:lang w:val="en-US" w:eastAsia="zh-CN"/>
        </w:rPr>
        <w:t>1208.55</w:t>
      </w:r>
      <w:r>
        <w:rPr>
          <w:spacing w:val="-9"/>
          <w:sz w:val="32"/>
        </w:rPr>
        <w:t>万元，主要用于主</w:t>
      </w:r>
      <w:r>
        <w:rPr>
          <w:spacing w:val="-6"/>
          <w:sz w:val="32"/>
        </w:rPr>
        <w:t>要用于人员工资、保险及福利支出、大厅综合管理工作经费、大</w:t>
      </w:r>
    </w:p>
    <w:p w14:paraId="78037483">
      <w:pPr>
        <w:pStyle w:val="5"/>
        <w:keepNext w:val="0"/>
        <w:keepLines w:val="0"/>
        <w:pageBreakBefore w:val="0"/>
        <w:widowControl w:val="0"/>
        <w:kinsoku w:val="0"/>
        <w:wordWrap/>
        <w:overflowPunct/>
        <w:topLinePunct w:val="0"/>
        <w:autoSpaceDE w:val="0"/>
        <w:autoSpaceDN w:val="0"/>
        <w:bidi w:val="0"/>
        <w:adjustRightInd w:val="0"/>
        <w:snapToGrid w:val="0"/>
        <w:spacing w:before="27" w:line="333" w:lineRule="auto"/>
        <w:ind w:left="0" w:leftChars="0" w:right="6" w:firstLine="0" w:firstLineChars="0"/>
        <w:textAlignment w:val="auto"/>
      </w:pPr>
      <w:r>
        <w:rPr>
          <w:spacing w:val="-2"/>
        </w:rPr>
        <w:t>厅租赁费、大厅网络保障服务费、全市营商环境无感监测费等。</w:t>
      </w:r>
      <w:r>
        <w:rPr>
          <w:spacing w:val="-9"/>
        </w:rPr>
        <w:t>与上年相比</w:t>
      </w:r>
      <w:r>
        <w:rPr>
          <w:rFonts w:hint="eastAsia"/>
          <w:spacing w:val="-9"/>
          <w:lang w:val="en-US" w:eastAsia="zh-CN"/>
        </w:rPr>
        <w:t>增加69.86</w:t>
      </w:r>
      <w:r>
        <w:rPr>
          <w:spacing w:val="-20"/>
        </w:rPr>
        <w:t>万元，</w:t>
      </w:r>
      <w:r>
        <w:rPr>
          <w:rFonts w:hint="eastAsia"/>
          <w:spacing w:val="-20"/>
          <w:lang w:val="en-US" w:eastAsia="zh-CN"/>
        </w:rPr>
        <w:t>增加6.14</w:t>
      </w:r>
      <w:r>
        <w:t>%。主要原因一</w:t>
      </w:r>
      <w:r>
        <w:rPr>
          <w:rFonts w:hint="eastAsia"/>
          <w:lang w:val="en-US" w:eastAsia="zh-CN"/>
        </w:rPr>
        <w:t>是2025年中心新进5名工作人员</w:t>
      </w:r>
      <w:r>
        <w:rPr>
          <w:spacing w:val="-1"/>
        </w:rPr>
        <w:t xml:space="preserve">；二是 </w:t>
      </w:r>
      <w:r>
        <w:t>202</w:t>
      </w:r>
      <w:r>
        <w:rPr>
          <w:rFonts w:hint="eastAsia"/>
          <w:lang w:val="en-US" w:eastAsia="zh-CN"/>
        </w:rPr>
        <w:t>5</w:t>
      </w:r>
      <w:r>
        <w:rPr>
          <w:spacing w:val="-5"/>
        </w:rPr>
        <w:t xml:space="preserve"> 年结转未付款项</w:t>
      </w:r>
      <w:r>
        <w:rPr>
          <w:spacing w:val="-8"/>
        </w:rPr>
        <w:t>目资金</w:t>
      </w:r>
      <w:r>
        <w:rPr>
          <w:spacing w:val="-27"/>
        </w:rPr>
        <w:t>。</w:t>
      </w:r>
    </w:p>
    <w:p w14:paraId="717030BA">
      <w:pPr>
        <w:pStyle w:val="12"/>
        <w:keepNext w:val="0"/>
        <w:keepLines w:val="0"/>
        <w:pageBreakBefore w:val="0"/>
        <w:widowControl w:val="0"/>
        <w:numPr>
          <w:ilvl w:val="0"/>
          <w:numId w:val="6"/>
        </w:numPr>
        <w:tabs>
          <w:tab w:val="left" w:pos="1551"/>
        </w:tabs>
        <w:kinsoku w:val="0"/>
        <w:wordWrap/>
        <w:overflowPunct/>
        <w:topLinePunct w:val="0"/>
        <w:autoSpaceDE w:val="0"/>
        <w:autoSpaceDN w:val="0"/>
        <w:bidi w:val="0"/>
        <w:adjustRightInd w:val="0"/>
        <w:snapToGrid w:val="0"/>
        <w:spacing w:before="161" w:after="0" w:line="333" w:lineRule="auto"/>
        <w:ind w:left="111" w:right="6" w:firstLine="640"/>
        <w:jc w:val="both"/>
        <w:textAlignment w:val="auto"/>
      </w:pPr>
      <w:r>
        <w:rPr>
          <w:spacing w:val="-2"/>
          <w:sz w:val="32"/>
        </w:rPr>
        <w:t>社会保障和就业支出（类）</w:t>
      </w:r>
      <w:r>
        <w:rPr>
          <w:spacing w:val="-15"/>
          <w:sz w:val="32"/>
        </w:rPr>
        <w:t xml:space="preserve">支出 </w:t>
      </w:r>
      <w:r>
        <w:rPr>
          <w:rFonts w:hint="eastAsia"/>
          <w:spacing w:val="-2"/>
          <w:sz w:val="32"/>
          <w:lang w:val="en-US" w:eastAsia="zh-CN"/>
        </w:rPr>
        <w:t>57.87</w:t>
      </w:r>
      <w:r>
        <w:rPr>
          <w:spacing w:val="-8"/>
          <w:sz w:val="32"/>
        </w:rPr>
        <w:t xml:space="preserve"> 万元，主要用</w:t>
      </w:r>
      <w:r>
        <w:rPr>
          <w:spacing w:val="-11"/>
          <w:sz w:val="32"/>
        </w:rPr>
        <w:t>于养老和工伤保险缴费支出、</w:t>
      </w:r>
      <w:r>
        <w:rPr>
          <w:rFonts w:hint="eastAsia"/>
          <w:spacing w:val="-11"/>
          <w:sz w:val="32"/>
          <w:lang w:val="en-US" w:eastAsia="zh-CN"/>
        </w:rPr>
        <w:t>机关事业单位职业年金缴费、</w:t>
      </w:r>
      <w:r>
        <w:rPr>
          <w:spacing w:val="-11"/>
          <w:sz w:val="32"/>
        </w:rPr>
        <w:t>退休人员公用经费及项目外退休待</w:t>
      </w:r>
      <w:r>
        <w:rPr>
          <w:spacing w:val="-8"/>
          <w:sz w:val="32"/>
        </w:rPr>
        <w:t>遇。与上年相比</w:t>
      </w:r>
      <w:r>
        <w:rPr>
          <w:rFonts w:hint="eastAsia"/>
          <w:spacing w:val="-8"/>
          <w:sz w:val="32"/>
          <w:lang w:val="en-US" w:eastAsia="zh-CN"/>
        </w:rPr>
        <w:t>增加14.3</w:t>
      </w:r>
      <w:r>
        <w:rPr>
          <w:spacing w:val="-20"/>
          <w:sz w:val="32"/>
        </w:rPr>
        <w:t>万元，</w:t>
      </w:r>
      <w:r>
        <w:rPr>
          <w:rFonts w:hint="eastAsia"/>
          <w:spacing w:val="-20"/>
          <w:sz w:val="32"/>
          <w:lang w:val="en-US" w:eastAsia="zh-CN"/>
        </w:rPr>
        <w:t>增加32.82</w:t>
      </w:r>
      <w:r>
        <w:rPr>
          <w:spacing w:val="-10"/>
          <w:sz w:val="32"/>
        </w:rPr>
        <w:t>%。主要原因</w:t>
      </w:r>
      <w:r>
        <w:rPr>
          <w:rFonts w:hint="eastAsia"/>
          <w:spacing w:val="-10"/>
          <w:sz w:val="32"/>
          <w:lang w:val="en-US" w:eastAsia="zh-CN"/>
        </w:rPr>
        <w:t>一是2025年新进5名工作人员，二是2026年有一名职工退休，需缴纳职业年金</w:t>
      </w:r>
      <w:r>
        <w:rPr>
          <w:spacing w:val="-10"/>
          <w:sz w:val="32"/>
        </w:rPr>
        <w:t>。</w:t>
      </w:r>
    </w:p>
    <w:p w14:paraId="056030A8">
      <w:pPr>
        <w:pStyle w:val="12"/>
        <w:keepNext w:val="0"/>
        <w:keepLines w:val="0"/>
        <w:pageBreakBefore w:val="0"/>
        <w:widowControl w:val="0"/>
        <w:numPr>
          <w:ilvl w:val="0"/>
          <w:numId w:val="6"/>
        </w:numPr>
        <w:tabs>
          <w:tab w:val="left" w:pos="800"/>
        </w:tabs>
        <w:kinsoku w:val="0"/>
        <w:wordWrap/>
        <w:overflowPunct/>
        <w:topLinePunct w:val="0"/>
        <w:autoSpaceDE w:val="0"/>
        <w:autoSpaceDN w:val="0"/>
        <w:bidi w:val="0"/>
        <w:adjustRightInd w:val="0"/>
        <w:snapToGrid w:val="0"/>
        <w:spacing w:before="161" w:after="0" w:line="240" w:lineRule="auto"/>
        <w:ind w:left="800" w:leftChars="0" w:right="6" w:hanging="800"/>
        <w:jc w:val="right"/>
        <w:textAlignment w:val="auto"/>
        <w:rPr>
          <w:sz w:val="32"/>
        </w:rPr>
      </w:pPr>
      <w:r>
        <w:rPr>
          <w:spacing w:val="-4"/>
          <w:sz w:val="32"/>
        </w:rPr>
        <w:t>卫生健康支出（类）</w:t>
      </w:r>
      <w:r>
        <w:rPr>
          <w:spacing w:val="-16"/>
          <w:sz w:val="32"/>
        </w:rPr>
        <w:t xml:space="preserve">支出 </w:t>
      </w:r>
      <w:r>
        <w:rPr>
          <w:rFonts w:hint="eastAsia"/>
          <w:spacing w:val="-4"/>
          <w:sz w:val="32"/>
          <w:lang w:val="en-US" w:eastAsia="zh-CN"/>
        </w:rPr>
        <w:t>19.7</w:t>
      </w:r>
      <w:r>
        <w:rPr>
          <w:spacing w:val="-10"/>
          <w:sz w:val="32"/>
        </w:rPr>
        <w:t>万元，主要用于事业</w:t>
      </w:r>
    </w:p>
    <w:p w14:paraId="3B1E298A">
      <w:pPr>
        <w:pStyle w:val="5"/>
        <w:keepNext w:val="0"/>
        <w:keepLines w:val="0"/>
        <w:pageBreakBefore w:val="0"/>
        <w:widowControl w:val="0"/>
        <w:kinsoku w:val="0"/>
        <w:wordWrap/>
        <w:overflowPunct/>
        <w:topLinePunct w:val="0"/>
        <w:autoSpaceDE w:val="0"/>
        <w:autoSpaceDN w:val="0"/>
        <w:bidi w:val="0"/>
        <w:adjustRightInd w:val="0"/>
        <w:snapToGrid w:val="0"/>
        <w:spacing w:before="159"/>
        <w:ind w:left="0" w:leftChars="0" w:right="6"/>
        <w:jc w:val="right"/>
        <w:textAlignment w:val="auto"/>
      </w:pPr>
      <w:r>
        <w:rPr>
          <w:spacing w:val="-6"/>
        </w:rPr>
        <w:t>单位职工医疗保险及公务员医疗补助。与上年相比</w:t>
      </w:r>
      <w:r>
        <w:rPr>
          <w:rFonts w:hint="eastAsia"/>
          <w:spacing w:val="-6"/>
          <w:lang w:val="en-US" w:eastAsia="zh-CN"/>
        </w:rPr>
        <w:t>增加</w:t>
      </w:r>
      <w:r>
        <w:rPr>
          <w:spacing w:val="-6"/>
        </w:rPr>
        <w:t xml:space="preserve"> </w:t>
      </w:r>
      <w:r>
        <w:rPr>
          <w:rFonts w:hint="eastAsia"/>
          <w:spacing w:val="-4"/>
          <w:lang w:val="en-US" w:eastAsia="zh-CN"/>
        </w:rPr>
        <w:t>2.92</w:t>
      </w:r>
      <w:r>
        <w:rPr>
          <w:spacing w:val="-24"/>
        </w:rPr>
        <w:t xml:space="preserve"> 万</w:t>
      </w:r>
    </w:p>
    <w:p w14:paraId="3AA5C274">
      <w:pPr>
        <w:pStyle w:val="5"/>
        <w:keepNext w:val="0"/>
        <w:keepLines w:val="0"/>
        <w:pageBreakBefore w:val="0"/>
        <w:widowControl w:val="0"/>
        <w:kinsoku w:val="0"/>
        <w:wordWrap/>
        <w:overflowPunct/>
        <w:topLinePunct w:val="0"/>
        <w:autoSpaceDE w:val="0"/>
        <w:autoSpaceDN w:val="0"/>
        <w:bidi w:val="0"/>
        <w:adjustRightInd w:val="0"/>
        <w:snapToGrid w:val="0"/>
        <w:spacing w:before="161" w:line="333" w:lineRule="auto"/>
        <w:ind w:left="0" w:leftChars="0" w:right="6"/>
        <w:jc w:val="both"/>
        <w:textAlignment w:val="auto"/>
      </w:pPr>
      <w:r>
        <w:rPr>
          <w:spacing w:val="-11"/>
        </w:rPr>
        <w:t>元，</w:t>
      </w:r>
      <w:r>
        <w:rPr>
          <w:rFonts w:hint="eastAsia"/>
          <w:spacing w:val="-11"/>
          <w:lang w:val="en-US" w:eastAsia="zh-CN"/>
        </w:rPr>
        <w:t>增加17.33</w:t>
      </w:r>
      <w:r>
        <w:rPr>
          <w:spacing w:val="-9"/>
        </w:rPr>
        <w:t>%。主要原因</w:t>
      </w:r>
      <w:r>
        <w:rPr>
          <w:rFonts w:hint="eastAsia"/>
          <w:spacing w:val="-9"/>
          <w:lang w:val="en-US" w:eastAsia="zh-CN"/>
        </w:rPr>
        <w:t>一是</w:t>
      </w:r>
      <w:r>
        <w:rPr>
          <w:spacing w:val="-6"/>
        </w:rPr>
        <w:t>202</w:t>
      </w:r>
      <w:r>
        <w:rPr>
          <w:rFonts w:hint="eastAsia"/>
          <w:spacing w:val="-6"/>
          <w:lang w:val="en-US" w:eastAsia="zh-CN"/>
        </w:rPr>
        <w:t>6</w:t>
      </w:r>
      <w:r>
        <w:rPr>
          <w:spacing w:val="-13"/>
        </w:rPr>
        <w:t xml:space="preserve">年卫生健康支出类经费以 </w:t>
      </w:r>
      <w:r>
        <w:rPr>
          <w:spacing w:val="-6"/>
        </w:rPr>
        <w:t>12</w:t>
      </w:r>
      <w:r>
        <w:rPr>
          <w:spacing w:val="-2"/>
        </w:rPr>
        <w:t>个月为基准安排预算</w:t>
      </w:r>
      <w:r>
        <w:rPr>
          <w:rFonts w:hint="eastAsia"/>
          <w:spacing w:val="-2"/>
          <w:lang w:eastAsia="zh-CN"/>
        </w:rPr>
        <w:t>，</w:t>
      </w:r>
      <w:r>
        <w:rPr>
          <w:rFonts w:hint="eastAsia"/>
          <w:spacing w:val="-2"/>
          <w:lang w:val="en-US" w:eastAsia="zh-CN"/>
        </w:rPr>
        <w:t>二是2025年新进5名工作人员</w:t>
      </w:r>
      <w:r>
        <w:rPr>
          <w:spacing w:val="-2"/>
        </w:rPr>
        <w:t>。</w:t>
      </w:r>
    </w:p>
    <w:p w14:paraId="4C0BCD87">
      <w:pPr>
        <w:pStyle w:val="12"/>
        <w:keepNext w:val="0"/>
        <w:keepLines w:val="0"/>
        <w:pageBreakBefore w:val="0"/>
        <w:widowControl w:val="0"/>
        <w:numPr>
          <w:ilvl w:val="0"/>
          <w:numId w:val="6"/>
        </w:numPr>
        <w:tabs>
          <w:tab w:val="left" w:pos="1522"/>
        </w:tabs>
        <w:kinsoku w:val="0"/>
        <w:wordWrap/>
        <w:overflowPunct/>
        <w:topLinePunct w:val="0"/>
        <w:autoSpaceDE w:val="0"/>
        <w:autoSpaceDN w:val="0"/>
        <w:bidi w:val="0"/>
        <w:adjustRightInd w:val="0"/>
        <w:snapToGrid w:val="0"/>
        <w:spacing w:before="0" w:after="0" w:line="333" w:lineRule="auto"/>
        <w:ind w:left="111" w:right="6" w:firstLine="640"/>
        <w:jc w:val="both"/>
        <w:textAlignment w:val="auto"/>
        <w:rPr>
          <w:sz w:val="32"/>
        </w:rPr>
      </w:pPr>
      <w:r>
        <w:rPr>
          <w:spacing w:val="-8"/>
          <w:sz w:val="32"/>
        </w:rPr>
        <w:t>农林水支出（类）</w:t>
      </w:r>
      <w:r>
        <w:rPr>
          <w:spacing w:val="-16"/>
          <w:sz w:val="32"/>
        </w:rPr>
        <w:t xml:space="preserve">支出 </w:t>
      </w:r>
      <w:r>
        <w:rPr>
          <w:rFonts w:hint="eastAsia"/>
          <w:spacing w:val="-8"/>
          <w:sz w:val="32"/>
          <w:lang w:val="en-US" w:eastAsia="zh-CN"/>
        </w:rPr>
        <w:t>0.41</w:t>
      </w:r>
      <w:r>
        <w:rPr>
          <w:spacing w:val="-13"/>
          <w:sz w:val="32"/>
        </w:rPr>
        <w:t>万元，主要用于乡村振兴</w:t>
      </w:r>
      <w:r>
        <w:rPr>
          <w:spacing w:val="-3"/>
          <w:sz w:val="32"/>
        </w:rPr>
        <w:t>驻村人员补助。与上年相比</w:t>
      </w:r>
      <w:r>
        <w:rPr>
          <w:rFonts w:hint="eastAsia"/>
          <w:spacing w:val="-3"/>
          <w:sz w:val="32"/>
          <w:lang w:val="en-US" w:eastAsia="zh-CN"/>
        </w:rPr>
        <w:t>减少1.4</w:t>
      </w:r>
      <w:r>
        <w:rPr>
          <w:spacing w:val="-13"/>
          <w:sz w:val="32"/>
        </w:rPr>
        <w:t>万元，</w:t>
      </w:r>
      <w:r>
        <w:rPr>
          <w:rFonts w:hint="eastAsia"/>
          <w:spacing w:val="-13"/>
          <w:sz w:val="32"/>
          <w:lang w:val="en-US" w:eastAsia="zh-CN"/>
        </w:rPr>
        <w:t>减少77.35</w:t>
      </w:r>
      <w:r>
        <w:rPr>
          <w:sz w:val="32"/>
        </w:rPr>
        <w:t>%。主</w:t>
      </w:r>
      <w:r>
        <w:rPr>
          <w:spacing w:val="-3"/>
          <w:sz w:val="32"/>
        </w:rPr>
        <w:t>要原因是</w:t>
      </w:r>
      <w:bookmarkStart w:id="0" w:name="_GoBack"/>
      <w:r>
        <w:rPr>
          <w:rFonts w:hint="eastAsia"/>
          <w:spacing w:val="-3"/>
          <w:sz w:val="32"/>
          <w:lang w:val="en-US" w:eastAsia="zh-CN"/>
        </w:rPr>
        <w:t>2026年有一名乡村振兴驻村人员补助由赤峰市政务服务于数据管</w:t>
      </w:r>
      <w:bookmarkEnd w:id="0"/>
      <w:r>
        <w:rPr>
          <w:rFonts w:hint="eastAsia"/>
          <w:spacing w:val="-3"/>
          <w:sz w:val="32"/>
          <w:lang w:val="en-US" w:eastAsia="zh-CN"/>
        </w:rPr>
        <w:t>理局发放</w:t>
      </w:r>
      <w:r>
        <w:rPr>
          <w:spacing w:val="-5"/>
          <w:sz w:val="32"/>
        </w:rPr>
        <w:t>。</w:t>
      </w:r>
    </w:p>
    <w:p w14:paraId="0DAA3333">
      <w:pPr>
        <w:pStyle w:val="12"/>
        <w:keepNext w:val="0"/>
        <w:keepLines w:val="0"/>
        <w:pageBreakBefore w:val="0"/>
        <w:widowControl w:val="0"/>
        <w:numPr>
          <w:ilvl w:val="0"/>
          <w:numId w:val="6"/>
        </w:numPr>
        <w:tabs>
          <w:tab w:val="left" w:pos="1522"/>
        </w:tabs>
        <w:kinsoku w:val="0"/>
        <w:wordWrap/>
        <w:overflowPunct/>
        <w:topLinePunct w:val="0"/>
        <w:autoSpaceDE w:val="0"/>
        <w:autoSpaceDN w:val="0"/>
        <w:bidi w:val="0"/>
        <w:adjustRightInd w:val="0"/>
        <w:snapToGrid w:val="0"/>
        <w:spacing w:before="0" w:after="0" w:line="333" w:lineRule="auto"/>
        <w:ind w:left="111" w:right="6" w:firstLine="640"/>
        <w:jc w:val="both"/>
        <w:textAlignment w:val="auto"/>
        <w:rPr>
          <w:sz w:val="32"/>
        </w:rPr>
      </w:pPr>
      <w:r>
        <w:rPr>
          <w:rFonts w:hint="eastAsia"/>
          <w:spacing w:val="-5"/>
          <w:sz w:val="32"/>
          <w:lang w:val="en-US" w:eastAsia="zh-CN"/>
        </w:rPr>
        <w:t>资源勘探工业信息等支出（类）支出11万元，主要用于深化AK替代项目。与上年相比增加11万元。</w:t>
      </w:r>
    </w:p>
    <w:p w14:paraId="7CBCDA43">
      <w:pPr>
        <w:pStyle w:val="12"/>
        <w:keepNext w:val="0"/>
        <w:keepLines w:val="0"/>
        <w:pageBreakBefore w:val="0"/>
        <w:widowControl w:val="0"/>
        <w:numPr>
          <w:ilvl w:val="0"/>
          <w:numId w:val="6"/>
        </w:numPr>
        <w:tabs>
          <w:tab w:val="left" w:pos="1551"/>
        </w:tabs>
        <w:kinsoku w:val="0"/>
        <w:wordWrap/>
        <w:overflowPunct/>
        <w:topLinePunct w:val="0"/>
        <w:autoSpaceDE w:val="0"/>
        <w:autoSpaceDN w:val="0"/>
        <w:bidi w:val="0"/>
        <w:adjustRightInd w:val="0"/>
        <w:snapToGrid w:val="0"/>
        <w:spacing w:before="0" w:after="0" w:line="333" w:lineRule="auto"/>
        <w:ind w:left="111" w:right="6" w:firstLine="640"/>
        <w:jc w:val="both"/>
        <w:textAlignment w:val="auto"/>
        <w:rPr>
          <w:sz w:val="32"/>
        </w:rPr>
      </w:pPr>
      <w:r>
        <w:rPr>
          <w:spacing w:val="-2"/>
          <w:sz w:val="32"/>
        </w:rPr>
        <w:t>住房保障支出（类）</w:t>
      </w:r>
      <w:r>
        <w:rPr>
          <w:spacing w:val="-12"/>
          <w:sz w:val="32"/>
        </w:rPr>
        <w:t xml:space="preserve">支出 </w:t>
      </w:r>
      <w:r>
        <w:rPr>
          <w:rFonts w:hint="eastAsia"/>
          <w:spacing w:val="-2"/>
          <w:sz w:val="32"/>
          <w:lang w:val="en-US" w:eastAsia="zh-CN"/>
        </w:rPr>
        <w:t>33.01</w:t>
      </w:r>
      <w:r>
        <w:rPr>
          <w:spacing w:val="-8"/>
          <w:sz w:val="32"/>
        </w:rPr>
        <w:t>万元，主要用于职工住房公积金缴费支出。与上年相比</w:t>
      </w:r>
      <w:r>
        <w:rPr>
          <w:rFonts w:hint="eastAsia"/>
          <w:spacing w:val="-8"/>
          <w:sz w:val="32"/>
          <w:lang w:val="en-US" w:eastAsia="zh-CN"/>
        </w:rPr>
        <w:t>增加4.85</w:t>
      </w:r>
      <w:r>
        <w:rPr>
          <w:spacing w:val="-15"/>
          <w:sz w:val="32"/>
        </w:rPr>
        <w:t>万元，</w:t>
      </w:r>
      <w:r>
        <w:rPr>
          <w:rFonts w:hint="eastAsia"/>
          <w:spacing w:val="-15"/>
          <w:sz w:val="32"/>
          <w:lang w:val="en-US" w:eastAsia="zh-CN"/>
        </w:rPr>
        <w:t>增加17.64</w:t>
      </w:r>
      <w:r>
        <w:rPr>
          <w:spacing w:val="-6"/>
          <w:sz w:val="32"/>
        </w:rPr>
        <w:t>%。</w:t>
      </w:r>
      <w:r>
        <w:rPr>
          <w:spacing w:val="-2"/>
          <w:sz w:val="32"/>
        </w:rPr>
        <w:t>主要原因</w:t>
      </w:r>
      <w:r>
        <w:rPr>
          <w:rFonts w:hint="eastAsia"/>
          <w:spacing w:val="-2"/>
          <w:sz w:val="32"/>
          <w:lang w:val="en-US" w:eastAsia="zh-CN"/>
        </w:rPr>
        <w:t>一</w:t>
      </w:r>
      <w:r>
        <w:rPr>
          <w:spacing w:val="-2"/>
          <w:sz w:val="32"/>
        </w:rPr>
        <w:t xml:space="preserve">是住房保障支出类经费以 </w:t>
      </w:r>
      <w:r>
        <w:rPr>
          <w:sz w:val="32"/>
        </w:rPr>
        <w:t>12</w:t>
      </w:r>
      <w:r>
        <w:rPr>
          <w:spacing w:val="-5"/>
          <w:sz w:val="32"/>
        </w:rPr>
        <w:t xml:space="preserve"> 个月为基准安排预算</w:t>
      </w:r>
      <w:r>
        <w:rPr>
          <w:rFonts w:hint="eastAsia"/>
          <w:spacing w:val="-5"/>
          <w:sz w:val="32"/>
          <w:lang w:eastAsia="zh-CN"/>
        </w:rPr>
        <w:t>，</w:t>
      </w:r>
      <w:r>
        <w:rPr>
          <w:rFonts w:hint="eastAsia"/>
          <w:spacing w:val="-5"/>
          <w:sz w:val="32"/>
          <w:lang w:val="en-US" w:eastAsia="zh-CN"/>
        </w:rPr>
        <w:t>二是2025年新进5名工作人员</w:t>
      </w:r>
      <w:r>
        <w:rPr>
          <w:spacing w:val="-5"/>
          <w:sz w:val="32"/>
        </w:rPr>
        <w:t>。</w:t>
      </w:r>
    </w:p>
    <w:p w14:paraId="6376C3F3">
      <w:pPr>
        <w:pStyle w:val="12"/>
        <w:keepNext w:val="0"/>
        <w:keepLines w:val="0"/>
        <w:pageBreakBefore w:val="0"/>
        <w:widowControl w:val="0"/>
        <w:numPr>
          <w:ilvl w:val="0"/>
          <w:numId w:val="5"/>
        </w:numPr>
        <w:tabs>
          <w:tab w:val="left" w:pos="1231"/>
        </w:tabs>
        <w:kinsoku w:val="0"/>
        <w:wordWrap/>
        <w:overflowPunct/>
        <w:topLinePunct w:val="0"/>
        <w:autoSpaceDE w:val="0"/>
        <w:autoSpaceDN w:val="0"/>
        <w:bidi w:val="0"/>
        <w:adjustRightInd w:val="0"/>
        <w:snapToGrid w:val="0"/>
        <w:spacing w:before="1" w:after="0" w:line="240" w:lineRule="auto"/>
        <w:ind w:left="1231" w:right="6" w:hanging="479"/>
        <w:jc w:val="left"/>
        <w:textAlignment w:val="auto"/>
        <w:rPr>
          <w:spacing w:val="-5"/>
        </w:rPr>
      </w:pPr>
      <w:r>
        <w:rPr>
          <w:spacing w:val="-13"/>
          <w:sz w:val="32"/>
        </w:rPr>
        <w:t xml:space="preserve">年终结转结余 </w:t>
      </w:r>
      <w:r>
        <w:rPr>
          <w:spacing w:val="-4"/>
          <w:sz w:val="32"/>
        </w:rPr>
        <w:t>0</w:t>
      </w:r>
      <w:r>
        <w:rPr>
          <w:spacing w:val="-12"/>
          <w:sz w:val="32"/>
        </w:rPr>
        <w:t xml:space="preserve"> 万元，主要原因是不存在此项内容。</w:t>
      </w:r>
    </w:p>
    <w:p w14:paraId="206EBE91">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textAlignment w:val="auto"/>
      </w:pPr>
      <w:r>
        <w:rPr>
          <w:spacing w:val="-5"/>
        </w:rPr>
        <w:t>二、收入预算情况说明</w:t>
      </w:r>
    </w:p>
    <w:p w14:paraId="2B9FCFEA">
      <w:pPr>
        <w:pStyle w:val="5"/>
        <w:keepNext w:val="0"/>
        <w:keepLines w:val="0"/>
        <w:pageBreakBefore w:val="0"/>
        <w:widowControl w:val="0"/>
        <w:kinsoku w:val="0"/>
        <w:wordWrap/>
        <w:overflowPunct/>
        <w:topLinePunct w:val="0"/>
        <w:autoSpaceDE w:val="0"/>
        <w:autoSpaceDN w:val="0"/>
        <w:bidi w:val="0"/>
        <w:adjustRightInd w:val="0"/>
        <w:snapToGrid w:val="0"/>
        <w:spacing w:before="162" w:line="333" w:lineRule="auto"/>
        <w:ind w:right="6" w:firstLine="640"/>
        <w:jc w:val="both"/>
        <w:textAlignment w:val="auto"/>
      </w:pPr>
      <w:r>
        <w:rPr>
          <w:spacing w:val="36"/>
        </w:rPr>
        <w:t xml:space="preserve">赤峰市营商环境促进中心单位 </w:t>
      </w:r>
      <w:r>
        <w:t>202</w:t>
      </w:r>
      <w:r>
        <w:rPr>
          <w:rFonts w:hint="eastAsia"/>
          <w:lang w:val="en-US" w:eastAsia="zh-CN"/>
        </w:rPr>
        <w:t>6</w:t>
      </w:r>
      <w:r>
        <w:rPr>
          <w:spacing w:val="30"/>
        </w:rPr>
        <w:t xml:space="preserve"> 年收入预算总计</w:t>
      </w:r>
      <w:r>
        <w:t xml:space="preserve"> </w:t>
      </w:r>
      <w:r>
        <w:rPr>
          <w:rFonts w:hint="eastAsia"/>
          <w:spacing w:val="-6"/>
          <w:lang w:val="en-US" w:eastAsia="zh-CN"/>
        </w:rPr>
        <w:t>1210.75</w:t>
      </w:r>
      <w:r>
        <w:rPr>
          <w:spacing w:val="-25"/>
        </w:rPr>
        <w:t xml:space="preserve">万元，包括本年收入 </w:t>
      </w:r>
      <w:r>
        <w:rPr>
          <w:rFonts w:hint="eastAsia"/>
          <w:spacing w:val="-6"/>
          <w:lang w:val="en-US" w:eastAsia="zh-CN"/>
        </w:rPr>
        <w:t>1163.66</w:t>
      </w:r>
      <w:r>
        <w:rPr>
          <w:spacing w:val="-25"/>
        </w:rPr>
        <w:t xml:space="preserve"> 万元，上年结转结余 </w:t>
      </w:r>
      <w:r>
        <w:rPr>
          <w:rFonts w:hint="eastAsia"/>
          <w:spacing w:val="-6"/>
          <w:lang w:val="en-US" w:eastAsia="zh-CN"/>
        </w:rPr>
        <w:t>47.09</w:t>
      </w:r>
      <w:r>
        <w:rPr>
          <w:spacing w:val="-2"/>
        </w:rPr>
        <w:t>万元。其中：</w:t>
      </w:r>
    </w:p>
    <w:p w14:paraId="5816DEE6">
      <w:pPr>
        <w:pStyle w:val="5"/>
        <w:keepNext w:val="0"/>
        <w:keepLines w:val="0"/>
        <w:pageBreakBefore w:val="0"/>
        <w:widowControl w:val="0"/>
        <w:kinsoku w:val="0"/>
        <w:wordWrap/>
        <w:overflowPunct/>
        <w:topLinePunct w:val="0"/>
        <w:autoSpaceDE w:val="0"/>
        <w:autoSpaceDN w:val="0"/>
        <w:bidi w:val="0"/>
        <w:adjustRightInd w:val="0"/>
        <w:snapToGrid w:val="0"/>
        <w:spacing w:before="27" w:line="333" w:lineRule="auto"/>
        <w:ind w:left="752" w:right="6"/>
        <w:textAlignment w:val="auto"/>
      </w:pPr>
      <w:r>
        <w:rPr>
          <w:spacing w:val="-9"/>
        </w:rPr>
        <w:t xml:space="preserve">本年一般公共预算收入 </w:t>
      </w:r>
      <w:r>
        <w:rPr>
          <w:rFonts w:hint="eastAsia"/>
          <w:spacing w:val="-2"/>
          <w:lang w:val="en-US" w:eastAsia="zh-CN"/>
        </w:rPr>
        <w:t>1163.66</w:t>
      </w:r>
      <w:r>
        <w:rPr>
          <w:spacing w:val="-27"/>
        </w:rPr>
        <w:t xml:space="preserve"> 万元，占 </w:t>
      </w:r>
      <w:r>
        <w:rPr>
          <w:rFonts w:hint="eastAsia"/>
          <w:spacing w:val="-2"/>
          <w:lang w:val="en-US" w:eastAsia="zh-CN"/>
        </w:rPr>
        <w:t>96.11</w:t>
      </w:r>
      <w:r>
        <w:rPr>
          <w:spacing w:val="-2"/>
        </w:rPr>
        <w:t>%；</w:t>
      </w:r>
      <w:r>
        <w:rPr>
          <w:spacing w:val="-3"/>
        </w:rPr>
        <w:t xml:space="preserve">本年政府性基金预算收入 </w:t>
      </w:r>
      <w:r>
        <w:t>0</w:t>
      </w:r>
      <w:r>
        <w:rPr>
          <w:spacing w:val="-11"/>
        </w:rPr>
        <w:t xml:space="preserve"> 万元，占 </w:t>
      </w:r>
      <w:r>
        <w:t>0%；</w:t>
      </w:r>
    </w:p>
    <w:p w14:paraId="057A6676">
      <w:pPr>
        <w:pStyle w:val="5"/>
        <w:keepNext w:val="0"/>
        <w:keepLines w:val="0"/>
        <w:pageBreakBefore w:val="0"/>
        <w:widowControl w:val="0"/>
        <w:kinsoku w:val="0"/>
        <w:wordWrap/>
        <w:overflowPunct/>
        <w:topLinePunct w:val="0"/>
        <w:autoSpaceDE w:val="0"/>
        <w:autoSpaceDN w:val="0"/>
        <w:bidi w:val="0"/>
        <w:adjustRightInd w:val="0"/>
        <w:snapToGrid w:val="0"/>
        <w:spacing w:line="333" w:lineRule="auto"/>
        <w:ind w:left="752" w:right="6"/>
        <w:textAlignment w:val="auto"/>
      </w:pPr>
      <w:r>
        <w:rPr>
          <w:spacing w:val="-8"/>
        </w:rPr>
        <w:t xml:space="preserve">本年国有资本经营预算收入 </w:t>
      </w:r>
      <w:r>
        <w:rPr>
          <w:spacing w:val="-2"/>
        </w:rPr>
        <w:t>0</w:t>
      </w:r>
      <w:r>
        <w:rPr>
          <w:spacing w:val="-29"/>
        </w:rPr>
        <w:t xml:space="preserve"> 万元，占 </w:t>
      </w:r>
      <w:r>
        <w:rPr>
          <w:spacing w:val="-2"/>
        </w:rPr>
        <w:t>0%；</w:t>
      </w:r>
      <w:r>
        <w:rPr>
          <w:spacing w:val="-3"/>
        </w:rPr>
        <w:t xml:space="preserve">本年财政专户管理资金 </w:t>
      </w:r>
      <w:r>
        <w:t>0</w:t>
      </w:r>
      <w:r>
        <w:rPr>
          <w:spacing w:val="-12"/>
        </w:rPr>
        <w:t xml:space="preserve"> 万元，占 </w:t>
      </w:r>
      <w:r>
        <w:t>0%；</w:t>
      </w:r>
    </w:p>
    <w:p w14:paraId="2AE069CA">
      <w:pPr>
        <w:pStyle w:val="5"/>
        <w:keepNext w:val="0"/>
        <w:keepLines w:val="0"/>
        <w:pageBreakBefore w:val="0"/>
        <w:widowControl w:val="0"/>
        <w:kinsoku w:val="0"/>
        <w:wordWrap/>
        <w:overflowPunct/>
        <w:topLinePunct w:val="0"/>
        <w:autoSpaceDE w:val="0"/>
        <w:autoSpaceDN w:val="0"/>
        <w:bidi w:val="0"/>
        <w:adjustRightInd w:val="0"/>
        <w:snapToGrid w:val="0"/>
        <w:ind w:left="752" w:right="6"/>
        <w:textAlignment w:val="auto"/>
      </w:pPr>
      <w:r>
        <w:rPr>
          <w:spacing w:val="-14"/>
        </w:rPr>
        <w:t xml:space="preserve">本年事业收入 </w:t>
      </w:r>
      <w:r>
        <w:rPr>
          <w:spacing w:val="-4"/>
        </w:rPr>
        <w:t>0</w:t>
      </w:r>
      <w:r>
        <w:rPr>
          <w:spacing w:val="-29"/>
        </w:rPr>
        <w:t xml:space="preserve"> 万元，占 </w:t>
      </w:r>
      <w:r>
        <w:rPr>
          <w:spacing w:val="-5"/>
        </w:rPr>
        <w:t>0%；</w:t>
      </w:r>
    </w:p>
    <w:p w14:paraId="0BF138CA">
      <w:pPr>
        <w:pStyle w:val="5"/>
        <w:keepNext w:val="0"/>
        <w:keepLines w:val="0"/>
        <w:pageBreakBefore w:val="0"/>
        <w:widowControl w:val="0"/>
        <w:kinsoku w:val="0"/>
        <w:wordWrap/>
        <w:overflowPunct/>
        <w:topLinePunct w:val="0"/>
        <w:autoSpaceDE w:val="0"/>
        <w:autoSpaceDN w:val="0"/>
        <w:bidi w:val="0"/>
        <w:adjustRightInd w:val="0"/>
        <w:snapToGrid w:val="0"/>
        <w:spacing w:before="159" w:line="333" w:lineRule="auto"/>
        <w:ind w:left="752" w:right="6"/>
        <w:textAlignment w:val="auto"/>
      </w:pPr>
      <w:r>
        <w:rPr>
          <w:spacing w:val="-9"/>
        </w:rPr>
        <w:t xml:space="preserve">本年事业单位经营收入 </w:t>
      </w:r>
      <w:r>
        <w:rPr>
          <w:spacing w:val="-2"/>
        </w:rPr>
        <w:t>0</w:t>
      </w:r>
      <w:r>
        <w:rPr>
          <w:spacing w:val="-28"/>
        </w:rPr>
        <w:t xml:space="preserve"> 万元，占 </w:t>
      </w:r>
      <w:r>
        <w:rPr>
          <w:spacing w:val="-2"/>
        </w:rPr>
        <w:t>0%；</w:t>
      </w:r>
      <w:r>
        <w:rPr>
          <w:spacing w:val="-4"/>
        </w:rPr>
        <w:t xml:space="preserve">本年上级补助收入 </w:t>
      </w:r>
      <w:r>
        <w:t>0</w:t>
      </w:r>
      <w:r>
        <w:rPr>
          <w:spacing w:val="-11"/>
        </w:rPr>
        <w:t xml:space="preserve"> 万元，占 </w:t>
      </w:r>
      <w:r>
        <w:t>0%；</w:t>
      </w:r>
    </w:p>
    <w:p w14:paraId="7014FA16">
      <w:pPr>
        <w:pStyle w:val="5"/>
        <w:keepNext w:val="0"/>
        <w:keepLines w:val="0"/>
        <w:pageBreakBefore w:val="0"/>
        <w:widowControl w:val="0"/>
        <w:kinsoku w:val="0"/>
        <w:wordWrap/>
        <w:overflowPunct/>
        <w:topLinePunct w:val="0"/>
        <w:autoSpaceDE w:val="0"/>
        <w:autoSpaceDN w:val="0"/>
        <w:bidi w:val="0"/>
        <w:adjustRightInd w:val="0"/>
        <w:snapToGrid w:val="0"/>
        <w:spacing w:line="333" w:lineRule="auto"/>
        <w:ind w:left="752" w:right="6"/>
        <w:textAlignment w:val="auto"/>
      </w:pPr>
      <w:r>
        <w:rPr>
          <w:spacing w:val="-9"/>
        </w:rPr>
        <w:t xml:space="preserve">本年附属单位上缴收入 </w:t>
      </w:r>
      <w:r>
        <w:rPr>
          <w:spacing w:val="-2"/>
        </w:rPr>
        <w:t>0</w:t>
      </w:r>
      <w:r>
        <w:rPr>
          <w:spacing w:val="-28"/>
        </w:rPr>
        <w:t xml:space="preserve"> 万元，占 </w:t>
      </w:r>
      <w:r>
        <w:rPr>
          <w:spacing w:val="-2"/>
        </w:rPr>
        <w:t>0%；</w:t>
      </w:r>
      <w:r>
        <w:rPr>
          <w:spacing w:val="-4"/>
        </w:rPr>
        <w:t xml:space="preserve">本年其他收入 </w:t>
      </w:r>
      <w:r>
        <w:t>0</w:t>
      </w:r>
      <w:r>
        <w:rPr>
          <w:spacing w:val="-12"/>
        </w:rPr>
        <w:t xml:space="preserve"> 万元，占 </w:t>
      </w:r>
      <w:r>
        <w:t>0%；</w:t>
      </w:r>
    </w:p>
    <w:p w14:paraId="7B35F04B">
      <w:pPr>
        <w:pStyle w:val="5"/>
        <w:keepNext w:val="0"/>
        <w:keepLines w:val="0"/>
        <w:pageBreakBefore w:val="0"/>
        <w:widowControl w:val="0"/>
        <w:kinsoku w:val="0"/>
        <w:wordWrap/>
        <w:overflowPunct/>
        <w:topLinePunct w:val="0"/>
        <w:autoSpaceDE w:val="0"/>
        <w:autoSpaceDN w:val="0"/>
        <w:bidi w:val="0"/>
        <w:adjustRightInd w:val="0"/>
        <w:snapToGrid w:val="0"/>
        <w:spacing w:before="1" w:line="333" w:lineRule="auto"/>
        <w:ind w:left="752" w:right="6"/>
        <w:textAlignment w:val="auto"/>
      </w:pPr>
      <w:r>
        <w:rPr>
          <w:spacing w:val="-7"/>
        </w:rPr>
        <w:t xml:space="preserve">上年结转结余的一般公共预算收入 </w:t>
      </w:r>
      <w:r>
        <w:rPr>
          <w:rFonts w:hint="eastAsia"/>
          <w:spacing w:val="-2"/>
          <w:lang w:val="en-US" w:eastAsia="zh-CN"/>
        </w:rPr>
        <w:t>47.09</w:t>
      </w:r>
      <w:r>
        <w:rPr>
          <w:spacing w:val="-27"/>
        </w:rPr>
        <w:t xml:space="preserve">万元，占 </w:t>
      </w:r>
      <w:r>
        <w:rPr>
          <w:rFonts w:hint="eastAsia"/>
          <w:spacing w:val="-2"/>
          <w:lang w:val="en-US" w:eastAsia="zh-CN"/>
        </w:rPr>
        <w:t>3.89</w:t>
      </w:r>
      <w:r>
        <w:rPr>
          <w:spacing w:val="-2"/>
        </w:rPr>
        <w:t xml:space="preserve">%；上年结转结余的政府性基金预算收入 </w:t>
      </w:r>
      <w:r>
        <w:t>0</w:t>
      </w:r>
      <w:r>
        <w:rPr>
          <w:spacing w:val="-12"/>
        </w:rPr>
        <w:t xml:space="preserve"> 万元，占 </w:t>
      </w:r>
      <w:r>
        <w:t>0%；</w:t>
      </w:r>
    </w:p>
    <w:p w14:paraId="73F7152C">
      <w:pPr>
        <w:pStyle w:val="5"/>
        <w:keepNext w:val="0"/>
        <w:keepLines w:val="0"/>
        <w:pageBreakBefore w:val="0"/>
        <w:widowControl w:val="0"/>
        <w:kinsoku w:val="0"/>
        <w:wordWrap/>
        <w:overflowPunct/>
        <w:topLinePunct w:val="0"/>
        <w:autoSpaceDE w:val="0"/>
        <w:autoSpaceDN w:val="0"/>
        <w:bidi w:val="0"/>
        <w:adjustRightInd w:val="0"/>
        <w:snapToGrid w:val="0"/>
        <w:spacing w:line="333" w:lineRule="auto"/>
        <w:ind w:left="752" w:right="6"/>
        <w:textAlignment w:val="auto"/>
      </w:pPr>
      <w:r>
        <w:rPr>
          <w:spacing w:val="-7"/>
        </w:rPr>
        <w:t xml:space="preserve">上年结转结余的国有资本经营预算收入 </w:t>
      </w:r>
      <w:r>
        <w:rPr>
          <w:spacing w:val="-2"/>
        </w:rPr>
        <w:t>0</w:t>
      </w:r>
      <w:r>
        <w:rPr>
          <w:spacing w:val="-28"/>
        </w:rPr>
        <w:t xml:space="preserve"> 万元，占 </w:t>
      </w:r>
      <w:r>
        <w:rPr>
          <w:spacing w:val="-2"/>
        </w:rPr>
        <w:t xml:space="preserve">0%；上年结转结余的财政专户管理资金 </w:t>
      </w:r>
      <w:r>
        <w:t>0</w:t>
      </w:r>
      <w:r>
        <w:rPr>
          <w:spacing w:val="-11"/>
        </w:rPr>
        <w:t xml:space="preserve"> 万元，占 </w:t>
      </w:r>
      <w:r>
        <w:t>0%；</w:t>
      </w:r>
    </w:p>
    <w:p w14:paraId="52E060F0">
      <w:pPr>
        <w:pStyle w:val="5"/>
        <w:keepNext w:val="0"/>
        <w:keepLines w:val="0"/>
        <w:pageBreakBefore w:val="0"/>
        <w:widowControl w:val="0"/>
        <w:kinsoku w:val="0"/>
        <w:wordWrap/>
        <w:overflowPunct/>
        <w:topLinePunct w:val="0"/>
        <w:autoSpaceDE w:val="0"/>
        <w:autoSpaceDN w:val="0"/>
        <w:bidi w:val="0"/>
        <w:adjustRightInd w:val="0"/>
        <w:snapToGrid w:val="0"/>
        <w:ind w:left="752" w:right="6"/>
        <w:textAlignment w:val="auto"/>
      </w:pPr>
      <w:r>
        <w:rPr>
          <w:spacing w:val="-10"/>
        </w:rPr>
        <w:t xml:space="preserve">上年结转结余的单位资金 </w:t>
      </w:r>
      <w:r>
        <w:rPr>
          <w:spacing w:val="-4"/>
        </w:rPr>
        <w:t>0</w:t>
      </w:r>
      <w:r>
        <w:rPr>
          <w:spacing w:val="-28"/>
        </w:rPr>
        <w:t xml:space="preserve"> 万元，占 </w:t>
      </w:r>
      <w:r>
        <w:rPr>
          <w:spacing w:val="-4"/>
        </w:rPr>
        <w:t>0</w:t>
      </w:r>
      <w:r>
        <w:rPr>
          <w:spacing w:val="-7"/>
        </w:rPr>
        <w:t>%。</w:t>
      </w:r>
    </w:p>
    <w:p w14:paraId="2A6FCD8F">
      <w:pPr>
        <w:keepNext w:val="0"/>
        <w:keepLines w:val="0"/>
        <w:pageBreakBefore w:val="0"/>
        <w:widowControl w:val="0"/>
        <w:kinsoku w:val="0"/>
        <w:wordWrap/>
        <w:overflowPunct/>
        <w:topLinePunct w:val="0"/>
        <w:autoSpaceDE w:val="0"/>
        <w:autoSpaceDN w:val="0"/>
        <w:bidi w:val="0"/>
        <w:adjustRightInd w:val="0"/>
        <w:snapToGrid w:val="0"/>
        <w:spacing w:after="0" w:line="333" w:lineRule="auto"/>
        <w:ind w:right="6"/>
        <w:jc w:val="center"/>
        <w:textAlignment w:val="auto"/>
        <w:rPr>
          <w:rFonts w:hint="eastAsia" w:eastAsia="宋体"/>
          <w:lang w:eastAsia="zh-CN"/>
        </w:rPr>
      </w:pPr>
      <w:r>
        <w:rPr>
          <w:rFonts w:hint="eastAsia" w:eastAsia="宋体"/>
          <w:lang w:eastAsia="zh-CN"/>
        </w:rPr>
        <w:drawing>
          <wp:inline distT="0" distB="0" distL="114300" distR="114300">
            <wp:extent cx="3684270" cy="1327150"/>
            <wp:effectExtent l="4445" t="4445" r="14605"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45B59E">
      <w:pPr>
        <w:pStyle w:val="5"/>
        <w:keepNext w:val="0"/>
        <w:keepLines w:val="0"/>
        <w:pageBreakBefore w:val="0"/>
        <w:widowControl w:val="0"/>
        <w:kinsoku w:val="0"/>
        <w:wordWrap/>
        <w:overflowPunct/>
        <w:topLinePunct w:val="0"/>
        <w:autoSpaceDE w:val="0"/>
        <w:autoSpaceDN w:val="0"/>
        <w:bidi w:val="0"/>
        <w:adjustRightInd w:val="0"/>
        <w:snapToGrid w:val="0"/>
        <w:spacing w:before="55"/>
        <w:ind w:left="0" w:leftChars="0" w:right="6" w:firstLine="0" w:firstLineChars="0"/>
        <w:textAlignment w:val="auto"/>
      </w:pPr>
      <w:r>
        <w:rPr>
          <w:spacing w:val="-5"/>
        </w:rPr>
        <w:t>三、支出预算情况说明</w:t>
      </w:r>
    </w:p>
    <w:p w14:paraId="0C3BC0DF">
      <w:pPr>
        <w:pStyle w:val="5"/>
        <w:keepNext w:val="0"/>
        <w:keepLines w:val="0"/>
        <w:pageBreakBefore w:val="0"/>
        <w:widowControl w:val="0"/>
        <w:kinsoku w:val="0"/>
        <w:wordWrap/>
        <w:overflowPunct/>
        <w:topLinePunct w:val="0"/>
        <w:autoSpaceDE w:val="0"/>
        <w:autoSpaceDN w:val="0"/>
        <w:bidi w:val="0"/>
        <w:adjustRightInd w:val="0"/>
        <w:snapToGrid w:val="0"/>
        <w:spacing w:before="161" w:line="333" w:lineRule="auto"/>
        <w:ind w:right="6" w:firstLine="640"/>
        <w:textAlignment w:val="auto"/>
      </w:pPr>
      <w:r>
        <w:rPr>
          <w:spacing w:val="36"/>
        </w:rPr>
        <w:t xml:space="preserve">赤峰市营商环境促进中心单位 </w:t>
      </w:r>
      <w:r>
        <w:t>202</w:t>
      </w:r>
      <w:r>
        <w:rPr>
          <w:rFonts w:hint="eastAsia"/>
          <w:lang w:val="en-US" w:eastAsia="zh-CN"/>
        </w:rPr>
        <w:t>6</w:t>
      </w:r>
      <w:r>
        <w:rPr>
          <w:spacing w:val="30"/>
        </w:rPr>
        <w:t xml:space="preserve"> 年支出预算合计</w:t>
      </w:r>
      <w:r>
        <w:t xml:space="preserve"> </w:t>
      </w:r>
      <w:r>
        <w:rPr>
          <w:rFonts w:hint="eastAsia"/>
          <w:lang w:val="en-US" w:eastAsia="zh-CN"/>
        </w:rPr>
        <w:t>1210.75</w:t>
      </w:r>
      <w:r>
        <w:rPr>
          <w:spacing w:val="-8"/>
        </w:rPr>
        <w:t xml:space="preserve"> 万元，其中：</w:t>
      </w:r>
    </w:p>
    <w:p w14:paraId="20BE8D42">
      <w:pPr>
        <w:pStyle w:val="5"/>
        <w:keepNext w:val="0"/>
        <w:keepLines w:val="0"/>
        <w:pageBreakBefore w:val="0"/>
        <w:widowControl w:val="0"/>
        <w:kinsoku w:val="0"/>
        <w:wordWrap/>
        <w:overflowPunct/>
        <w:topLinePunct w:val="0"/>
        <w:autoSpaceDE w:val="0"/>
        <w:autoSpaceDN w:val="0"/>
        <w:bidi w:val="0"/>
        <w:adjustRightInd w:val="0"/>
        <w:snapToGrid w:val="0"/>
        <w:spacing w:line="333" w:lineRule="auto"/>
        <w:ind w:left="752" w:right="6"/>
        <w:textAlignment w:val="auto"/>
      </w:pPr>
      <w:r>
        <w:rPr>
          <w:spacing w:val="-17"/>
        </w:rPr>
        <w:t xml:space="preserve">基本支出 </w:t>
      </w:r>
      <w:r>
        <w:rPr>
          <w:rFonts w:hint="eastAsia"/>
          <w:lang w:val="en-US" w:eastAsia="zh-CN"/>
        </w:rPr>
        <w:t xml:space="preserve">945.22 </w:t>
      </w:r>
      <w:r>
        <w:rPr>
          <w:spacing w:val="-28"/>
        </w:rPr>
        <w:t>万元</w:t>
      </w:r>
      <w:r>
        <w:rPr>
          <w:rFonts w:hint="eastAsia"/>
          <w:spacing w:val="-28"/>
          <w:lang w:eastAsia="zh-CN"/>
        </w:rPr>
        <w:t>，</w:t>
      </w:r>
      <w:r>
        <w:rPr>
          <w:spacing w:val="-28"/>
        </w:rPr>
        <w:t xml:space="preserve">占 </w:t>
      </w:r>
      <w:r>
        <w:rPr>
          <w:rFonts w:hint="eastAsia"/>
          <w:lang w:val="en-US" w:eastAsia="zh-CN"/>
        </w:rPr>
        <w:t>78.07</w:t>
      </w:r>
      <w:r>
        <w:t>%；</w:t>
      </w:r>
      <w:r>
        <w:rPr>
          <w:spacing w:val="-17"/>
        </w:rPr>
        <w:t xml:space="preserve">项目支出 </w:t>
      </w:r>
      <w:r>
        <w:rPr>
          <w:rFonts w:hint="eastAsia"/>
          <w:lang w:val="en-US" w:eastAsia="zh-CN"/>
        </w:rPr>
        <w:t>265.53</w:t>
      </w:r>
      <w:r>
        <w:rPr>
          <w:spacing w:val="-28"/>
        </w:rPr>
        <w:t xml:space="preserve"> 万元，占 </w:t>
      </w:r>
      <w:r>
        <w:rPr>
          <w:rFonts w:hint="eastAsia"/>
          <w:lang w:val="en-US" w:eastAsia="zh-CN"/>
        </w:rPr>
        <w:t>21.93</w:t>
      </w:r>
      <w:r>
        <w:t>%；</w:t>
      </w:r>
      <w:r>
        <w:rPr>
          <w:spacing w:val="-5"/>
        </w:rPr>
        <w:t xml:space="preserve">事业单位经营支出 </w:t>
      </w:r>
      <w:r>
        <w:t>0</w:t>
      </w:r>
      <w:r>
        <w:rPr>
          <w:spacing w:val="-14"/>
        </w:rPr>
        <w:t xml:space="preserve"> 万元，占 </w:t>
      </w:r>
      <w:r>
        <w:t>0%；</w:t>
      </w:r>
      <w:r>
        <w:rPr>
          <w:spacing w:val="-4"/>
        </w:rPr>
        <w:t xml:space="preserve">上缴上级支出 </w:t>
      </w:r>
      <w:r>
        <w:t>0</w:t>
      </w:r>
      <w:r>
        <w:rPr>
          <w:spacing w:val="-12"/>
        </w:rPr>
        <w:t xml:space="preserve"> 万元，占 </w:t>
      </w:r>
      <w:r>
        <w:t>0%；</w:t>
      </w:r>
    </w:p>
    <w:p w14:paraId="62EA5399">
      <w:pPr>
        <w:pStyle w:val="5"/>
        <w:keepNext w:val="0"/>
        <w:keepLines w:val="0"/>
        <w:pageBreakBefore w:val="0"/>
        <w:widowControl w:val="0"/>
        <w:kinsoku w:val="0"/>
        <w:wordWrap/>
        <w:overflowPunct/>
        <w:topLinePunct w:val="0"/>
        <w:autoSpaceDE w:val="0"/>
        <w:autoSpaceDN w:val="0"/>
        <w:bidi w:val="0"/>
        <w:adjustRightInd w:val="0"/>
        <w:snapToGrid w:val="0"/>
        <w:spacing w:before="1"/>
        <w:ind w:left="2240" w:leftChars="341" w:right="6" w:hanging="1490" w:hangingChars="500"/>
        <w:textAlignment w:val="auto"/>
      </w:pPr>
      <w:r>
        <w:rPr>
          <w:spacing w:val="-11"/>
        </w:rPr>
        <w:t xml:space="preserve">对附属单位补助支出 </w:t>
      </w:r>
      <w:r>
        <w:rPr>
          <w:spacing w:val="-4"/>
        </w:rPr>
        <w:t>0</w:t>
      </w:r>
      <w:r>
        <w:rPr>
          <w:spacing w:val="-28"/>
        </w:rPr>
        <w:t xml:space="preserve"> 万元，占 </w:t>
      </w:r>
      <w:r>
        <w:rPr>
          <w:spacing w:val="-4"/>
        </w:rPr>
        <w:t>0%</w:t>
      </w:r>
      <w:r>
        <w:rPr>
          <w:spacing w:val="-12"/>
        </w:rPr>
        <w:t>。</w:t>
      </w:r>
      <w:r>
        <w:rPr>
          <w:rFonts w:hint="eastAsia" w:eastAsia="宋体"/>
          <w:lang w:eastAsia="zh-CN"/>
        </w:rPr>
        <w:drawing>
          <wp:inline distT="0" distB="0" distL="114300" distR="114300">
            <wp:extent cx="3068320" cy="1377950"/>
            <wp:effectExtent l="5080" t="4445" r="5080" b="1968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9FE886">
      <w:pPr>
        <w:pStyle w:val="5"/>
        <w:keepNext w:val="0"/>
        <w:keepLines w:val="0"/>
        <w:pageBreakBefore w:val="0"/>
        <w:widowControl w:val="0"/>
        <w:kinsoku w:val="0"/>
        <w:wordWrap/>
        <w:overflowPunct/>
        <w:topLinePunct w:val="0"/>
        <w:autoSpaceDE w:val="0"/>
        <w:autoSpaceDN w:val="0"/>
        <w:bidi w:val="0"/>
        <w:adjustRightInd w:val="0"/>
        <w:snapToGrid w:val="0"/>
        <w:spacing w:before="5"/>
        <w:ind w:left="0" w:right="6"/>
        <w:textAlignment w:val="auto"/>
        <w:rPr>
          <w:sz w:val="37"/>
        </w:rPr>
      </w:pPr>
    </w:p>
    <w:p w14:paraId="095F7B13">
      <w:pPr>
        <w:pStyle w:val="5"/>
        <w:keepNext w:val="0"/>
        <w:keepLines w:val="0"/>
        <w:pageBreakBefore w:val="0"/>
        <w:widowControl w:val="0"/>
        <w:kinsoku w:val="0"/>
        <w:wordWrap/>
        <w:overflowPunct/>
        <w:topLinePunct w:val="0"/>
        <w:autoSpaceDE w:val="0"/>
        <w:autoSpaceDN w:val="0"/>
        <w:bidi w:val="0"/>
        <w:adjustRightInd w:val="0"/>
        <w:snapToGrid w:val="0"/>
        <w:ind w:left="752" w:right="6"/>
        <w:textAlignment w:val="auto"/>
      </w:pPr>
      <w:r>
        <w:rPr>
          <w:spacing w:val="-5"/>
        </w:rPr>
        <w:t>四、财政拨款收支预算总体情况说明</w:t>
      </w:r>
    </w:p>
    <w:p w14:paraId="6FE34EC8">
      <w:pPr>
        <w:pStyle w:val="5"/>
        <w:keepNext w:val="0"/>
        <w:keepLines w:val="0"/>
        <w:pageBreakBefore w:val="0"/>
        <w:widowControl w:val="0"/>
        <w:kinsoku w:val="0"/>
        <w:wordWrap/>
        <w:overflowPunct/>
        <w:topLinePunct w:val="0"/>
        <w:autoSpaceDE w:val="0"/>
        <w:autoSpaceDN w:val="0"/>
        <w:bidi w:val="0"/>
        <w:adjustRightInd w:val="0"/>
        <w:snapToGrid w:val="0"/>
        <w:spacing w:before="161"/>
        <w:ind w:left="752" w:right="6"/>
        <w:textAlignment w:val="auto"/>
      </w:pPr>
      <w:r>
        <w:rPr>
          <w:spacing w:val="-7"/>
        </w:rPr>
        <w:t xml:space="preserve">赤峰市营商环境促进中心单位 </w:t>
      </w:r>
      <w:r>
        <w:rPr>
          <w:spacing w:val="-4"/>
        </w:rPr>
        <w:t>202</w:t>
      </w:r>
      <w:r>
        <w:rPr>
          <w:rFonts w:hint="eastAsia"/>
          <w:spacing w:val="-4"/>
          <w:lang w:val="en-US" w:eastAsia="zh-CN"/>
        </w:rPr>
        <w:t>6</w:t>
      </w:r>
      <w:r>
        <w:rPr>
          <w:spacing w:val="-10"/>
        </w:rPr>
        <w:t xml:space="preserve"> 年度财政拨款收入预算</w:t>
      </w:r>
    </w:p>
    <w:p w14:paraId="0244DA92">
      <w:pPr>
        <w:pStyle w:val="5"/>
        <w:keepNext w:val="0"/>
        <w:keepLines w:val="0"/>
        <w:pageBreakBefore w:val="0"/>
        <w:widowControl w:val="0"/>
        <w:kinsoku w:val="0"/>
        <w:wordWrap/>
        <w:overflowPunct/>
        <w:topLinePunct w:val="0"/>
        <w:autoSpaceDE w:val="0"/>
        <w:autoSpaceDN w:val="0"/>
        <w:bidi w:val="0"/>
        <w:adjustRightInd w:val="0"/>
        <w:snapToGrid w:val="0"/>
        <w:spacing w:before="159"/>
        <w:ind w:right="6"/>
        <w:jc w:val="both"/>
        <w:textAlignment w:val="auto"/>
      </w:pPr>
      <w:r>
        <w:rPr>
          <w:spacing w:val="-26"/>
        </w:rPr>
        <w:t xml:space="preserve">合计 </w:t>
      </w:r>
      <w:r>
        <w:rPr>
          <w:spacing w:val="-4"/>
        </w:rPr>
        <w:t>12</w:t>
      </w:r>
      <w:r>
        <w:rPr>
          <w:rFonts w:hint="eastAsia"/>
          <w:spacing w:val="-4"/>
          <w:lang w:val="en-US" w:eastAsia="zh-CN"/>
        </w:rPr>
        <w:t>10.75</w:t>
      </w:r>
      <w:r>
        <w:rPr>
          <w:spacing w:val="-20"/>
        </w:rPr>
        <w:t xml:space="preserve"> 万元，包括一般公共预算拨款 </w:t>
      </w:r>
      <w:r>
        <w:rPr>
          <w:rFonts w:hint="eastAsia"/>
          <w:spacing w:val="-4"/>
          <w:lang w:val="en-US" w:eastAsia="zh-CN"/>
        </w:rPr>
        <w:t>1163.66</w:t>
      </w:r>
      <w:r>
        <w:rPr>
          <w:spacing w:val="-25"/>
        </w:rPr>
        <w:t xml:space="preserve"> 万元，上年</w:t>
      </w:r>
    </w:p>
    <w:p w14:paraId="071E2290">
      <w:pPr>
        <w:pStyle w:val="5"/>
        <w:keepNext w:val="0"/>
        <w:keepLines w:val="0"/>
        <w:pageBreakBefore w:val="0"/>
        <w:widowControl w:val="0"/>
        <w:kinsoku w:val="0"/>
        <w:wordWrap/>
        <w:overflowPunct/>
        <w:topLinePunct w:val="0"/>
        <w:autoSpaceDE w:val="0"/>
        <w:autoSpaceDN w:val="0"/>
        <w:bidi w:val="0"/>
        <w:adjustRightInd w:val="0"/>
        <w:snapToGrid w:val="0"/>
        <w:spacing w:before="162" w:line="333" w:lineRule="auto"/>
        <w:ind w:right="6"/>
        <w:jc w:val="both"/>
        <w:textAlignment w:val="auto"/>
        <w:rPr>
          <w:spacing w:val="-4"/>
        </w:rPr>
      </w:pPr>
      <w:r>
        <w:t xml:space="preserve">结转一般公共预算拨款 </w:t>
      </w:r>
      <w:r>
        <w:rPr>
          <w:rFonts w:hint="eastAsia"/>
          <w:lang w:val="en-US" w:eastAsia="zh-CN"/>
        </w:rPr>
        <w:t>47.09</w:t>
      </w:r>
      <w:r>
        <w:t xml:space="preserve"> 万元。与上年相比，减少 </w:t>
      </w:r>
      <w:r>
        <w:rPr>
          <w:rFonts w:hint="eastAsia"/>
          <w:lang w:val="en-US" w:eastAsia="zh-CN"/>
        </w:rPr>
        <w:t>18.16</w:t>
      </w:r>
      <w:r>
        <w:t xml:space="preserve">万元，减少 </w:t>
      </w:r>
      <w:r>
        <w:rPr>
          <w:rFonts w:hint="eastAsia"/>
          <w:lang w:val="en-US" w:eastAsia="zh-CN"/>
        </w:rPr>
        <w:t>1.48</w:t>
      </w:r>
      <w:r>
        <w:t>%，主要原因</w:t>
      </w:r>
      <w:r>
        <w:rPr>
          <w:rFonts w:hint="eastAsia"/>
          <w:lang w:val="en-US" w:eastAsia="zh-CN"/>
        </w:rPr>
        <w:t>一</w:t>
      </w:r>
      <w:r>
        <w:t>是根据财政“过紧日子”要求，</w:t>
      </w:r>
      <w:r>
        <w:rPr>
          <w:spacing w:val="-4"/>
        </w:rPr>
        <w:t>压减年度预算</w:t>
      </w:r>
      <w:r>
        <w:rPr>
          <w:rFonts w:hint="eastAsia"/>
          <w:spacing w:val="-4"/>
          <w:lang w:eastAsia="zh-CN"/>
        </w:rPr>
        <w:t>，</w:t>
      </w:r>
      <w:r>
        <w:rPr>
          <w:rFonts w:hint="eastAsia"/>
          <w:spacing w:val="-4"/>
          <w:lang w:val="en-US" w:eastAsia="zh-CN"/>
        </w:rPr>
        <w:t>二是2025年新进5名工作人员，三是2025年部分资金未拨付结转至2026年</w:t>
      </w:r>
      <w:r>
        <w:rPr>
          <w:spacing w:val="-4"/>
        </w:rPr>
        <w:t>。</w:t>
      </w:r>
    </w:p>
    <w:p w14:paraId="08DEC1AC">
      <w:pPr>
        <w:pStyle w:val="5"/>
        <w:keepNext w:val="0"/>
        <w:keepLines w:val="0"/>
        <w:pageBreakBefore w:val="0"/>
        <w:widowControl w:val="0"/>
        <w:kinsoku w:val="0"/>
        <w:wordWrap/>
        <w:overflowPunct/>
        <w:topLinePunct w:val="0"/>
        <w:autoSpaceDE w:val="0"/>
        <w:autoSpaceDN w:val="0"/>
        <w:bidi w:val="0"/>
        <w:adjustRightInd w:val="0"/>
        <w:snapToGrid w:val="0"/>
        <w:spacing w:before="162" w:line="600" w:lineRule="exact"/>
        <w:ind w:left="113" w:right="6" w:firstLine="624" w:firstLineChars="200"/>
        <w:jc w:val="both"/>
        <w:textAlignment w:val="auto"/>
        <w:rPr>
          <w:spacing w:val="-2"/>
        </w:rPr>
      </w:pPr>
      <w:r>
        <w:rPr>
          <w:spacing w:val="-4"/>
        </w:rPr>
        <w:t>202</w:t>
      </w:r>
      <w:r>
        <w:rPr>
          <w:rFonts w:hint="eastAsia"/>
          <w:spacing w:val="-4"/>
          <w:lang w:val="en-US" w:eastAsia="zh-CN"/>
        </w:rPr>
        <w:t>6</w:t>
      </w:r>
      <w:r>
        <w:rPr>
          <w:spacing w:val="-18"/>
        </w:rPr>
        <w:t xml:space="preserve">年度财政拨款支出预算合计 </w:t>
      </w:r>
      <w:r>
        <w:rPr>
          <w:rFonts w:hint="eastAsia"/>
          <w:spacing w:val="-4"/>
          <w:lang w:val="en-US" w:eastAsia="zh-CN"/>
        </w:rPr>
        <w:t>1210.75</w:t>
      </w:r>
      <w:r>
        <w:rPr>
          <w:spacing w:val="-24"/>
        </w:rPr>
        <w:t xml:space="preserve"> 万元</w:t>
      </w:r>
      <w:r>
        <w:rPr>
          <w:rFonts w:hint="eastAsia"/>
          <w:spacing w:val="-24"/>
          <w:lang w:eastAsia="zh-CN"/>
        </w:rPr>
        <w:t>，</w:t>
      </w:r>
      <w:r>
        <w:rPr>
          <w:spacing w:val="10"/>
        </w:rPr>
        <w:t xml:space="preserve">包括一般公共服务支出 </w:t>
      </w:r>
      <w:r>
        <w:rPr>
          <w:rFonts w:hint="eastAsia"/>
          <w:lang w:val="en-US" w:eastAsia="zh-CN"/>
        </w:rPr>
        <w:t>1088.76</w:t>
      </w:r>
      <w:r>
        <w:rPr>
          <w:spacing w:val="8"/>
        </w:rPr>
        <w:t xml:space="preserve"> 万元，社会保障和就业支出</w:t>
      </w:r>
      <w:r>
        <w:rPr>
          <w:rFonts w:hint="eastAsia"/>
          <w:spacing w:val="-4"/>
          <w:lang w:val="en-US" w:eastAsia="zh-CN"/>
        </w:rPr>
        <w:t>57.87</w:t>
      </w:r>
      <w:r>
        <w:rPr>
          <w:spacing w:val="-19"/>
        </w:rPr>
        <w:t xml:space="preserve"> 万元，卫生健康支出 </w:t>
      </w:r>
      <w:r>
        <w:rPr>
          <w:rFonts w:hint="eastAsia"/>
          <w:spacing w:val="-4"/>
          <w:lang w:val="en-US" w:eastAsia="zh-CN"/>
        </w:rPr>
        <w:t>19.7</w:t>
      </w:r>
      <w:r>
        <w:rPr>
          <w:spacing w:val="-20"/>
        </w:rPr>
        <w:t xml:space="preserve"> 万元，农林水支出 </w:t>
      </w:r>
      <w:r>
        <w:rPr>
          <w:rFonts w:hint="eastAsia"/>
          <w:spacing w:val="-4"/>
          <w:lang w:val="en-US" w:eastAsia="zh-CN"/>
        </w:rPr>
        <w:t>0.41</w:t>
      </w:r>
      <w:r>
        <w:rPr>
          <w:spacing w:val="-24"/>
        </w:rPr>
        <w:t xml:space="preserve"> 万元，</w:t>
      </w:r>
      <w:r>
        <w:rPr>
          <w:spacing w:val="-10"/>
        </w:rPr>
        <w:t xml:space="preserve">住房保障支出 </w:t>
      </w:r>
      <w:r>
        <w:rPr>
          <w:rFonts w:hint="eastAsia"/>
          <w:spacing w:val="-6"/>
          <w:lang w:val="en-US" w:eastAsia="zh-CN"/>
        </w:rPr>
        <w:t>33.01</w:t>
      </w:r>
      <w:r>
        <w:rPr>
          <w:spacing w:val="-13"/>
        </w:rPr>
        <w:t xml:space="preserve"> 万元。与上年相比，减少 </w:t>
      </w:r>
      <w:r>
        <w:rPr>
          <w:rFonts w:hint="eastAsia"/>
          <w:spacing w:val="-6"/>
          <w:lang w:val="en-US" w:eastAsia="zh-CN"/>
        </w:rPr>
        <w:t>18.16</w:t>
      </w:r>
      <w:r>
        <w:rPr>
          <w:spacing w:val="-12"/>
        </w:rPr>
        <w:t xml:space="preserve"> 万元，减</w:t>
      </w:r>
      <w:r>
        <w:rPr>
          <w:spacing w:val="-20"/>
        </w:rPr>
        <w:t xml:space="preserve">少 </w:t>
      </w:r>
      <w:r>
        <w:rPr>
          <w:rFonts w:hint="eastAsia"/>
          <w:spacing w:val="-6"/>
          <w:lang w:val="en-US" w:eastAsia="zh-CN"/>
        </w:rPr>
        <w:t>1.48</w:t>
      </w:r>
      <w:r>
        <w:rPr>
          <w:spacing w:val="-6"/>
        </w:rPr>
        <w:t>%</w:t>
      </w:r>
      <w:r>
        <w:rPr>
          <w:spacing w:val="-8"/>
        </w:rPr>
        <w:t xml:space="preserve">，主要原因是根据预算资金安排，本单位 </w:t>
      </w:r>
      <w:r>
        <w:rPr>
          <w:spacing w:val="-6"/>
        </w:rPr>
        <w:t>202</w:t>
      </w:r>
      <w:r>
        <w:rPr>
          <w:rFonts w:hint="eastAsia"/>
          <w:spacing w:val="-6"/>
          <w:lang w:val="en-US" w:eastAsia="zh-CN"/>
        </w:rPr>
        <w:t>6</w:t>
      </w:r>
      <w:r>
        <w:rPr>
          <w:spacing w:val="-14"/>
        </w:rPr>
        <w:t xml:space="preserve"> 年基本</w:t>
      </w:r>
      <w:r>
        <w:rPr>
          <w:spacing w:val="-2"/>
        </w:rPr>
        <w:t>支出及项目支出均减少。</w:t>
      </w:r>
    </w:p>
    <w:p w14:paraId="33544D52">
      <w:pPr>
        <w:pStyle w:val="5"/>
        <w:keepNext w:val="0"/>
        <w:keepLines w:val="0"/>
        <w:pageBreakBefore w:val="0"/>
        <w:widowControl w:val="0"/>
        <w:kinsoku w:val="0"/>
        <w:wordWrap/>
        <w:overflowPunct/>
        <w:topLinePunct w:val="0"/>
        <w:autoSpaceDE w:val="0"/>
        <w:autoSpaceDN w:val="0"/>
        <w:bidi w:val="0"/>
        <w:adjustRightInd w:val="0"/>
        <w:snapToGrid w:val="0"/>
        <w:spacing w:line="409" w:lineRule="exact"/>
        <w:ind w:right="6" w:firstLine="620" w:firstLineChars="200"/>
        <w:textAlignment w:val="auto"/>
      </w:pPr>
      <w:r>
        <w:rPr>
          <w:spacing w:val="-5"/>
        </w:rPr>
        <w:t>五、一般公共预算支出预算情况说明</w:t>
      </w:r>
    </w:p>
    <w:p w14:paraId="660437C8">
      <w:pPr>
        <w:pStyle w:val="5"/>
        <w:keepNext w:val="0"/>
        <w:keepLines w:val="0"/>
        <w:pageBreakBefore w:val="0"/>
        <w:widowControl w:val="0"/>
        <w:kinsoku w:val="0"/>
        <w:wordWrap/>
        <w:overflowPunct/>
        <w:topLinePunct w:val="0"/>
        <w:autoSpaceDE w:val="0"/>
        <w:autoSpaceDN w:val="0"/>
        <w:bidi w:val="0"/>
        <w:adjustRightInd w:val="0"/>
        <w:snapToGrid w:val="0"/>
        <w:spacing w:before="161"/>
        <w:ind w:left="0" w:leftChars="0" w:right="6" w:firstLine="612" w:firstLineChars="200"/>
        <w:textAlignment w:val="auto"/>
      </w:pPr>
      <w:r>
        <w:rPr>
          <w:spacing w:val="-7"/>
        </w:rPr>
        <w:t xml:space="preserve">赤峰市营商环境促进中心单位 </w:t>
      </w:r>
      <w:r>
        <w:rPr>
          <w:spacing w:val="-4"/>
        </w:rPr>
        <w:t>202</w:t>
      </w:r>
      <w:r>
        <w:rPr>
          <w:rFonts w:hint="eastAsia"/>
          <w:spacing w:val="-4"/>
          <w:lang w:val="en-US" w:eastAsia="zh-CN"/>
        </w:rPr>
        <w:t>6</w:t>
      </w:r>
      <w:r>
        <w:rPr>
          <w:spacing w:val="-10"/>
        </w:rPr>
        <w:t xml:space="preserve"> 年一般公共预算财政拨</w:t>
      </w:r>
    </w:p>
    <w:p w14:paraId="42B69E5F">
      <w:pPr>
        <w:pStyle w:val="5"/>
        <w:keepNext w:val="0"/>
        <w:keepLines w:val="0"/>
        <w:pageBreakBefore w:val="0"/>
        <w:widowControl w:val="0"/>
        <w:kinsoku w:val="0"/>
        <w:wordWrap/>
        <w:overflowPunct/>
        <w:topLinePunct w:val="0"/>
        <w:autoSpaceDE w:val="0"/>
        <w:autoSpaceDN w:val="0"/>
        <w:bidi w:val="0"/>
        <w:adjustRightInd w:val="0"/>
        <w:snapToGrid w:val="0"/>
        <w:spacing w:before="159" w:line="333" w:lineRule="auto"/>
        <w:ind w:left="0" w:leftChars="0" w:right="6" w:firstLine="0" w:firstLineChars="0"/>
        <w:textAlignment w:val="auto"/>
      </w:pPr>
      <w:r>
        <w:rPr>
          <w:spacing w:val="-13"/>
        </w:rPr>
        <w:t xml:space="preserve">款支出预算 </w:t>
      </w:r>
      <w:r>
        <w:rPr>
          <w:rFonts w:hint="eastAsia"/>
          <w:spacing w:val="-2"/>
          <w:lang w:val="en-US" w:eastAsia="zh-CN"/>
        </w:rPr>
        <w:t>1210.75</w:t>
      </w:r>
      <w:r>
        <w:rPr>
          <w:spacing w:val="-15"/>
        </w:rPr>
        <w:t xml:space="preserve"> 万元，与上年相比减少 </w:t>
      </w:r>
      <w:r>
        <w:rPr>
          <w:rFonts w:hint="eastAsia"/>
          <w:spacing w:val="-2"/>
          <w:lang w:val="en-US" w:eastAsia="zh-CN"/>
        </w:rPr>
        <w:t>18.16</w:t>
      </w:r>
      <w:r>
        <w:rPr>
          <w:spacing w:val="-12"/>
        </w:rPr>
        <w:t xml:space="preserve"> 万元，减少</w:t>
      </w:r>
      <w:r>
        <w:rPr>
          <w:spacing w:val="-2"/>
        </w:rPr>
        <w:t xml:space="preserve"> </w:t>
      </w:r>
      <w:r>
        <w:rPr>
          <w:rFonts w:hint="eastAsia"/>
          <w:spacing w:val="-2"/>
          <w:lang w:val="en-US" w:eastAsia="zh-CN"/>
        </w:rPr>
        <w:t>18.16</w:t>
      </w:r>
      <w:r>
        <w:rPr>
          <w:spacing w:val="-2"/>
        </w:rPr>
        <w:t>%。具体情况如下：</w:t>
      </w:r>
    </w:p>
    <w:p w14:paraId="0A7A569F">
      <w:pPr>
        <w:pStyle w:val="5"/>
        <w:keepNext w:val="0"/>
        <w:keepLines w:val="0"/>
        <w:pageBreakBefore w:val="0"/>
        <w:widowControl w:val="0"/>
        <w:kinsoku w:val="0"/>
        <w:wordWrap/>
        <w:overflowPunct/>
        <w:topLinePunct w:val="0"/>
        <w:autoSpaceDE w:val="0"/>
        <w:autoSpaceDN w:val="0"/>
        <w:bidi w:val="0"/>
        <w:adjustRightInd w:val="0"/>
        <w:snapToGrid w:val="0"/>
        <w:ind w:left="752" w:right="6"/>
        <w:textAlignment w:val="auto"/>
      </w:pPr>
      <w:r>
        <w:rPr>
          <w:spacing w:val="-4"/>
        </w:rPr>
        <w:t>（一）一般公共服务（类</w:t>
      </w:r>
      <w:r>
        <w:rPr>
          <w:spacing w:val="-10"/>
        </w:rPr>
        <w:t>）</w:t>
      </w:r>
    </w:p>
    <w:p w14:paraId="5A1D86A7">
      <w:pPr>
        <w:pStyle w:val="5"/>
        <w:keepNext w:val="0"/>
        <w:keepLines w:val="0"/>
        <w:pageBreakBefore w:val="0"/>
        <w:widowControl w:val="0"/>
        <w:kinsoku w:val="0"/>
        <w:wordWrap/>
        <w:overflowPunct/>
        <w:topLinePunct w:val="0"/>
        <w:autoSpaceDE w:val="0"/>
        <w:autoSpaceDN w:val="0"/>
        <w:bidi w:val="0"/>
        <w:adjustRightInd w:val="0"/>
        <w:snapToGrid w:val="0"/>
        <w:spacing w:before="161"/>
        <w:ind w:left="752" w:right="6"/>
        <w:textAlignment w:val="auto"/>
      </w:pPr>
      <w:r>
        <w:rPr>
          <w:spacing w:val="-8"/>
        </w:rPr>
        <w:t xml:space="preserve">一般公共服务类年初预算数为 </w:t>
      </w:r>
      <w:r>
        <w:rPr>
          <w:rFonts w:hint="eastAsia"/>
          <w:spacing w:val="-4"/>
          <w:lang w:val="en-US" w:eastAsia="zh-CN"/>
        </w:rPr>
        <w:t>1088.76</w:t>
      </w:r>
      <w:r>
        <w:rPr>
          <w:spacing w:val="-24"/>
        </w:rPr>
        <w:t xml:space="preserve"> 万元，与上年相比减</w:t>
      </w:r>
    </w:p>
    <w:p w14:paraId="3B2473E4">
      <w:pPr>
        <w:pStyle w:val="5"/>
        <w:keepNext w:val="0"/>
        <w:keepLines w:val="0"/>
        <w:pageBreakBefore w:val="0"/>
        <w:widowControl w:val="0"/>
        <w:kinsoku w:val="0"/>
        <w:wordWrap/>
        <w:overflowPunct/>
        <w:topLinePunct w:val="0"/>
        <w:autoSpaceDE w:val="0"/>
        <w:autoSpaceDN w:val="0"/>
        <w:bidi w:val="0"/>
        <w:adjustRightInd w:val="0"/>
        <w:snapToGrid w:val="0"/>
        <w:spacing w:before="159"/>
        <w:ind w:right="6"/>
        <w:textAlignment w:val="auto"/>
      </w:pPr>
      <w:r>
        <w:rPr>
          <w:spacing w:val="-37"/>
        </w:rPr>
        <w:t xml:space="preserve">少 </w:t>
      </w:r>
      <w:r>
        <w:rPr>
          <w:rFonts w:hint="eastAsia"/>
          <w:spacing w:val="-4"/>
          <w:lang w:val="en-US" w:eastAsia="zh-CN"/>
        </w:rPr>
        <w:t>49.93</w:t>
      </w:r>
      <w:r>
        <w:rPr>
          <w:spacing w:val="-16"/>
        </w:rPr>
        <w:t xml:space="preserve"> 万元。其中：</w:t>
      </w:r>
    </w:p>
    <w:p w14:paraId="7DC4EA3E">
      <w:pPr>
        <w:pStyle w:val="12"/>
        <w:keepNext w:val="0"/>
        <w:keepLines w:val="0"/>
        <w:pageBreakBefore w:val="0"/>
        <w:widowControl w:val="0"/>
        <w:numPr>
          <w:ilvl w:val="0"/>
          <w:numId w:val="7"/>
        </w:numPr>
        <w:tabs>
          <w:tab w:val="left" w:pos="1072"/>
        </w:tabs>
        <w:kinsoku w:val="0"/>
        <w:wordWrap/>
        <w:overflowPunct/>
        <w:topLinePunct w:val="0"/>
        <w:autoSpaceDE w:val="0"/>
        <w:autoSpaceDN w:val="0"/>
        <w:bidi w:val="0"/>
        <w:adjustRightInd w:val="0"/>
        <w:snapToGrid w:val="0"/>
        <w:spacing w:before="161" w:after="0" w:line="333" w:lineRule="auto"/>
        <w:ind w:left="111" w:right="6" w:firstLine="640"/>
        <w:jc w:val="both"/>
        <w:textAlignment w:val="auto"/>
        <w:rPr>
          <w:sz w:val="32"/>
        </w:rPr>
      </w:pPr>
      <w:r>
        <w:rPr>
          <w:spacing w:val="-32"/>
          <w:sz w:val="32"/>
        </w:rPr>
        <w:t>政府办公厅</w:t>
      </w:r>
      <w:r>
        <w:rPr>
          <w:spacing w:val="-2"/>
          <w:sz w:val="32"/>
        </w:rPr>
        <w:t>（室</w:t>
      </w:r>
      <w:r>
        <w:rPr>
          <w:spacing w:val="-149"/>
          <w:sz w:val="32"/>
        </w:rPr>
        <w:t>）</w:t>
      </w:r>
      <w:r>
        <w:rPr>
          <w:spacing w:val="-24"/>
          <w:sz w:val="32"/>
        </w:rPr>
        <w:t>及相关机构事务</w:t>
      </w:r>
      <w:r>
        <w:rPr>
          <w:spacing w:val="-2"/>
          <w:sz w:val="32"/>
        </w:rPr>
        <w:t>（款</w:t>
      </w:r>
      <w:r>
        <w:rPr>
          <w:spacing w:val="-152"/>
          <w:sz w:val="32"/>
        </w:rPr>
        <w:t>）</w:t>
      </w:r>
      <w:r>
        <w:rPr>
          <w:spacing w:val="-27"/>
          <w:sz w:val="32"/>
        </w:rPr>
        <w:t>政务公开审批</w:t>
      </w:r>
      <w:r>
        <w:rPr>
          <w:spacing w:val="-2"/>
          <w:sz w:val="32"/>
        </w:rPr>
        <w:t>（项</w:t>
      </w:r>
      <w:r>
        <w:rPr>
          <w:spacing w:val="-161"/>
          <w:sz w:val="32"/>
        </w:rPr>
        <w:t>）</w:t>
      </w:r>
      <w:r>
        <w:rPr>
          <w:spacing w:val="-2"/>
          <w:sz w:val="32"/>
        </w:rPr>
        <w:t>。</w:t>
      </w:r>
      <w:r>
        <w:rPr>
          <w:spacing w:val="-18"/>
          <w:sz w:val="32"/>
        </w:rPr>
        <w:t xml:space="preserve">年初预算 </w:t>
      </w:r>
      <w:r>
        <w:rPr>
          <w:rFonts w:hint="eastAsia"/>
          <w:spacing w:val="-2"/>
          <w:sz w:val="32"/>
          <w:lang w:val="en-US" w:eastAsia="zh-CN"/>
        </w:rPr>
        <w:t>784.81</w:t>
      </w:r>
      <w:r>
        <w:rPr>
          <w:spacing w:val="-31"/>
          <w:sz w:val="32"/>
        </w:rPr>
        <w:t xml:space="preserve"> 万元，与上年相比减少 </w:t>
      </w:r>
      <w:r>
        <w:rPr>
          <w:rFonts w:hint="eastAsia"/>
          <w:spacing w:val="-2"/>
          <w:sz w:val="32"/>
          <w:lang w:val="en-US" w:eastAsia="zh-CN"/>
        </w:rPr>
        <w:t>38.6</w:t>
      </w:r>
      <w:r>
        <w:rPr>
          <w:spacing w:val="-48"/>
          <w:sz w:val="32"/>
        </w:rPr>
        <w:t xml:space="preserve"> 万元，减少 </w:t>
      </w:r>
      <w:r>
        <w:rPr>
          <w:rFonts w:hint="eastAsia"/>
          <w:spacing w:val="-2"/>
          <w:sz w:val="32"/>
          <w:lang w:val="en-US" w:eastAsia="zh-CN"/>
        </w:rPr>
        <w:t>4.69</w:t>
      </w:r>
      <w:r>
        <w:rPr>
          <w:spacing w:val="-2"/>
          <w:sz w:val="32"/>
        </w:rPr>
        <w:t>%。</w:t>
      </w:r>
    </w:p>
    <w:p w14:paraId="21268FB0">
      <w:pPr>
        <w:pStyle w:val="5"/>
        <w:keepNext w:val="0"/>
        <w:keepLines w:val="0"/>
        <w:pageBreakBefore w:val="0"/>
        <w:widowControl w:val="0"/>
        <w:kinsoku w:val="0"/>
        <w:wordWrap/>
        <w:overflowPunct/>
        <w:topLinePunct w:val="0"/>
        <w:autoSpaceDE w:val="0"/>
        <w:autoSpaceDN w:val="0"/>
        <w:bidi w:val="0"/>
        <w:adjustRightInd w:val="0"/>
        <w:snapToGrid w:val="0"/>
        <w:spacing w:before="1"/>
        <w:ind w:right="6"/>
        <w:jc w:val="both"/>
        <w:textAlignment w:val="auto"/>
      </w:pPr>
      <w:r>
        <w:rPr>
          <w:spacing w:val="-9"/>
        </w:rPr>
        <w:t>变动原因：</w:t>
      </w:r>
      <w:r>
        <w:rPr>
          <w:rFonts w:hint="eastAsia"/>
          <w:spacing w:val="-9"/>
          <w:lang w:val="en-US" w:eastAsia="zh-CN"/>
        </w:rPr>
        <w:t>2026年预算压减</w:t>
      </w:r>
      <w:r>
        <w:rPr>
          <w:spacing w:val="-14"/>
        </w:rPr>
        <w:t>。</w:t>
      </w:r>
    </w:p>
    <w:p w14:paraId="6517A5E1">
      <w:pPr>
        <w:pStyle w:val="12"/>
        <w:keepNext w:val="0"/>
        <w:keepLines w:val="0"/>
        <w:pageBreakBefore w:val="0"/>
        <w:widowControl w:val="0"/>
        <w:numPr>
          <w:ilvl w:val="0"/>
          <w:numId w:val="7"/>
        </w:numPr>
        <w:tabs>
          <w:tab w:val="left" w:pos="1072"/>
        </w:tabs>
        <w:kinsoku w:val="0"/>
        <w:wordWrap/>
        <w:overflowPunct/>
        <w:topLinePunct w:val="0"/>
        <w:autoSpaceDE w:val="0"/>
        <w:autoSpaceDN w:val="0"/>
        <w:bidi w:val="0"/>
        <w:adjustRightInd w:val="0"/>
        <w:snapToGrid w:val="0"/>
        <w:spacing w:before="159" w:after="0" w:line="333" w:lineRule="auto"/>
        <w:ind w:left="111" w:right="6" w:firstLine="640"/>
        <w:jc w:val="both"/>
        <w:textAlignment w:val="auto"/>
        <w:rPr>
          <w:sz w:val="32"/>
        </w:rPr>
      </w:pPr>
      <w:r>
        <w:rPr>
          <w:spacing w:val="-6"/>
          <w:sz w:val="32"/>
        </w:rPr>
        <w:t>政府办公厅（室）及相关机构事务（款）事业运行（项</w:t>
      </w:r>
      <w:r>
        <w:rPr>
          <w:spacing w:val="-159"/>
          <w:sz w:val="32"/>
        </w:rPr>
        <w:t>）</w:t>
      </w:r>
      <w:r>
        <w:rPr>
          <w:spacing w:val="-6"/>
          <w:sz w:val="32"/>
        </w:rPr>
        <w:t>。</w:t>
      </w:r>
      <w:r>
        <w:rPr>
          <w:spacing w:val="-14"/>
          <w:sz w:val="32"/>
        </w:rPr>
        <w:t xml:space="preserve">年初预算 </w:t>
      </w:r>
      <w:r>
        <w:rPr>
          <w:rFonts w:hint="eastAsia"/>
          <w:spacing w:val="-10"/>
          <w:sz w:val="32"/>
          <w:lang w:val="en-US" w:eastAsia="zh-CN"/>
        </w:rPr>
        <w:t xml:space="preserve">303.96 </w:t>
      </w:r>
      <w:r>
        <w:rPr>
          <w:spacing w:val="-27"/>
          <w:sz w:val="32"/>
        </w:rPr>
        <w:t>万元，与上年相比</w:t>
      </w:r>
      <w:r>
        <w:rPr>
          <w:rFonts w:hint="eastAsia"/>
          <w:spacing w:val="-27"/>
          <w:sz w:val="32"/>
          <w:lang w:val="en-US" w:eastAsia="zh-CN"/>
        </w:rPr>
        <w:t>增加44.01</w:t>
      </w:r>
      <w:r>
        <w:rPr>
          <w:spacing w:val="-38"/>
          <w:sz w:val="32"/>
        </w:rPr>
        <w:t xml:space="preserve"> 万元，</w:t>
      </w:r>
      <w:r>
        <w:rPr>
          <w:rFonts w:hint="eastAsia"/>
          <w:spacing w:val="-38"/>
          <w:sz w:val="32"/>
          <w:lang w:val="en-US" w:eastAsia="zh-CN"/>
        </w:rPr>
        <w:t xml:space="preserve">增加16.93 </w:t>
      </w:r>
      <w:r>
        <w:rPr>
          <w:spacing w:val="-10"/>
          <w:sz w:val="32"/>
        </w:rPr>
        <w:t>%。</w:t>
      </w:r>
      <w:r>
        <w:rPr>
          <w:sz w:val="32"/>
        </w:rPr>
        <w:t>变动原因：</w:t>
      </w:r>
      <w:r>
        <w:rPr>
          <w:rFonts w:hint="eastAsia"/>
          <w:sz w:val="32"/>
          <w:lang w:val="en-US" w:eastAsia="zh-CN"/>
        </w:rPr>
        <w:t>一是</w:t>
      </w:r>
      <w:r>
        <w:rPr>
          <w:sz w:val="32"/>
        </w:rPr>
        <w:t>2025</w:t>
      </w:r>
      <w:r>
        <w:rPr>
          <w:spacing w:val="-9"/>
          <w:sz w:val="32"/>
        </w:rPr>
        <w:t xml:space="preserve"> 年工资经费以 </w:t>
      </w:r>
      <w:r>
        <w:rPr>
          <w:sz w:val="32"/>
        </w:rPr>
        <w:t>12</w:t>
      </w:r>
      <w:r>
        <w:rPr>
          <w:spacing w:val="-6"/>
          <w:sz w:val="32"/>
        </w:rPr>
        <w:t xml:space="preserve"> 个月为基准安排预算资金</w:t>
      </w:r>
      <w:r>
        <w:rPr>
          <w:rFonts w:hint="eastAsia"/>
          <w:spacing w:val="-6"/>
          <w:sz w:val="32"/>
          <w:lang w:eastAsia="zh-CN"/>
        </w:rPr>
        <w:t>，</w:t>
      </w:r>
      <w:r>
        <w:rPr>
          <w:rFonts w:hint="eastAsia"/>
          <w:spacing w:val="-6"/>
          <w:sz w:val="32"/>
          <w:lang w:val="en-US" w:eastAsia="zh-CN"/>
        </w:rPr>
        <w:t>二是2025年新进5名工作人员</w:t>
      </w:r>
      <w:r>
        <w:rPr>
          <w:spacing w:val="-6"/>
          <w:sz w:val="32"/>
        </w:rPr>
        <w:t>。</w:t>
      </w:r>
    </w:p>
    <w:p w14:paraId="673A9D21">
      <w:pPr>
        <w:pStyle w:val="5"/>
        <w:keepNext w:val="0"/>
        <w:keepLines w:val="0"/>
        <w:pageBreakBefore w:val="0"/>
        <w:widowControl w:val="0"/>
        <w:kinsoku w:val="0"/>
        <w:wordWrap/>
        <w:overflowPunct/>
        <w:topLinePunct w:val="0"/>
        <w:autoSpaceDE w:val="0"/>
        <w:autoSpaceDN w:val="0"/>
        <w:bidi w:val="0"/>
        <w:adjustRightInd w:val="0"/>
        <w:snapToGrid w:val="0"/>
        <w:spacing w:before="2"/>
        <w:ind w:right="6" w:firstLine="624" w:firstLineChars="200"/>
        <w:textAlignment w:val="auto"/>
        <w:rPr>
          <w:rFonts w:hint="eastAsia"/>
          <w:spacing w:val="-2"/>
          <w:lang w:eastAsia="zh-CN"/>
        </w:rPr>
      </w:pPr>
      <w:r>
        <w:rPr>
          <w:spacing w:val="-4"/>
        </w:rPr>
        <w:t>（二）社会保障和就业支出（类</w:t>
      </w:r>
      <w:r>
        <w:rPr>
          <w:spacing w:val="-10"/>
        </w:rPr>
        <w:t>）</w:t>
      </w:r>
    </w:p>
    <w:p w14:paraId="28C9968A">
      <w:pPr>
        <w:pStyle w:val="5"/>
        <w:keepNext w:val="0"/>
        <w:keepLines w:val="0"/>
        <w:pageBreakBefore w:val="0"/>
        <w:widowControl w:val="0"/>
        <w:kinsoku w:val="0"/>
        <w:wordWrap/>
        <w:overflowPunct/>
        <w:topLinePunct w:val="0"/>
        <w:autoSpaceDE w:val="0"/>
        <w:autoSpaceDN w:val="0"/>
        <w:bidi w:val="0"/>
        <w:adjustRightInd w:val="0"/>
        <w:snapToGrid w:val="0"/>
        <w:spacing w:before="27"/>
        <w:ind w:left="752" w:right="6"/>
        <w:jc w:val="both"/>
        <w:textAlignment w:val="auto"/>
      </w:pPr>
      <w:r>
        <w:rPr>
          <w:spacing w:val="-8"/>
        </w:rPr>
        <w:t xml:space="preserve">社会保障和就业支出类年初预算数为 </w:t>
      </w:r>
      <w:r>
        <w:rPr>
          <w:rFonts w:hint="eastAsia"/>
          <w:spacing w:val="-4"/>
          <w:lang w:val="en-US" w:eastAsia="zh-CN"/>
        </w:rPr>
        <w:t xml:space="preserve">57.87 </w:t>
      </w:r>
      <w:r>
        <w:rPr>
          <w:spacing w:val="-28"/>
        </w:rPr>
        <w:t>万元，与上年相</w:t>
      </w:r>
    </w:p>
    <w:p w14:paraId="742FE388">
      <w:pPr>
        <w:pStyle w:val="5"/>
        <w:keepNext w:val="0"/>
        <w:keepLines w:val="0"/>
        <w:pageBreakBefore w:val="0"/>
        <w:widowControl w:val="0"/>
        <w:kinsoku w:val="0"/>
        <w:wordWrap/>
        <w:overflowPunct/>
        <w:topLinePunct w:val="0"/>
        <w:autoSpaceDE w:val="0"/>
        <w:autoSpaceDN w:val="0"/>
        <w:bidi w:val="0"/>
        <w:adjustRightInd w:val="0"/>
        <w:snapToGrid w:val="0"/>
        <w:spacing w:before="158"/>
        <w:ind w:right="6"/>
        <w:jc w:val="both"/>
        <w:textAlignment w:val="auto"/>
      </w:pPr>
      <w:r>
        <w:rPr>
          <w:spacing w:val="-21"/>
        </w:rPr>
        <w:t>比</w:t>
      </w:r>
      <w:r>
        <w:rPr>
          <w:rFonts w:hint="eastAsia"/>
          <w:spacing w:val="-21"/>
          <w:lang w:val="en-US" w:eastAsia="zh-CN"/>
        </w:rPr>
        <w:t xml:space="preserve">增加15.94 </w:t>
      </w:r>
      <w:r>
        <w:rPr>
          <w:spacing w:val="-16"/>
        </w:rPr>
        <w:t>万元。其中：</w:t>
      </w:r>
    </w:p>
    <w:p w14:paraId="4E9D6EDA">
      <w:pPr>
        <w:pStyle w:val="12"/>
        <w:keepNext w:val="0"/>
        <w:keepLines w:val="0"/>
        <w:pageBreakBefore w:val="0"/>
        <w:widowControl w:val="0"/>
        <w:numPr>
          <w:ilvl w:val="0"/>
          <w:numId w:val="8"/>
        </w:numPr>
        <w:tabs>
          <w:tab w:val="left" w:pos="1072"/>
        </w:tabs>
        <w:kinsoku w:val="0"/>
        <w:wordWrap/>
        <w:overflowPunct/>
        <w:topLinePunct w:val="0"/>
        <w:autoSpaceDE w:val="0"/>
        <w:autoSpaceDN w:val="0"/>
        <w:bidi w:val="0"/>
        <w:adjustRightInd w:val="0"/>
        <w:snapToGrid w:val="0"/>
        <w:spacing w:before="162" w:after="0" w:line="333" w:lineRule="auto"/>
        <w:ind w:left="111" w:right="6" w:firstLine="640"/>
        <w:jc w:val="both"/>
        <w:textAlignment w:val="auto"/>
        <w:rPr>
          <w:sz w:val="32"/>
        </w:rPr>
      </w:pPr>
      <w:r>
        <w:rPr>
          <w:spacing w:val="-2"/>
          <w:sz w:val="32"/>
        </w:rPr>
        <w:t>行政事业单位养老支出（款）事业单位离退休（项</w:t>
      </w:r>
      <w:r>
        <w:rPr>
          <w:spacing w:val="-159"/>
          <w:sz w:val="32"/>
        </w:rPr>
        <w:t>）</w:t>
      </w:r>
      <w:r>
        <w:rPr>
          <w:spacing w:val="-2"/>
          <w:sz w:val="32"/>
        </w:rPr>
        <w:t>。年</w:t>
      </w:r>
      <w:r>
        <w:rPr>
          <w:spacing w:val="-13"/>
          <w:sz w:val="32"/>
        </w:rPr>
        <w:t xml:space="preserve">初预算 </w:t>
      </w:r>
      <w:r>
        <w:rPr>
          <w:rFonts w:hint="eastAsia"/>
          <w:spacing w:val="-4"/>
          <w:sz w:val="32"/>
          <w:lang w:val="en-US" w:eastAsia="zh-CN"/>
        </w:rPr>
        <w:t>5.28</w:t>
      </w:r>
      <w:r>
        <w:rPr>
          <w:spacing w:val="-13"/>
          <w:sz w:val="32"/>
        </w:rPr>
        <w:t xml:space="preserve"> 万元，与上年相比减少 </w:t>
      </w:r>
      <w:r>
        <w:rPr>
          <w:rFonts w:hint="eastAsia"/>
          <w:spacing w:val="-4"/>
          <w:sz w:val="32"/>
          <w:lang w:val="en-US" w:eastAsia="zh-CN"/>
        </w:rPr>
        <w:t>3.1</w:t>
      </w:r>
      <w:r>
        <w:rPr>
          <w:spacing w:val="-15"/>
          <w:sz w:val="32"/>
        </w:rPr>
        <w:t xml:space="preserve"> 万元，减少 </w:t>
      </w:r>
      <w:r>
        <w:rPr>
          <w:rFonts w:hint="eastAsia"/>
          <w:spacing w:val="-4"/>
          <w:sz w:val="32"/>
          <w:lang w:val="en-US" w:eastAsia="zh-CN"/>
        </w:rPr>
        <w:t>36.99</w:t>
      </w:r>
      <w:r>
        <w:rPr>
          <w:spacing w:val="-4"/>
          <w:sz w:val="32"/>
        </w:rPr>
        <w:t>%。变</w:t>
      </w:r>
      <w:r>
        <w:rPr>
          <w:sz w:val="32"/>
        </w:rPr>
        <w:t>动原因：20</w:t>
      </w:r>
      <w:r>
        <w:rPr>
          <w:rFonts w:hint="eastAsia"/>
          <w:sz w:val="32"/>
          <w:lang w:val="en-US" w:eastAsia="zh-CN"/>
        </w:rPr>
        <w:t>6</w:t>
      </w:r>
      <w:r>
        <w:rPr>
          <w:spacing w:val="-8"/>
          <w:sz w:val="32"/>
        </w:rPr>
        <w:t xml:space="preserve"> 年离退休人员工资以 </w:t>
      </w:r>
      <w:r>
        <w:rPr>
          <w:sz w:val="32"/>
        </w:rPr>
        <w:t>12</w:t>
      </w:r>
      <w:r>
        <w:rPr>
          <w:spacing w:val="-6"/>
          <w:sz w:val="32"/>
        </w:rPr>
        <w:t xml:space="preserve"> 个月为基准安排预算。</w:t>
      </w:r>
    </w:p>
    <w:p w14:paraId="6050A4F8">
      <w:pPr>
        <w:pStyle w:val="12"/>
        <w:keepNext w:val="0"/>
        <w:keepLines w:val="0"/>
        <w:pageBreakBefore w:val="0"/>
        <w:widowControl w:val="0"/>
        <w:numPr>
          <w:ilvl w:val="0"/>
          <w:numId w:val="8"/>
        </w:numPr>
        <w:tabs>
          <w:tab w:val="left" w:pos="1072"/>
        </w:tabs>
        <w:kinsoku w:val="0"/>
        <w:wordWrap/>
        <w:overflowPunct/>
        <w:topLinePunct w:val="0"/>
        <w:autoSpaceDE w:val="0"/>
        <w:autoSpaceDN w:val="0"/>
        <w:bidi w:val="0"/>
        <w:adjustRightInd w:val="0"/>
        <w:snapToGrid w:val="0"/>
        <w:spacing w:before="0" w:after="0" w:line="333" w:lineRule="auto"/>
        <w:ind w:left="111" w:right="6" w:firstLine="640"/>
        <w:jc w:val="both"/>
        <w:textAlignment w:val="auto"/>
        <w:rPr>
          <w:sz w:val="32"/>
        </w:rPr>
      </w:pPr>
      <w:r>
        <w:rPr>
          <w:spacing w:val="-8"/>
          <w:sz w:val="32"/>
        </w:rPr>
        <w:t>行政事业单位养老支出</w:t>
      </w:r>
      <w:r>
        <w:rPr>
          <w:spacing w:val="-2"/>
          <w:sz w:val="32"/>
        </w:rPr>
        <w:t>（款</w:t>
      </w:r>
      <w:r>
        <w:rPr>
          <w:spacing w:val="-58"/>
          <w:sz w:val="32"/>
        </w:rPr>
        <w:t>）</w:t>
      </w:r>
      <w:r>
        <w:rPr>
          <w:spacing w:val="-2"/>
          <w:sz w:val="32"/>
        </w:rPr>
        <w:t>机关事业单位基本养老保险</w:t>
      </w:r>
      <w:r>
        <w:rPr>
          <w:spacing w:val="-12"/>
          <w:sz w:val="32"/>
        </w:rPr>
        <w:t>缴费支出（项</w:t>
      </w:r>
      <w:r>
        <w:rPr>
          <w:spacing w:val="-161"/>
          <w:sz w:val="32"/>
        </w:rPr>
        <w:t>）</w:t>
      </w:r>
      <w:r>
        <w:rPr>
          <w:spacing w:val="-15"/>
          <w:sz w:val="32"/>
        </w:rPr>
        <w:t xml:space="preserve">。年初预算 </w:t>
      </w:r>
      <w:r>
        <w:rPr>
          <w:rFonts w:hint="eastAsia"/>
          <w:spacing w:val="-12"/>
          <w:sz w:val="32"/>
          <w:lang w:val="en-US" w:eastAsia="zh-CN"/>
        </w:rPr>
        <w:t>39.71</w:t>
      </w:r>
      <w:r>
        <w:rPr>
          <w:spacing w:val="-17"/>
          <w:sz w:val="32"/>
        </w:rPr>
        <w:t xml:space="preserve"> 万元，与上年相比</w:t>
      </w:r>
      <w:r>
        <w:rPr>
          <w:rFonts w:hint="eastAsia"/>
          <w:spacing w:val="-17"/>
          <w:sz w:val="32"/>
          <w:lang w:val="en-US" w:eastAsia="zh-CN"/>
        </w:rPr>
        <w:t xml:space="preserve">增加6.16 </w:t>
      </w:r>
      <w:r>
        <w:rPr>
          <w:spacing w:val="-18"/>
          <w:sz w:val="32"/>
        </w:rPr>
        <w:t>万</w:t>
      </w:r>
      <w:r>
        <w:rPr>
          <w:spacing w:val="-15"/>
          <w:sz w:val="32"/>
        </w:rPr>
        <w:t>元，</w:t>
      </w:r>
      <w:r>
        <w:rPr>
          <w:rFonts w:hint="eastAsia"/>
          <w:spacing w:val="-15"/>
          <w:sz w:val="32"/>
          <w:lang w:val="en-US" w:eastAsia="zh-CN"/>
        </w:rPr>
        <w:t xml:space="preserve">增加18.36 </w:t>
      </w:r>
      <w:r>
        <w:rPr>
          <w:spacing w:val="-12"/>
          <w:sz w:val="32"/>
        </w:rPr>
        <w:t>%。变动原因：202</w:t>
      </w:r>
      <w:r>
        <w:rPr>
          <w:rFonts w:hint="eastAsia"/>
          <w:spacing w:val="-12"/>
          <w:sz w:val="32"/>
          <w:lang w:val="en-US" w:eastAsia="zh-CN"/>
        </w:rPr>
        <w:t xml:space="preserve">6 </w:t>
      </w:r>
      <w:r>
        <w:rPr>
          <w:spacing w:val="-16"/>
          <w:sz w:val="32"/>
        </w:rPr>
        <w:t xml:space="preserve">年养老保险以 </w:t>
      </w:r>
      <w:r>
        <w:rPr>
          <w:spacing w:val="-12"/>
          <w:sz w:val="32"/>
        </w:rPr>
        <w:t>12</w:t>
      </w:r>
      <w:r>
        <w:rPr>
          <w:spacing w:val="-16"/>
          <w:sz w:val="32"/>
        </w:rPr>
        <w:t xml:space="preserve"> 个月为基准安排</w:t>
      </w:r>
      <w:r>
        <w:rPr>
          <w:spacing w:val="-4"/>
          <w:sz w:val="32"/>
        </w:rPr>
        <w:t>预算</w:t>
      </w:r>
      <w:r>
        <w:rPr>
          <w:rFonts w:hint="eastAsia"/>
          <w:spacing w:val="-4"/>
          <w:sz w:val="32"/>
          <w:lang w:eastAsia="zh-CN"/>
        </w:rPr>
        <w:t>、</w:t>
      </w:r>
      <w:r>
        <w:rPr>
          <w:rFonts w:hint="eastAsia"/>
          <w:spacing w:val="-4"/>
          <w:sz w:val="32"/>
          <w:lang w:val="en-US" w:eastAsia="zh-CN"/>
        </w:rPr>
        <w:t>2025年新进5名工作人员</w:t>
      </w:r>
      <w:r>
        <w:rPr>
          <w:spacing w:val="-4"/>
          <w:sz w:val="32"/>
        </w:rPr>
        <w:t>。</w:t>
      </w:r>
    </w:p>
    <w:p w14:paraId="2C3D56C9">
      <w:pPr>
        <w:pStyle w:val="12"/>
        <w:keepNext w:val="0"/>
        <w:keepLines w:val="0"/>
        <w:pageBreakBefore w:val="0"/>
        <w:widowControl w:val="0"/>
        <w:numPr>
          <w:ilvl w:val="0"/>
          <w:numId w:val="8"/>
        </w:numPr>
        <w:tabs>
          <w:tab w:val="left" w:pos="1072"/>
        </w:tabs>
        <w:kinsoku w:val="0"/>
        <w:wordWrap/>
        <w:overflowPunct/>
        <w:topLinePunct w:val="0"/>
        <w:autoSpaceDE w:val="0"/>
        <w:autoSpaceDN w:val="0"/>
        <w:bidi w:val="0"/>
        <w:adjustRightInd w:val="0"/>
        <w:snapToGrid w:val="0"/>
        <w:spacing w:before="0" w:after="0" w:line="333" w:lineRule="auto"/>
        <w:ind w:left="111" w:right="6" w:firstLine="640"/>
        <w:jc w:val="both"/>
        <w:textAlignment w:val="auto"/>
        <w:rPr>
          <w:spacing w:val="-4"/>
        </w:rPr>
      </w:pPr>
      <w:r>
        <w:rPr>
          <w:spacing w:val="-8"/>
          <w:sz w:val="32"/>
        </w:rPr>
        <w:t>行政事业单位养老支出</w:t>
      </w:r>
      <w:r>
        <w:rPr>
          <w:spacing w:val="-2"/>
          <w:sz w:val="32"/>
        </w:rPr>
        <w:t>（款</w:t>
      </w:r>
      <w:r>
        <w:rPr>
          <w:spacing w:val="-58"/>
          <w:sz w:val="32"/>
        </w:rPr>
        <w:t>）</w:t>
      </w:r>
      <w:r>
        <w:rPr>
          <w:spacing w:val="-2"/>
          <w:sz w:val="32"/>
        </w:rPr>
        <w:t>机关事业单位</w:t>
      </w:r>
      <w:r>
        <w:rPr>
          <w:rFonts w:hint="eastAsia"/>
          <w:spacing w:val="-2"/>
          <w:sz w:val="32"/>
          <w:lang w:val="en-US" w:eastAsia="zh-CN"/>
        </w:rPr>
        <w:t>职业年金</w:t>
      </w:r>
      <w:r>
        <w:rPr>
          <w:spacing w:val="-12"/>
          <w:sz w:val="32"/>
        </w:rPr>
        <w:t>缴费支出（项</w:t>
      </w:r>
      <w:r>
        <w:rPr>
          <w:spacing w:val="-161"/>
          <w:sz w:val="32"/>
        </w:rPr>
        <w:t>）</w:t>
      </w:r>
      <w:r>
        <w:rPr>
          <w:spacing w:val="-15"/>
          <w:sz w:val="32"/>
        </w:rPr>
        <w:t>。年初预算</w:t>
      </w:r>
      <w:r>
        <w:rPr>
          <w:rFonts w:hint="eastAsia"/>
          <w:spacing w:val="-15"/>
          <w:sz w:val="32"/>
          <w:lang w:val="en-US" w:eastAsia="zh-CN"/>
        </w:rPr>
        <w:t>11</w:t>
      </w:r>
      <w:r>
        <w:rPr>
          <w:spacing w:val="-17"/>
          <w:sz w:val="32"/>
        </w:rPr>
        <w:t>万元，与上年相比</w:t>
      </w:r>
      <w:r>
        <w:rPr>
          <w:rFonts w:hint="eastAsia"/>
          <w:spacing w:val="-17"/>
          <w:sz w:val="32"/>
          <w:lang w:val="en-US" w:eastAsia="zh-CN"/>
        </w:rPr>
        <w:t>增加11</w:t>
      </w:r>
      <w:r>
        <w:rPr>
          <w:spacing w:val="-18"/>
          <w:sz w:val="32"/>
        </w:rPr>
        <w:t>万</w:t>
      </w:r>
      <w:r>
        <w:rPr>
          <w:spacing w:val="-15"/>
          <w:sz w:val="32"/>
        </w:rPr>
        <w:t>元</w:t>
      </w:r>
      <w:r>
        <w:rPr>
          <w:spacing w:val="-12"/>
          <w:sz w:val="32"/>
        </w:rPr>
        <w:t>变动原因：202</w:t>
      </w:r>
      <w:r>
        <w:rPr>
          <w:rFonts w:hint="eastAsia"/>
          <w:spacing w:val="-12"/>
          <w:sz w:val="32"/>
          <w:lang w:val="en-US" w:eastAsia="zh-CN"/>
        </w:rPr>
        <w:t>6</w:t>
      </w:r>
      <w:r>
        <w:rPr>
          <w:spacing w:val="-16"/>
          <w:sz w:val="32"/>
        </w:rPr>
        <w:t xml:space="preserve"> 年</w:t>
      </w:r>
      <w:r>
        <w:rPr>
          <w:rFonts w:hint="eastAsia"/>
          <w:spacing w:val="-16"/>
          <w:sz w:val="32"/>
          <w:lang w:val="en-US" w:eastAsia="zh-CN"/>
        </w:rPr>
        <w:t>有一名工作人员退休</w:t>
      </w:r>
      <w:r>
        <w:rPr>
          <w:spacing w:val="-4"/>
          <w:sz w:val="32"/>
        </w:rPr>
        <w:t>。</w:t>
      </w:r>
    </w:p>
    <w:p w14:paraId="03F8C634">
      <w:pPr>
        <w:pStyle w:val="12"/>
        <w:keepNext w:val="0"/>
        <w:keepLines w:val="0"/>
        <w:pageBreakBefore w:val="0"/>
        <w:widowControl w:val="0"/>
        <w:numPr>
          <w:ilvl w:val="0"/>
          <w:numId w:val="8"/>
        </w:numPr>
        <w:tabs>
          <w:tab w:val="left" w:pos="1073"/>
        </w:tabs>
        <w:kinsoku w:val="0"/>
        <w:wordWrap/>
        <w:overflowPunct/>
        <w:topLinePunct w:val="0"/>
        <w:autoSpaceDE w:val="0"/>
        <w:autoSpaceDN w:val="0"/>
        <w:bidi w:val="0"/>
        <w:adjustRightInd w:val="0"/>
        <w:snapToGrid w:val="0"/>
        <w:spacing w:before="0" w:after="0" w:line="240" w:lineRule="auto"/>
        <w:ind w:left="1073" w:right="6" w:hanging="321"/>
        <w:jc w:val="left"/>
        <w:textAlignment w:val="auto"/>
        <w:rPr>
          <w:sz w:val="32"/>
        </w:rPr>
      </w:pPr>
      <w:r>
        <w:rPr>
          <w:spacing w:val="-9"/>
          <w:sz w:val="32"/>
        </w:rPr>
        <w:t>其他社会保障和就业支出</w:t>
      </w:r>
      <w:r>
        <w:rPr>
          <w:spacing w:val="-4"/>
          <w:sz w:val="32"/>
        </w:rPr>
        <w:t>（款</w:t>
      </w:r>
      <w:r>
        <w:rPr>
          <w:spacing w:val="-58"/>
          <w:sz w:val="32"/>
        </w:rPr>
        <w:t>）</w:t>
      </w:r>
      <w:r>
        <w:rPr>
          <w:spacing w:val="-5"/>
          <w:sz w:val="32"/>
        </w:rPr>
        <w:t>其他社会保障和就业支出</w:t>
      </w:r>
    </w:p>
    <w:p w14:paraId="0DAB2F44">
      <w:pPr>
        <w:pStyle w:val="5"/>
        <w:keepNext w:val="0"/>
        <w:keepLines w:val="0"/>
        <w:pageBreakBefore w:val="0"/>
        <w:widowControl w:val="0"/>
        <w:kinsoku w:val="0"/>
        <w:wordWrap/>
        <w:overflowPunct/>
        <w:topLinePunct w:val="0"/>
        <w:autoSpaceDE w:val="0"/>
        <w:autoSpaceDN w:val="0"/>
        <w:bidi w:val="0"/>
        <w:adjustRightInd w:val="0"/>
        <w:snapToGrid w:val="0"/>
        <w:spacing w:before="161" w:line="333" w:lineRule="auto"/>
        <w:ind w:right="6"/>
        <w:jc w:val="both"/>
        <w:textAlignment w:val="auto"/>
        <w:rPr>
          <w:rFonts w:hint="default" w:eastAsia="宋体"/>
          <w:spacing w:val="-4"/>
          <w:lang w:val="en-US" w:eastAsia="zh-CN"/>
        </w:rPr>
      </w:pPr>
      <w:r>
        <w:rPr>
          <w:spacing w:val="-6"/>
        </w:rPr>
        <w:t>（项</w:t>
      </w:r>
      <w:r>
        <w:rPr>
          <w:spacing w:val="-159"/>
        </w:rPr>
        <w:t>）</w:t>
      </w:r>
      <w:r>
        <w:rPr>
          <w:spacing w:val="-11"/>
        </w:rPr>
        <w:t xml:space="preserve">。年初预算 </w:t>
      </w:r>
      <w:r>
        <w:rPr>
          <w:rFonts w:hint="eastAsia"/>
          <w:spacing w:val="-6"/>
          <w:lang w:val="en-US" w:eastAsia="zh-CN"/>
        </w:rPr>
        <w:t>1.88</w:t>
      </w:r>
      <w:r>
        <w:rPr>
          <w:spacing w:val="-14"/>
        </w:rPr>
        <w:t xml:space="preserve"> 万元，与上年相比</w:t>
      </w:r>
      <w:r>
        <w:rPr>
          <w:rFonts w:hint="eastAsia"/>
          <w:spacing w:val="-14"/>
          <w:lang w:val="en-US" w:eastAsia="zh-CN"/>
        </w:rPr>
        <w:t xml:space="preserve">增加0.24 </w:t>
      </w:r>
      <w:r>
        <w:rPr>
          <w:spacing w:val="-12"/>
        </w:rPr>
        <w:t>万元，增长</w:t>
      </w:r>
      <w:r>
        <w:rPr>
          <w:spacing w:val="-6"/>
        </w:rPr>
        <w:t xml:space="preserve"> </w:t>
      </w:r>
      <w:r>
        <w:rPr>
          <w:rFonts w:hint="eastAsia"/>
          <w:spacing w:val="-6"/>
          <w:lang w:val="en-US" w:eastAsia="zh-CN"/>
        </w:rPr>
        <w:t>14.63</w:t>
      </w:r>
      <w:r>
        <w:rPr>
          <w:spacing w:val="-6"/>
        </w:rPr>
        <w:t>%。变动原因：2025</w:t>
      </w:r>
      <w:r>
        <w:rPr>
          <w:spacing w:val="-14"/>
        </w:rPr>
        <w:t xml:space="preserve"> 年失业及工伤保险以 </w:t>
      </w:r>
      <w:r>
        <w:rPr>
          <w:spacing w:val="-6"/>
        </w:rPr>
        <w:t>12</w:t>
      </w:r>
      <w:r>
        <w:rPr>
          <w:spacing w:val="-12"/>
        </w:rPr>
        <w:t xml:space="preserve"> 个月为基准安排</w:t>
      </w:r>
      <w:r>
        <w:rPr>
          <w:spacing w:val="-4"/>
        </w:rPr>
        <w:t>预算</w:t>
      </w:r>
      <w:r>
        <w:rPr>
          <w:rFonts w:hint="eastAsia"/>
          <w:spacing w:val="-4"/>
          <w:sz w:val="32"/>
          <w:lang w:eastAsia="zh-CN"/>
        </w:rPr>
        <w:t>、</w:t>
      </w:r>
      <w:r>
        <w:rPr>
          <w:rFonts w:hint="eastAsia"/>
          <w:spacing w:val="-4"/>
          <w:sz w:val="32"/>
          <w:lang w:val="en-US" w:eastAsia="zh-CN"/>
        </w:rPr>
        <w:t>2025年新进5名工作人员</w:t>
      </w:r>
      <w:r>
        <w:rPr>
          <w:spacing w:val="-4"/>
        </w:rPr>
        <w:t>。</w:t>
      </w:r>
    </w:p>
    <w:p w14:paraId="75006D48">
      <w:pPr>
        <w:pStyle w:val="5"/>
        <w:keepNext w:val="0"/>
        <w:keepLines w:val="0"/>
        <w:pageBreakBefore w:val="0"/>
        <w:widowControl w:val="0"/>
        <w:kinsoku w:val="0"/>
        <w:wordWrap/>
        <w:overflowPunct/>
        <w:topLinePunct w:val="0"/>
        <w:autoSpaceDE w:val="0"/>
        <w:autoSpaceDN w:val="0"/>
        <w:bidi w:val="0"/>
        <w:adjustRightInd w:val="0"/>
        <w:snapToGrid w:val="0"/>
        <w:spacing w:line="409" w:lineRule="exact"/>
        <w:ind w:left="752" w:right="6"/>
        <w:textAlignment w:val="auto"/>
      </w:pPr>
      <w:r>
        <w:rPr>
          <w:spacing w:val="-4"/>
        </w:rPr>
        <w:t>（三）卫生健康支出（类</w:t>
      </w:r>
      <w:r>
        <w:rPr>
          <w:spacing w:val="-10"/>
        </w:rPr>
        <w:t>）</w:t>
      </w:r>
    </w:p>
    <w:p w14:paraId="59B992E4">
      <w:pPr>
        <w:pStyle w:val="5"/>
        <w:keepNext w:val="0"/>
        <w:keepLines w:val="0"/>
        <w:pageBreakBefore w:val="0"/>
        <w:widowControl w:val="0"/>
        <w:kinsoku w:val="0"/>
        <w:wordWrap/>
        <w:overflowPunct/>
        <w:topLinePunct w:val="0"/>
        <w:autoSpaceDE w:val="0"/>
        <w:autoSpaceDN w:val="0"/>
        <w:bidi w:val="0"/>
        <w:adjustRightInd w:val="0"/>
        <w:snapToGrid w:val="0"/>
        <w:spacing w:before="159"/>
        <w:ind w:right="6"/>
        <w:textAlignment w:val="auto"/>
      </w:pPr>
      <w:r>
        <w:rPr>
          <w:spacing w:val="-8"/>
        </w:rPr>
        <w:t xml:space="preserve">卫生健康支出类年初预算数为 </w:t>
      </w:r>
      <w:r>
        <w:rPr>
          <w:rFonts w:hint="eastAsia"/>
          <w:spacing w:val="-4"/>
          <w:lang w:val="en-US" w:eastAsia="zh-CN"/>
        </w:rPr>
        <w:t xml:space="preserve">19.7 </w:t>
      </w:r>
      <w:r>
        <w:rPr>
          <w:spacing w:val="-22"/>
        </w:rPr>
        <w:t>万元，与上年相比</w:t>
      </w:r>
      <w:r>
        <w:rPr>
          <w:rFonts w:hint="eastAsia"/>
          <w:spacing w:val="-22"/>
          <w:lang w:val="en-US" w:eastAsia="zh-CN"/>
        </w:rPr>
        <w:t xml:space="preserve">增加2.91 </w:t>
      </w:r>
      <w:r>
        <w:rPr>
          <w:spacing w:val="-16"/>
        </w:rPr>
        <w:t>万元。其中：</w:t>
      </w:r>
    </w:p>
    <w:p w14:paraId="56235161">
      <w:pPr>
        <w:pStyle w:val="5"/>
        <w:keepNext w:val="0"/>
        <w:keepLines w:val="0"/>
        <w:pageBreakBefore w:val="0"/>
        <w:widowControl w:val="0"/>
        <w:kinsoku w:val="0"/>
        <w:wordWrap/>
        <w:overflowPunct/>
        <w:topLinePunct w:val="0"/>
        <w:autoSpaceDE w:val="0"/>
        <w:autoSpaceDN w:val="0"/>
        <w:bidi w:val="0"/>
        <w:adjustRightInd w:val="0"/>
        <w:snapToGrid w:val="0"/>
        <w:spacing w:before="161"/>
        <w:ind w:left="752" w:right="6"/>
        <w:textAlignment w:val="auto"/>
      </w:pPr>
      <w:r>
        <w:rPr>
          <w:spacing w:val="-2"/>
        </w:rPr>
        <w:t>1.行政事业单位医疗（款）事业单位医疗（项</w:t>
      </w:r>
      <w:r>
        <w:rPr>
          <w:spacing w:val="-159"/>
        </w:rPr>
        <w:t>）</w:t>
      </w:r>
      <w:r>
        <w:rPr>
          <w:spacing w:val="-4"/>
        </w:rPr>
        <w:t>。年初预算</w:t>
      </w:r>
    </w:p>
    <w:p w14:paraId="7D008861">
      <w:pPr>
        <w:pStyle w:val="5"/>
        <w:keepNext w:val="0"/>
        <w:keepLines w:val="0"/>
        <w:pageBreakBefore w:val="0"/>
        <w:widowControl w:val="0"/>
        <w:kinsoku w:val="0"/>
        <w:wordWrap/>
        <w:overflowPunct/>
        <w:topLinePunct w:val="0"/>
        <w:autoSpaceDE w:val="0"/>
        <w:autoSpaceDN w:val="0"/>
        <w:bidi w:val="0"/>
        <w:adjustRightInd w:val="0"/>
        <w:snapToGrid w:val="0"/>
        <w:spacing w:before="159"/>
        <w:ind w:right="6"/>
        <w:textAlignment w:val="auto"/>
      </w:pPr>
      <w:r>
        <w:rPr>
          <w:rFonts w:hint="eastAsia"/>
          <w:spacing w:val="-4"/>
          <w:lang w:val="en-US" w:eastAsia="zh-CN"/>
        </w:rPr>
        <w:t>19.7</w:t>
      </w:r>
      <w:r>
        <w:rPr>
          <w:spacing w:val="-25"/>
        </w:rPr>
        <w:t xml:space="preserve"> 万元，与上年相比</w:t>
      </w:r>
      <w:r>
        <w:rPr>
          <w:rFonts w:hint="eastAsia"/>
          <w:spacing w:val="-25"/>
          <w:lang w:val="en-US" w:eastAsia="zh-CN"/>
        </w:rPr>
        <w:t xml:space="preserve">增加2.91 </w:t>
      </w:r>
      <w:r>
        <w:rPr>
          <w:spacing w:val="-37"/>
        </w:rPr>
        <w:t>万元，</w:t>
      </w:r>
      <w:r>
        <w:rPr>
          <w:rFonts w:hint="eastAsia"/>
          <w:spacing w:val="-37"/>
          <w:lang w:val="en-US" w:eastAsia="zh-CN"/>
        </w:rPr>
        <w:t xml:space="preserve">增加17.33 </w:t>
      </w:r>
      <w:r>
        <w:rPr>
          <w:spacing w:val="-19"/>
        </w:rPr>
        <w:t>%。变动原因：</w:t>
      </w:r>
    </w:p>
    <w:p w14:paraId="31367DC6">
      <w:pPr>
        <w:pStyle w:val="5"/>
        <w:keepNext w:val="0"/>
        <w:keepLines w:val="0"/>
        <w:pageBreakBefore w:val="0"/>
        <w:widowControl w:val="0"/>
        <w:kinsoku w:val="0"/>
        <w:wordWrap/>
        <w:overflowPunct/>
        <w:topLinePunct w:val="0"/>
        <w:autoSpaceDE w:val="0"/>
        <w:autoSpaceDN w:val="0"/>
        <w:bidi w:val="0"/>
        <w:adjustRightInd w:val="0"/>
        <w:snapToGrid w:val="0"/>
        <w:spacing w:before="161"/>
        <w:ind w:right="6"/>
        <w:textAlignment w:val="auto"/>
      </w:pPr>
      <w:r>
        <w:rPr>
          <w:spacing w:val="-4"/>
        </w:rPr>
        <w:t>202</w:t>
      </w:r>
      <w:r>
        <w:rPr>
          <w:rFonts w:hint="eastAsia"/>
          <w:spacing w:val="-4"/>
          <w:lang w:val="en-US" w:eastAsia="zh-CN"/>
        </w:rPr>
        <w:t>6</w:t>
      </w:r>
      <w:r>
        <w:rPr>
          <w:spacing w:val="-22"/>
        </w:rPr>
        <w:t xml:space="preserve"> 年医疗保险以 </w:t>
      </w:r>
      <w:r>
        <w:rPr>
          <w:spacing w:val="-4"/>
        </w:rPr>
        <w:t>12</w:t>
      </w:r>
      <w:r>
        <w:rPr>
          <w:spacing w:val="-12"/>
        </w:rPr>
        <w:t xml:space="preserve"> 个月为基准安排预算</w:t>
      </w:r>
      <w:r>
        <w:rPr>
          <w:rFonts w:hint="eastAsia"/>
          <w:spacing w:val="-4"/>
          <w:sz w:val="32"/>
          <w:lang w:eastAsia="zh-CN"/>
        </w:rPr>
        <w:t>、</w:t>
      </w:r>
      <w:r>
        <w:rPr>
          <w:rFonts w:hint="eastAsia"/>
          <w:spacing w:val="-4"/>
          <w:sz w:val="32"/>
          <w:lang w:val="en-US" w:eastAsia="zh-CN"/>
        </w:rPr>
        <w:t>2025年新进5名工作人员</w:t>
      </w:r>
      <w:r>
        <w:rPr>
          <w:spacing w:val="-12"/>
        </w:rPr>
        <w:t>。</w:t>
      </w:r>
    </w:p>
    <w:p w14:paraId="1DF3EAC6">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textAlignment w:val="auto"/>
      </w:pPr>
      <w:r>
        <w:rPr>
          <w:spacing w:val="-4"/>
        </w:rPr>
        <w:t>（四）农林水支出（类</w:t>
      </w:r>
      <w:r>
        <w:rPr>
          <w:spacing w:val="-10"/>
        </w:rPr>
        <w:t>）</w:t>
      </w:r>
    </w:p>
    <w:p w14:paraId="462C4D63">
      <w:pPr>
        <w:pStyle w:val="5"/>
        <w:keepNext w:val="0"/>
        <w:keepLines w:val="0"/>
        <w:pageBreakBefore w:val="0"/>
        <w:widowControl w:val="0"/>
        <w:kinsoku w:val="0"/>
        <w:wordWrap/>
        <w:overflowPunct/>
        <w:topLinePunct w:val="0"/>
        <w:autoSpaceDE w:val="0"/>
        <w:autoSpaceDN w:val="0"/>
        <w:bidi w:val="0"/>
        <w:adjustRightInd w:val="0"/>
        <w:snapToGrid w:val="0"/>
        <w:spacing w:before="162"/>
        <w:ind w:left="752" w:right="6"/>
        <w:textAlignment w:val="auto"/>
        <w:rPr>
          <w:rFonts w:hint="eastAsia" w:eastAsia="宋体"/>
          <w:lang w:eastAsia="zh-CN"/>
        </w:rPr>
      </w:pPr>
      <w:r>
        <w:rPr>
          <w:spacing w:val="3"/>
        </w:rPr>
        <w:t xml:space="preserve">农林水支出类年初预算数为 </w:t>
      </w:r>
      <w:r>
        <w:rPr>
          <w:rFonts w:hint="eastAsia"/>
          <w:lang w:val="en-US" w:eastAsia="zh-CN"/>
        </w:rPr>
        <w:t>0.41</w:t>
      </w:r>
      <w:r>
        <w:rPr>
          <w:spacing w:val="2"/>
        </w:rPr>
        <w:t xml:space="preserve"> 万元，与上年相比</w:t>
      </w:r>
      <w:r>
        <w:rPr>
          <w:rFonts w:hint="eastAsia"/>
          <w:spacing w:val="2"/>
          <w:lang w:val="en-US" w:eastAsia="zh-CN"/>
        </w:rPr>
        <w:t>减少</w:t>
      </w:r>
    </w:p>
    <w:p w14:paraId="2B0B3A47">
      <w:pPr>
        <w:pStyle w:val="5"/>
        <w:keepNext w:val="0"/>
        <w:keepLines w:val="0"/>
        <w:pageBreakBefore w:val="0"/>
        <w:widowControl w:val="0"/>
        <w:kinsoku w:val="0"/>
        <w:wordWrap/>
        <w:overflowPunct/>
        <w:topLinePunct w:val="0"/>
        <w:autoSpaceDE w:val="0"/>
        <w:autoSpaceDN w:val="0"/>
        <w:bidi w:val="0"/>
        <w:adjustRightInd w:val="0"/>
        <w:snapToGrid w:val="0"/>
        <w:spacing w:before="158"/>
        <w:ind w:right="6"/>
        <w:textAlignment w:val="auto"/>
      </w:pPr>
      <w:r>
        <w:rPr>
          <w:spacing w:val="-2"/>
        </w:rPr>
        <w:t>1.</w:t>
      </w:r>
      <w:r>
        <w:rPr>
          <w:rFonts w:hint="eastAsia"/>
          <w:spacing w:val="-2"/>
          <w:lang w:val="en-US" w:eastAsia="zh-CN"/>
        </w:rPr>
        <w:t>4</w:t>
      </w:r>
      <w:r>
        <w:rPr>
          <w:spacing w:val="-16"/>
        </w:rPr>
        <w:t xml:space="preserve"> 万元。其中：</w:t>
      </w:r>
    </w:p>
    <w:p w14:paraId="28F5A93E">
      <w:pPr>
        <w:pStyle w:val="5"/>
        <w:keepNext w:val="0"/>
        <w:keepLines w:val="0"/>
        <w:pageBreakBefore w:val="0"/>
        <w:widowControl w:val="0"/>
        <w:kinsoku w:val="0"/>
        <w:wordWrap/>
        <w:overflowPunct/>
        <w:topLinePunct w:val="0"/>
        <w:autoSpaceDE w:val="0"/>
        <w:autoSpaceDN w:val="0"/>
        <w:bidi w:val="0"/>
        <w:adjustRightInd w:val="0"/>
        <w:snapToGrid w:val="0"/>
        <w:spacing w:before="162"/>
        <w:ind w:left="752" w:right="6"/>
        <w:textAlignment w:val="auto"/>
      </w:pPr>
      <w:r>
        <w:t>1</w:t>
      </w:r>
      <w:r>
        <w:rPr>
          <w:spacing w:val="-5"/>
        </w:rPr>
        <w:t>. 巩固脱贫攻坚成果衔接乡村振兴</w:t>
      </w:r>
      <w:r>
        <w:t>（款）</w:t>
      </w:r>
      <w:r>
        <w:rPr>
          <w:spacing w:val="-2"/>
        </w:rPr>
        <w:t>其他巩固脱贫攻</w:t>
      </w:r>
    </w:p>
    <w:p w14:paraId="5E8707C0">
      <w:pPr>
        <w:pStyle w:val="5"/>
        <w:keepNext w:val="0"/>
        <w:keepLines w:val="0"/>
        <w:pageBreakBefore w:val="0"/>
        <w:widowControl w:val="0"/>
        <w:kinsoku w:val="0"/>
        <w:wordWrap/>
        <w:overflowPunct/>
        <w:topLinePunct w:val="0"/>
        <w:autoSpaceDE w:val="0"/>
        <w:autoSpaceDN w:val="0"/>
        <w:bidi w:val="0"/>
        <w:adjustRightInd w:val="0"/>
        <w:snapToGrid w:val="0"/>
        <w:spacing w:before="27"/>
        <w:ind w:right="6"/>
        <w:textAlignment w:val="auto"/>
      </w:pPr>
      <w:r>
        <w:rPr>
          <w:spacing w:val="-8"/>
        </w:rPr>
        <w:t>坚成果衔接乡村振兴支出（项</w:t>
      </w:r>
      <w:r>
        <w:rPr>
          <w:spacing w:val="-161"/>
        </w:rPr>
        <w:t>）</w:t>
      </w:r>
      <w:r>
        <w:rPr>
          <w:spacing w:val="-17"/>
        </w:rPr>
        <w:t xml:space="preserve">。年初预算 </w:t>
      </w:r>
      <w:r>
        <w:rPr>
          <w:rFonts w:hint="eastAsia"/>
          <w:spacing w:val="-8"/>
          <w:lang w:val="en-US" w:eastAsia="zh-CN"/>
        </w:rPr>
        <w:t>0.41</w:t>
      </w:r>
      <w:r>
        <w:rPr>
          <w:spacing w:val="-17"/>
        </w:rPr>
        <w:t xml:space="preserve"> 万元，与上年相</w:t>
      </w:r>
    </w:p>
    <w:p w14:paraId="4D107C87">
      <w:pPr>
        <w:pStyle w:val="5"/>
        <w:keepNext w:val="0"/>
        <w:keepLines w:val="0"/>
        <w:pageBreakBefore w:val="0"/>
        <w:widowControl w:val="0"/>
        <w:kinsoku w:val="0"/>
        <w:wordWrap/>
        <w:overflowPunct/>
        <w:topLinePunct w:val="0"/>
        <w:autoSpaceDE w:val="0"/>
        <w:autoSpaceDN w:val="0"/>
        <w:bidi w:val="0"/>
        <w:adjustRightInd w:val="0"/>
        <w:snapToGrid w:val="0"/>
        <w:spacing w:before="158" w:line="333" w:lineRule="auto"/>
        <w:ind w:right="6"/>
        <w:textAlignment w:val="auto"/>
      </w:pPr>
      <w:r>
        <w:rPr>
          <w:spacing w:val="-22"/>
        </w:rPr>
        <w:t>比</w:t>
      </w:r>
      <w:r>
        <w:rPr>
          <w:rFonts w:hint="eastAsia"/>
          <w:spacing w:val="-22"/>
          <w:lang w:val="en-US" w:eastAsia="zh-CN"/>
        </w:rPr>
        <w:t>减少1.4</w:t>
      </w:r>
      <w:r>
        <w:rPr>
          <w:spacing w:val="-25"/>
        </w:rPr>
        <w:t xml:space="preserve"> 万元，</w:t>
      </w:r>
      <w:r>
        <w:rPr>
          <w:rFonts w:hint="eastAsia"/>
          <w:spacing w:val="-25"/>
          <w:lang w:val="en-US" w:eastAsia="zh-CN"/>
        </w:rPr>
        <w:t xml:space="preserve">减少77.35 </w:t>
      </w:r>
      <w:r>
        <w:rPr>
          <w:spacing w:val="-10"/>
        </w:rPr>
        <w:t>%。变动原因：</w:t>
      </w:r>
      <w:r>
        <w:rPr>
          <w:rFonts w:hint="eastAsia"/>
          <w:spacing w:val="-10"/>
          <w:lang w:val="en-US" w:eastAsia="zh-CN"/>
        </w:rPr>
        <w:t>2026年有一名乡村振兴驻村人员补助由赤峰市政务服务与数据管理局发放</w:t>
      </w:r>
      <w:r>
        <w:rPr>
          <w:spacing w:val="-2"/>
        </w:rPr>
        <w:t>。</w:t>
      </w:r>
    </w:p>
    <w:p w14:paraId="4E627C13">
      <w:pPr>
        <w:pStyle w:val="5"/>
        <w:keepNext w:val="0"/>
        <w:keepLines w:val="0"/>
        <w:pageBreakBefore w:val="0"/>
        <w:widowControl w:val="0"/>
        <w:kinsoku w:val="0"/>
        <w:wordWrap/>
        <w:overflowPunct/>
        <w:topLinePunct w:val="0"/>
        <w:autoSpaceDE w:val="0"/>
        <w:autoSpaceDN w:val="0"/>
        <w:bidi w:val="0"/>
        <w:adjustRightInd w:val="0"/>
        <w:snapToGrid w:val="0"/>
        <w:spacing w:before="1"/>
        <w:ind w:left="752" w:right="6"/>
        <w:textAlignment w:val="auto"/>
      </w:pPr>
      <w:r>
        <w:rPr>
          <w:spacing w:val="-4"/>
        </w:rPr>
        <w:t>（五）住房保障支出（类</w:t>
      </w:r>
      <w:r>
        <w:rPr>
          <w:spacing w:val="-10"/>
        </w:rPr>
        <w:t>）</w:t>
      </w:r>
    </w:p>
    <w:p w14:paraId="208FE057">
      <w:pPr>
        <w:pStyle w:val="5"/>
        <w:keepNext w:val="0"/>
        <w:keepLines w:val="0"/>
        <w:pageBreakBefore w:val="0"/>
        <w:widowControl w:val="0"/>
        <w:kinsoku w:val="0"/>
        <w:wordWrap/>
        <w:overflowPunct/>
        <w:topLinePunct w:val="0"/>
        <w:autoSpaceDE w:val="0"/>
        <w:autoSpaceDN w:val="0"/>
        <w:bidi w:val="0"/>
        <w:adjustRightInd w:val="0"/>
        <w:snapToGrid w:val="0"/>
        <w:spacing w:before="159"/>
        <w:ind w:right="6"/>
        <w:textAlignment w:val="auto"/>
      </w:pPr>
      <w:r>
        <w:rPr>
          <w:spacing w:val="-8"/>
        </w:rPr>
        <w:t xml:space="preserve">住房保障支出类年初预算数为 </w:t>
      </w:r>
      <w:r>
        <w:rPr>
          <w:rFonts w:hint="eastAsia"/>
          <w:spacing w:val="-4"/>
          <w:lang w:val="en-US" w:eastAsia="zh-CN"/>
        </w:rPr>
        <w:t>33.01</w:t>
      </w:r>
      <w:r>
        <w:rPr>
          <w:spacing w:val="-22"/>
        </w:rPr>
        <w:t xml:space="preserve"> 万元，与上年相比</w:t>
      </w:r>
      <w:r>
        <w:rPr>
          <w:rFonts w:hint="eastAsia"/>
          <w:spacing w:val="-22"/>
          <w:lang w:val="en-US" w:eastAsia="zh-CN"/>
        </w:rPr>
        <w:t>增加4.95</w:t>
      </w:r>
      <w:r>
        <w:rPr>
          <w:spacing w:val="-15"/>
        </w:rPr>
        <w:t xml:space="preserve"> 万元。其中：</w:t>
      </w:r>
    </w:p>
    <w:p w14:paraId="30D863BB">
      <w:pPr>
        <w:pStyle w:val="12"/>
        <w:keepNext w:val="0"/>
        <w:keepLines w:val="0"/>
        <w:pageBreakBefore w:val="0"/>
        <w:widowControl w:val="0"/>
        <w:numPr>
          <w:ilvl w:val="0"/>
          <w:numId w:val="9"/>
        </w:numPr>
        <w:tabs>
          <w:tab w:val="left" w:pos="1072"/>
        </w:tabs>
        <w:kinsoku w:val="0"/>
        <w:wordWrap/>
        <w:overflowPunct/>
        <w:topLinePunct w:val="0"/>
        <w:autoSpaceDE w:val="0"/>
        <w:autoSpaceDN w:val="0"/>
        <w:bidi w:val="0"/>
        <w:adjustRightInd w:val="0"/>
        <w:snapToGrid w:val="0"/>
        <w:spacing w:before="161" w:after="0" w:line="333" w:lineRule="auto"/>
        <w:ind w:left="111" w:right="6" w:firstLine="640"/>
        <w:jc w:val="both"/>
        <w:textAlignment w:val="auto"/>
        <w:rPr>
          <w:sz w:val="32"/>
        </w:rPr>
      </w:pPr>
      <w:r>
        <w:rPr>
          <w:sz w:val="32"/>
        </w:rPr>
        <w:t>住房改革支出（款）住房公积金（项</w:t>
      </w:r>
      <w:r>
        <w:rPr>
          <w:spacing w:val="-159"/>
          <w:sz w:val="32"/>
        </w:rPr>
        <w:t>）</w:t>
      </w:r>
      <w:r>
        <w:rPr>
          <w:sz w:val="32"/>
        </w:rPr>
        <w:t xml:space="preserve">。年初预算 </w:t>
      </w:r>
      <w:r>
        <w:rPr>
          <w:rFonts w:hint="eastAsia"/>
          <w:sz w:val="32"/>
          <w:lang w:val="en-US" w:eastAsia="zh-CN"/>
        </w:rPr>
        <w:t>33.01</w:t>
      </w:r>
      <w:r>
        <w:rPr>
          <w:spacing w:val="-9"/>
          <w:sz w:val="32"/>
        </w:rPr>
        <w:t>万元，与上年相比</w:t>
      </w:r>
      <w:r>
        <w:rPr>
          <w:rFonts w:hint="eastAsia"/>
          <w:spacing w:val="-9"/>
          <w:sz w:val="32"/>
          <w:lang w:val="en-US" w:eastAsia="zh-CN"/>
        </w:rPr>
        <w:t>增加 4.95</w:t>
      </w:r>
      <w:r>
        <w:rPr>
          <w:spacing w:val="-16"/>
          <w:sz w:val="32"/>
        </w:rPr>
        <w:t xml:space="preserve"> 万元，</w:t>
      </w:r>
      <w:r>
        <w:rPr>
          <w:rFonts w:hint="eastAsia"/>
          <w:spacing w:val="-16"/>
          <w:sz w:val="32"/>
          <w:lang w:val="en-US" w:eastAsia="zh-CN"/>
        </w:rPr>
        <w:t xml:space="preserve">增加17.64 </w:t>
      </w:r>
      <w:r>
        <w:rPr>
          <w:spacing w:val="-6"/>
          <w:sz w:val="32"/>
        </w:rPr>
        <w:t>%。变动原因：202</w:t>
      </w:r>
      <w:r>
        <w:rPr>
          <w:rFonts w:hint="eastAsia"/>
          <w:spacing w:val="-6"/>
          <w:sz w:val="32"/>
          <w:lang w:val="en-US" w:eastAsia="zh-CN"/>
        </w:rPr>
        <w:t>6</w:t>
      </w:r>
      <w:r>
        <w:rPr>
          <w:spacing w:val="-3"/>
          <w:sz w:val="32"/>
        </w:rPr>
        <w:t xml:space="preserve">年住房公积金以 </w:t>
      </w:r>
      <w:r>
        <w:rPr>
          <w:sz w:val="32"/>
        </w:rPr>
        <w:t>12</w:t>
      </w:r>
      <w:r>
        <w:rPr>
          <w:spacing w:val="-5"/>
          <w:sz w:val="32"/>
        </w:rPr>
        <w:t xml:space="preserve"> 个月为基准安排预算</w:t>
      </w:r>
      <w:r>
        <w:rPr>
          <w:rFonts w:hint="eastAsia"/>
          <w:spacing w:val="-5"/>
          <w:sz w:val="32"/>
          <w:lang w:eastAsia="zh-CN"/>
        </w:rPr>
        <w:t>、</w:t>
      </w:r>
      <w:r>
        <w:rPr>
          <w:rFonts w:hint="eastAsia"/>
          <w:spacing w:val="-5"/>
          <w:sz w:val="32"/>
          <w:lang w:val="en-US" w:eastAsia="zh-CN"/>
        </w:rPr>
        <w:t>2025年新进5名工作人员</w:t>
      </w:r>
      <w:r>
        <w:rPr>
          <w:spacing w:val="-5"/>
          <w:sz w:val="32"/>
        </w:rPr>
        <w:t>。</w:t>
      </w:r>
    </w:p>
    <w:p w14:paraId="40A801D8">
      <w:pPr>
        <w:pStyle w:val="5"/>
        <w:keepNext w:val="0"/>
        <w:keepLines w:val="0"/>
        <w:pageBreakBefore w:val="0"/>
        <w:widowControl w:val="0"/>
        <w:kinsoku w:val="0"/>
        <w:wordWrap/>
        <w:overflowPunct/>
        <w:topLinePunct w:val="0"/>
        <w:autoSpaceDE w:val="0"/>
        <w:autoSpaceDN w:val="0"/>
        <w:bidi w:val="0"/>
        <w:adjustRightInd w:val="0"/>
        <w:snapToGrid w:val="0"/>
        <w:spacing w:line="410" w:lineRule="exact"/>
        <w:ind w:left="752" w:right="6"/>
        <w:textAlignment w:val="auto"/>
      </w:pPr>
      <w:r>
        <w:rPr>
          <w:spacing w:val="-5"/>
        </w:rPr>
        <w:t>六、一般公共预算基本支出预算情况说明</w:t>
      </w:r>
    </w:p>
    <w:p w14:paraId="28BE0260">
      <w:pPr>
        <w:pStyle w:val="5"/>
        <w:keepNext w:val="0"/>
        <w:keepLines w:val="0"/>
        <w:pageBreakBefore w:val="0"/>
        <w:widowControl w:val="0"/>
        <w:kinsoku w:val="0"/>
        <w:wordWrap/>
        <w:overflowPunct/>
        <w:topLinePunct w:val="0"/>
        <w:autoSpaceDE w:val="0"/>
        <w:autoSpaceDN w:val="0"/>
        <w:bidi w:val="0"/>
        <w:adjustRightInd w:val="0"/>
        <w:snapToGrid w:val="0"/>
        <w:spacing w:before="161"/>
        <w:ind w:left="752" w:right="6"/>
        <w:textAlignment w:val="auto"/>
      </w:pPr>
      <w:r>
        <w:rPr>
          <w:spacing w:val="-7"/>
        </w:rPr>
        <w:t xml:space="preserve">赤峰市营商环境促进中心单位 </w:t>
      </w:r>
      <w:r>
        <w:rPr>
          <w:spacing w:val="-4"/>
        </w:rPr>
        <w:t>202</w:t>
      </w:r>
      <w:r>
        <w:rPr>
          <w:rFonts w:hint="eastAsia"/>
          <w:spacing w:val="-4"/>
          <w:lang w:val="en-US" w:eastAsia="zh-CN"/>
        </w:rPr>
        <w:t>6</w:t>
      </w:r>
      <w:r>
        <w:rPr>
          <w:spacing w:val="-10"/>
        </w:rPr>
        <w:t xml:space="preserve"> 年度一般公共预算财政</w:t>
      </w:r>
    </w:p>
    <w:p w14:paraId="438DBEB3">
      <w:pPr>
        <w:pStyle w:val="5"/>
        <w:keepNext w:val="0"/>
        <w:keepLines w:val="0"/>
        <w:pageBreakBefore w:val="0"/>
        <w:widowControl w:val="0"/>
        <w:kinsoku w:val="0"/>
        <w:wordWrap/>
        <w:overflowPunct/>
        <w:topLinePunct w:val="0"/>
        <w:autoSpaceDE w:val="0"/>
        <w:autoSpaceDN w:val="0"/>
        <w:bidi w:val="0"/>
        <w:adjustRightInd w:val="0"/>
        <w:snapToGrid w:val="0"/>
        <w:spacing w:before="159"/>
        <w:ind w:right="6"/>
        <w:textAlignment w:val="auto"/>
      </w:pPr>
      <w:r>
        <w:rPr>
          <w:spacing w:val="-11"/>
        </w:rPr>
        <w:t xml:space="preserve">拨款基本支出预算 </w:t>
      </w:r>
      <w:r>
        <w:rPr>
          <w:rFonts w:hint="eastAsia"/>
          <w:spacing w:val="-4"/>
          <w:lang w:val="en-US" w:eastAsia="zh-CN"/>
        </w:rPr>
        <w:t>945.22</w:t>
      </w:r>
      <w:r>
        <w:rPr>
          <w:spacing w:val="-15"/>
        </w:rPr>
        <w:t xml:space="preserve"> 万元，其中：</w:t>
      </w:r>
    </w:p>
    <w:p w14:paraId="05779737">
      <w:pPr>
        <w:pStyle w:val="5"/>
        <w:keepNext w:val="0"/>
        <w:keepLines w:val="0"/>
        <w:pageBreakBefore w:val="0"/>
        <w:widowControl w:val="0"/>
        <w:kinsoku w:val="0"/>
        <w:wordWrap/>
        <w:overflowPunct/>
        <w:topLinePunct w:val="0"/>
        <w:autoSpaceDE w:val="0"/>
        <w:autoSpaceDN w:val="0"/>
        <w:bidi w:val="0"/>
        <w:adjustRightInd w:val="0"/>
        <w:snapToGrid w:val="0"/>
        <w:spacing w:before="161"/>
        <w:ind w:left="0" w:right="6"/>
        <w:jc w:val="right"/>
        <w:textAlignment w:val="auto"/>
        <w:rPr>
          <w:rFonts w:hint="default" w:eastAsia="宋体"/>
          <w:lang w:val="en-US" w:eastAsia="zh-CN"/>
        </w:rPr>
      </w:pPr>
      <w:r>
        <w:rPr>
          <w:spacing w:val="-4"/>
        </w:rPr>
        <w:t>（一）</w:t>
      </w:r>
      <w:r>
        <w:rPr>
          <w:spacing w:val="-20"/>
        </w:rPr>
        <w:t xml:space="preserve">人员经费 </w:t>
      </w:r>
      <w:r>
        <w:rPr>
          <w:rFonts w:hint="eastAsia"/>
          <w:spacing w:val="-4"/>
          <w:lang w:val="en-US" w:eastAsia="zh-CN"/>
        </w:rPr>
        <w:t>637.03</w:t>
      </w:r>
      <w:r>
        <w:rPr>
          <w:spacing w:val="-18"/>
        </w:rPr>
        <w:t xml:space="preserve"> 万元。主要包括：基本工资 </w:t>
      </w:r>
      <w:r>
        <w:rPr>
          <w:rFonts w:hint="eastAsia"/>
          <w:spacing w:val="-4"/>
          <w:lang w:val="en-US" w:eastAsia="zh-CN"/>
        </w:rPr>
        <w:t>130.96</w:t>
      </w:r>
    </w:p>
    <w:p w14:paraId="1F4B2E9F">
      <w:pPr>
        <w:pStyle w:val="5"/>
        <w:keepNext w:val="0"/>
        <w:keepLines w:val="0"/>
        <w:pageBreakBefore w:val="0"/>
        <w:widowControl w:val="0"/>
        <w:kinsoku w:val="0"/>
        <w:wordWrap/>
        <w:overflowPunct/>
        <w:topLinePunct w:val="0"/>
        <w:autoSpaceDE w:val="0"/>
        <w:autoSpaceDN w:val="0"/>
        <w:bidi w:val="0"/>
        <w:adjustRightInd w:val="0"/>
        <w:snapToGrid w:val="0"/>
        <w:spacing w:before="159"/>
        <w:ind w:left="0" w:right="6"/>
        <w:jc w:val="right"/>
        <w:textAlignment w:val="auto"/>
        <w:rPr>
          <w:rFonts w:hint="default" w:eastAsia="宋体"/>
          <w:lang w:val="en-US" w:eastAsia="zh-CN"/>
        </w:rPr>
      </w:pPr>
      <w:r>
        <w:rPr>
          <w:spacing w:val="-14"/>
        </w:rPr>
        <w:t xml:space="preserve">万元、津贴补贴 </w:t>
      </w:r>
      <w:r>
        <w:rPr>
          <w:rFonts w:hint="eastAsia"/>
          <w:spacing w:val="-4"/>
          <w:lang w:val="en-US" w:eastAsia="zh-CN"/>
        </w:rPr>
        <w:t>38.53</w:t>
      </w:r>
      <w:r>
        <w:rPr>
          <w:spacing w:val="-27"/>
        </w:rPr>
        <w:t xml:space="preserve"> 万元、奖金 </w:t>
      </w:r>
      <w:r>
        <w:rPr>
          <w:rFonts w:hint="eastAsia"/>
          <w:spacing w:val="-4"/>
          <w:lang w:val="en-US" w:eastAsia="zh-CN"/>
        </w:rPr>
        <w:t>29.63</w:t>
      </w:r>
      <w:r>
        <w:rPr>
          <w:spacing w:val="-22"/>
        </w:rPr>
        <w:t xml:space="preserve"> 万元、绩效工资 </w:t>
      </w:r>
      <w:r>
        <w:rPr>
          <w:rFonts w:hint="eastAsia"/>
          <w:spacing w:val="-4"/>
          <w:lang w:val="en-US" w:eastAsia="zh-CN"/>
        </w:rPr>
        <w:t>86.03</w:t>
      </w:r>
    </w:p>
    <w:p w14:paraId="531CD6FA">
      <w:pPr>
        <w:pStyle w:val="5"/>
        <w:keepNext w:val="0"/>
        <w:keepLines w:val="0"/>
        <w:pageBreakBefore w:val="0"/>
        <w:widowControl w:val="0"/>
        <w:kinsoku w:val="0"/>
        <w:wordWrap/>
        <w:overflowPunct/>
        <w:topLinePunct w:val="0"/>
        <w:autoSpaceDE w:val="0"/>
        <w:autoSpaceDN w:val="0"/>
        <w:bidi w:val="0"/>
        <w:adjustRightInd w:val="0"/>
        <w:snapToGrid w:val="0"/>
        <w:spacing w:before="161"/>
        <w:ind w:left="0" w:right="6"/>
        <w:jc w:val="right"/>
        <w:textAlignment w:val="auto"/>
      </w:pPr>
      <w:r>
        <w:rPr>
          <w:spacing w:val="-15"/>
        </w:rPr>
        <w:t xml:space="preserve">万元、机关事业单位基本养老保险缴费 </w:t>
      </w:r>
      <w:r>
        <w:rPr>
          <w:rFonts w:hint="eastAsia"/>
          <w:spacing w:val="-4"/>
          <w:lang w:val="en-US" w:eastAsia="zh-CN"/>
        </w:rPr>
        <w:t>39.71</w:t>
      </w:r>
      <w:r>
        <w:rPr>
          <w:spacing w:val="-19"/>
        </w:rPr>
        <w:t xml:space="preserve"> 万元、职工基本医</w:t>
      </w:r>
    </w:p>
    <w:p w14:paraId="04AD5AD0">
      <w:pPr>
        <w:pStyle w:val="5"/>
        <w:keepNext w:val="0"/>
        <w:keepLines w:val="0"/>
        <w:pageBreakBefore w:val="0"/>
        <w:widowControl w:val="0"/>
        <w:kinsoku w:val="0"/>
        <w:wordWrap/>
        <w:overflowPunct/>
        <w:topLinePunct w:val="0"/>
        <w:autoSpaceDE w:val="0"/>
        <w:autoSpaceDN w:val="0"/>
        <w:bidi w:val="0"/>
        <w:adjustRightInd w:val="0"/>
        <w:snapToGrid w:val="0"/>
        <w:spacing w:before="159"/>
        <w:ind w:left="0" w:right="6"/>
        <w:jc w:val="right"/>
        <w:textAlignment w:val="auto"/>
      </w:pPr>
      <w:r>
        <w:rPr>
          <w:spacing w:val="-13"/>
        </w:rPr>
        <w:t xml:space="preserve">疗保险缴费 </w:t>
      </w:r>
      <w:r>
        <w:rPr>
          <w:rFonts w:hint="eastAsia"/>
          <w:spacing w:val="-4"/>
          <w:lang w:val="en-US" w:eastAsia="zh-CN"/>
        </w:rPr>
        <w:t>19.7</w:t>
      </w:r>
      <w:r>
        <w:rPr>
          <w:spacing w:val="-16"/>
        </w:rPr>
        <w:t xml:space="preserve"> 万元、其他社会保</w:t>
      </w:r>
      <w:r>
        <w:rPr>
          <w:rFonts w:hint="eastAsia"/>
          <w:spacing w:val="-16"/>
          <w:lang w:val="en-US" w:eastAsia="zh-CN"/>
        </w:rPr>
        <w:t>障</w:t>
      </w:r>
      <w:r>
        <w:rPr>
          <w:spacing w:val="-16"/>
        </w:rPr>
        <w:t xml:space="preserve">缴费 </w:t>
      </w:r>
      <w:r>
        <w:rPr>
          <w:rFonts w:hint="eastAsia"/>
          <w:spacing w:val="-4"/>
          <w:lang w:val="en-US" w:eastAsia="zh-CN"/>
        </w:rPr>
        <w:t>1.88</w:t>
      </w:r>
      <w:r>
        <w:rPr>
          <w:spacing w:val="-14"/>
        </w:rPr>
        <w:t xml:space="preserve"> 万元、住房公</w:t>
      </w:r>
    </w:p>
    <w:p w14:paraId="4E046CB7">
      <w:pPr>
        <w:pStyle w:val="5"/>
        <w:keepNext w:val="0"/>
        <w:keepLines w:val="0"/>
        <w:pageBreakBefore w:val="0"/>
        <w:widowControl w:val="0"/>
        <w:kinsoku w:val="0"/>
        <w:wordWrap/>
        <w:overflowPunct/>
        <w:topLinePunct w:val="0"/>
        <w:autoSpaceDE w:val="0"/>
        <w:autoSpaceDN w:val="0"/>
        <w:bidi w:val="0"/>
        <w:adjustRightInd w:val="0"/>
        <w:snapToGrid w:val="0"/>
        <w:spacing w:before="159"/>
        <w:ind w:right="6"/>
        <w:textAlignment w:val="auto"/>
      </w:pPr>
      <w:r>
        <w:rPr>
          <w:spacing w:val="-29"/>
        </w:rPr>
        <w:t xml:space="preserve">积金 </w:t>
      </w:r>
      <w:r>
        <w:rPr>
          <w:rFonts w:hint="eastAsia"/>
          <w:spacing w:val="-4"/>
          <w:lang w:val="en-US" w:eastAsia="zh-CN"/>
        </w:rPr>
        <w:t>33.01</w:t>
      </w:r>
      <w:r>
        <w:rPr>
          <w:spacing w:val="-18"/>
        </w:rPr>
        <w:t xml:space="preserve"> 万元、其他工资福利支出 </w:t>
      </w:r>
      <w:r>
        <w:rPr>
          <w:spacing w:val="-4"/>
        </w:rPr>
        <w:t>240.24</w:t>
      </w:r>
      <w:r>
        <w:rPr>
          <w:spacing w:val="-24"/>
        </w:rPr>
        <w:t xml:space="preserve"> 万元、</w:t>
      </w:r>
      <w:r>
        <w:rPr>
          <w:rFonts w:hint="eastAsia"/>
          <w:spacing w:val="-15"/>
          <w:lang w:val="en-US" w:eastAsia="zh-CN"/>
        </w:rPr>
        <w:t>职业年金缴费11</w:t>
      </w:r>
      <w:r>
        <w:rPr>
          <w:spacing w:val="-19"/>
        </w:rPr>
        <w:t xml:space="preserve"> 万元</w:t>
      </w:r>
      <w:r>
        <w:rPr>
          <w:spacing w:val="-22"/>
        </w:rPr>
        <w:t>。</w:t>
      </w:r>
    </w:p>
    <w:p w14:paraId="51FA8403">
      <w:pPr>
        <w:pStyle w:val="5"/>
        <w:keepNext w:val="0"/>
        <w:keepLines w:val="0"/>
        <w:pageBreakBefore w:val="0"/>
        <w:widowControl w:val="0"/>
        <w:kinsoku w:val="0"/>
        <w:wordWrap/>
        <w:overflowPunct/>
        <w:topLinePunct w:val="0"/>
        <w:autoSpaceDE w:val="0"/>
        <w:autoSpaceDN w:val="0"/>
        <w:bidi w:val="0"/>
        <w:adjustRightInd w:val="0"/>
        <w:snapToGrid w:val="0"/>
        <w:spacing w:before="161"/>
        <w:ind w:left="752" w:right="6"/>
        <w:textAlignment w:val="auto"/>
      </w:pPr>
      <w:r>
        <w:rPr>
          <w:spacing w:val="-4"/>
        </w:rPr>
        <w:t>（二）</w:t>
      </w:r>
      <w:r>
        <w:rPr>
          <w:spacing w:val="-15"/>
        </w:rPr>
        <w:t xml:space="preserve">公用经费 </w:t>
      </w:r>
      <w:r>
        <w:rPr>
          <w:rFonts w:hint="eastAsia"/>
          <w:spacing w:val="-4"/>
          <w:lang w:val="en-US" w:eastAsia="zh-CN"/>
        </w:rPr>
        <w:t>308.19</w:t>
      </w:r>
      <w:r>
        <w:rPr>
          <w:spacing w:val="-16"/>
        </w:rPr>
        <w:t xml:space="preserve"> 万元。主要包括：办公费 </w:t>
      </w:r>
      <w:r>
        <w:rPr>
          <w:rFonts w:hint="eastAsia"/>
          <w:spacing w:val="-4"/>
          <w:lang w:val="en-US" w:eastAsia="zh-CN"/>
        </w:rPr>
        <w:t>39.22</w:t>
      </w:r>
      <w:r>
        <w:rPr>
          <w:spacing w:val="-33"/>
        </w:rPr>
        <w:t xml:space="preserve"> 万</w:t>
      </w:r>
    </w:p>
    <w:p w14:paraId="22BC9B1D">
      <w:pPr>
        <w:pStyle w:val="5"/>
        <w:keepNext w:val="0"/>
        <w:keepLines w:val="0"/>
        <w:pageBreakBefore w:val="0"/>
        <w:widowControl w:val="0"/>
        <w:kinsoku w:val="0"/>
        <w:wordWrap/>
        <w:overflowPunct/>
        <w:topLinePunct w:val="0"/>
        <w:autoSpaceDE w:val="0"/>
        <w:autoSpaceDN w:val="0"/>
        <w:bidi w:val="0"/>
        <w:adjustRightInd w:val="0"/>
        <w:snapToGrid w:val="0"/>
        <w:spacing w:before="159"/>
        <w:ind w:right="6"/>
        <w:textAlignment w:val="auto"/>
      </w:pPr>
      <w:r>
        <w:rPr>
          <w:spacing w:val="-20"/>
        </w:rPr>
        <w:t xml:space="preserve">元、印刷费 </w:t>
      </w:r>
      <w:r>
        <w:rPr>
          <w:rFonts w:hint="eastAsia"/>
          <w:spacing w:val="-8"/>
          <w:lang w:val="en-US" w:eastAsia="zh-CN"/>
        </w:rPr>
        <w:t>3</w:t>
      </w:r>
      <w:r>
        <w:rPr>
          <w:spacing w:val="-29"/>
        </w:rPr>
        <w:t xml:space="preserve"> 万元、水费 </w:t>
      </w:r>
      <w:r>
        <w:rPr>
          <w:rFonts w:hint="eastAsia"/>
          <w:spacing w:val="-8"/>
          <w:lang w:val="en-US" w:eastAsia="zh-CN"/>
        </w:rPr>
        <w:t>2</w:t>
      </w:r>
      <w:r>
        <w:rPr>
          <w:spacing w:val="-29"/>
        </w:rPr>
        <w:t xml:space="preserve"> 万元、电费 </w:t>
      </w:r>
      <w:r>
        <w:rPr>
          <w:rFonts w:hint="eastAsia"/>
          <w:spacing w:val="-8"/>
          <w:lang w:val="en-US" w:eastAsia="zh-CN"/>
        </w:rPr>
        <w:t>16</w:t>
      </w:r>
      <w:r>
        <w:rPr>
          <w:spacing w:val="-27"/>
        </w:rPr>
        <w:t xml:space="preserve"> 万元、邮电费 </w:t>
      </w:r>
      <w:r>
        <w:rPr>
          <w:spacing w:val="-8"/>
        </w:rPr>
        <w:t>1</w:t>
      </w:r>
      <w:r>
        <w:rPr>
          <w:spacing w:val="-25"/>
        </w:rPr>
        <w:t xml:space="preserve"> 万元、</w:t>
      </w:r>
    </w:p>
    <w:p w14:paraId="1C1426F1">
      <w:pPr>
        <w:pStyle w:val="5"/>
        <w:keepNext w:val="0"/>
        <w:keepLines w:val="0"/>
        <w:pageBreakBefore w:val="0"/>
        <w:widowControl w:val="0"/>
        <w:kinsoku w:val="0"/>
        <w:wordWrap/>
        <w:overflowPunct/>
        <w:topLinePunct w:val="0"/>
        <w:autoSpaceDE w:val="0"/>
        <w:autoSpaceDN w:val="0"/>
        <w:bidi w:val="0"/>
        <w:adjustRightInd w:val="0"/>
        <w:snapToGrid w:val="0"/>
        <w:spacing w:before="162"/>
        <w:ind w:right="6"/>
        <w:textAlignment w:val="auto"/>
      </w:pPr>
      <w:r>
        <w:rPr>
          <w:spacing w:val="-24"/>
        </w:rPr>
        <w:t xml:space="preserve">差旅费 </w:t>
      </w:r>
      <w:r>
        <w:rPr>
          <w:spacing w:val="-8"/>
        </w:rPr>
        <w:t>3</w:t>
      </w:r>
      <w:r>
        <w:rPr>
          <w:spacing w:val="-19"/>
        </w:rPr>
        <w:t xml:space="preserve"> 万元、维修</w:t>
      </w:r>
      <w:r>
        <w:rPr>
          <w:spacing w:val="-8"/>
        </w:rPr>
        <w:t>（护）</w:t>
      </w:r>
      <w:r>
        <w:rPr>
          <w:spacing w:val="-38"/>
        </w:rPr>
        <w:t xml:space="preserve">费 </w:t>
      </w:r>
      <w:r>
        <w:rPr>
          <w:spacing w:val="-8"/>
        </w:rPr>
        <w:t>10</w:t>
      </w:r>
      <w:r>
        <w:rPr>
          <w:spacing w:val="-26"/>
        </w:rPr>
        <w:t xml:space="preserve"> 万元、租赁费 </w:t>
      </w:r>
      <w:r>
        <w:rPr>
          <w:rFonts w:hint="eastAsia"/>
          <w:spacing w:val="-8"/>
          <w:lang w:val="en-US" w:eastAsia="zh-CN"/>
        </w:rPr>
        <w:t>223.25</w:t>
      </w:r>
      <w:r>
        <w:rPr>
          <w:spacing w:val="-22"/>
        </w:rPr>
        <w:t xml:space="preserve"> 万元、公</w:t>
      </w:r>
    </w:p>
    <w:p w14:paraId="1BE33885">
      <w:pPr>
        <w:pStyle w:val="5"/>
        <w:keepNext w:val="0"/>
        <w:keepLines w:val="0"/>
        <w:pageBreakBefore w:val="0"/>
        <w:widowControl w:val="0"/>
        <w:kinsoku w:val="0"/>
        <w:wordWrap/>
        <w:overflowPunct/>
        <w:topLinePunct w:val="0"/>
        <w:autoSpaceDE w:val="0"/>
        <w:autoSpaceDN w:val="0"/>
        <w:bidi w:val="0"/>
        <w:adjustRightInd w:val="0"/>
        <w:snapToGrid w:val="0"/>
        <w:spacing w:before="159"/>
        <w:ind w:right="6"/>
        <w:textAlignment w:val="auto"/>
      </w:pPr>
      <w:r>
        <w:rPr>
          <w:spacing w:val="-18"/>
        </w:rPr>
        <w:t xml:space="preserve">务接待费 </w:t>
      </w:r>
      <w:r>
        <w:rPr>
          <w:spacing w:val="-4"/>
        </w:rPr>
        <w:t>0.3</w:t>
      </w:r>
      <w:r>
        <w:rPr>
          <w:spacing w:val="-23"/>
        </w:rPr>
        <w:t xml:space="preserve"> 万元、</w:t>
      </w:r>
      <w:r>
        <w:rPr>
          <w:rFonts w:hint="eastAsia"/>
          <w:spacing w:val="-23"/>
          <w:lang w:val="en-US" w:eastAsia="zh-CN"/>
        </w:rPr>
        <w:t>劳务费6万元、</w:t>
      </w:r>
      <w:r>
        <w:rPr>
          <w:spacing w:val="-18"/>
        </w:rPr>
        <w:t xml:space="preserve">其他交通费用 </w:t>
      </w:r>
      <w:r>
        <w:rPr>
          <w:rFonts w:hint="eastAsia"/>
          <w:spacing w:val="-4"/>
          <w:lang w:val="en-US" w:eastAsia="zh-CN"/>
        </w:rPr>
        <w:t>2</w:t>
      </w:r>
      <w:r>
        <w:rPr>
          <w:spacing w:val="-23"/>
        </w:rPr>
        <w:t xml:space="preserve"> 万元、</w:t>
      </w:r>
      <w:r>
        <w:rPr>
          <w:spacing w:val="-11"/>
        </w:rPr>
        <w:t xml:space="preserve">其他商品和服务支出 </w:t>
      </w:r>
      <w:r>
        <w:rPr>
          <w:spacing w:val="-4"/>
        </w:rPr>
        <w:t>0.42</w:t>
      </w:r>
      <w:r>
        <w:rPr>
          <w:spacing w:val="-18"/>
        </w:rPr>
        <w:t xml:space="preserve"> 万元</w:t>
      </w:r>
      <w:r>
        <w:rPr>
          <w:spacing w:val="-23"/>
        </w:rPr>
        <w:t>。</w:t>
      </w:r>
    </w:p>
    <w:p w14:paraId="34672C92">
      <w:pPr>
        <w:keepNext w:val="0"/>
        <w:keepLines w:val="0"/>
        <w:pageBreakBefore w:val="0"/>
        <w:widowControl w:val="0"/>
        <w:kinsoku w:val="0"/>
        <w:wordWrap/>
        <w:overflowPunct/>
        <w:topLinePunct w:val="0"/>
        <w:autoSpaceDE w:val="0"/>
        <w:autoSpaceDN w:val="0"/>
        <w:bidi w:val="0"/>
        <w:adjustRightInd w:val="0"/>
        <w:snapToGrid w:val="0"/>
        <w:spacing w:after="0"/>
        <w:ind w:right="6"/>
        <w:textAlignment w:val="auto"/>
      </w:pPr>
    </w:p>
    <w:p w14:paraId="726A81A7">
      <w:pPr>
        <w:pStyle w:val="5"/>
        <w:keepNext w:val="0"/>
        <w:keepLines w:val="0"/>
        <w:pageBreakBefore w:val="0"/>
        <w:widowControl w:val="0"/>
        <w:kinsoku w:val="0"/>
        <w:wordWrap/>
        <w:overflowPunct/>
        <w:topLinePunct w:val="0"/>
        <w:autoSpaceDE w:val="0"/>
        <w:autoSpaceDN w:val="0"/>
        <w:bidi w:val="0"/>
        <w:adjustRightInd w:val="0"/>
        <w:snapToGrid w:val="0"/>
        <w:spacing w:before="27"/>
        <w:ind w:left="752" w:right="6"/>
        <w:textAlignment w:val="auto"/>
      </w:pPr>
      <w:r>
        <w:rPr>
          <w:spacing w:val="-5"/>
        </w:rPr>
        <w:t>七、一般公共预算“三公”经费支出预算情况说明</w:t>
      </w:r>
    </w:p>
    <w:p w14:paraId="20DB88E8">
      <w:pPr>
        <w:pStyle w:val="5"/>
        <w:keepNext w:val="0"/>
        <w:keepLines w:val="0"/>
        <w:pageBreakBefore w:val="0"/>
        <w:widowControl w:val="0"/>
        <w:kinsoku w:val="0"/>
        <w:wordWrap/>
        <w:overflowPunct/>
        <w:topLinePunct w:val="0"/>
        <w:autoSpaceDE w:val="0"/>
        <w:autoSpaceDN w:val="0"/>
        <w:bidi w:val="0"/>
        <w:adjustRightInd w:val="0"/>
        <w:snapToGrid w:val="0"/>
        <w:spacing w:before="158"/>
        <w:ind w:left="752" w:right="6"/>
        <w:textAlignment w:val="auto"/>
      </w:pPr>
      <w:r>
        <w:rPr>
          <w:spacing w:val="-7"/>
        </w:rPr>
        <w:t xml:space="preserve">赤峰市营商环境促进中心单位 </w:t>
      </w:r>
      <w:r>
        <w:rPr>
          <w:spacing w:val="-4"/>
        </w:rPr>
        <w:t>202</w:t>
      </w:r>
      <w:r>
        <w:rPr>
          <w:rFonts w:hint="eastAsia"/>
          <w:spacing w:val="-4"/>
          <w:lang w:val="en-US" w:eastAsia="zh-CN"/>
        </w:rPr>
        <w:t>6</w:t>
      </w:r>
      <w:r>
        <w:rPr>
          <w:spacing w:val="-10"/>
        </w:rPr>
        <w:t xml:space="preserve"> 年度一般公共预算拨款</w:t>
      </w:r>
    </w:p>
    <w:p w14:paraId="6EBCA7AF">
      <w:pPr>
        <w:pStyle w:val="5"/>
        <w:keepNext w:val="0"/>
        <w:keepLines w:val="0"/>
        <w:pageBreakBefore w:val="0"/>
        <w:widowControl w:val="0"/>
        <w:kinsoku w:val="0"/>
        <w:wordWrap/>
        <w:overflowPunct/>
        <w:topLinePunct w:val="0"/>
        <w:autoSpaceDE w:val="0"/>
        <w:autoSpaceDN w:val="0"/>
        <w:bidi w:val="0"/>
        <w:adjustRightInd w:val="0"/>
        <w:snapToGrid w:val="0"/>
        <w:spacing w:before="162"/>
        <w:ind w:right="6"/>
        <w:textAlignment w:val="auto"/>
      </w:pPr>
      <w:r>
        <w:rPr>
          <w:spacing w:val="-12"/>
        </w:rPr>
        <w:t xml:space="preserve">安排的“三公”经费预算支出 </w:t>
      </w:r>
      <w:r>
        <w:rPr>
          <w:spacing w:val="-8"/>
        </w:rPr>
        <w:t>0.6</w:t>
      </w:r>
      <w:r>
        <w:rPr>
          <w:spacing w:val="-16"/>
        </w:rPr>
        <w:t xml:space="preserve"> 万元，其中因公出国</w:t>
      </w:r>
      <w:r>
        <w:rPr>
          <w:spacing w:val="-8"/>
        </w:rPr>
        <w:t>（境）</w:t>
      </w:r>
      <w:r>
        <w:rPr>
          <w:spacing w:val="-10"/>
        </w:rPr>
        <w:t>费</w:t>
      </w:r>
    </w:p>
    <w:p w14:paraId="109C6E89">
      <w:pPr>
        <w:pStyle w:val="5"/>
        <w:keepNext w:val="0"/>
        <w:keepLines w:val="0"/>
        <w:pageBreakBefore w:val="0"/>
        <w:widowControl w:val="0"/>
        <w:kinsoku w:val="0"/>
        <w:wordWrap/>
        <w:overflowPunct/>
        <w:topLinePunct w:val="0"/>
        <w:autoSpaceDE w:val="0"/>
        <w:autoSpaceDN w:val="0"/>
        <w:bidi w:val="0"/>
        <w:adjustRightInd w:val="0"/>
        <w:snapToGrid w:val="0"/>
        <w:spacing w:before="158" w:line="333" w:lineRule="auto"/>
        <w:ind w:right="6"/>
        <w:textAlignment w:val="auto"/>
      </w:pPr>
      <w:r>
        <w:rPr>
          <w:spacing w:val="-18"/>
        </w:rPr>
        <w:t xml:space="preserve">支出 </w:t>
      </w:r>
      <w:r>
        <w:rPr>
          <w:spacing w:val="-2"/>
        </w:rPr>
        <w:t>0</w:t>
      </w:r>
      <w:r>
        <w:rPr>
          <w:spacing w:val="-21"/>
        </w:rPr>
        <w:t xml:space="preserve"> 万元，占 </w:t>
      </w:r>
      <w:r>
        <w:rPr>
          <w:spacing w:val="-2"/>
        </w:rPr>
        <w:t>0%</w:t>
      </w:r>
      <w:r>
        <w:rPr>
          <w:spacing w:val="-5"/>
        </w:rPr>
        <w:t xml:space="preserve">；公务用车购置及运行维护费支出 </w:t>
      </w:r>
      <w:r>
        <w:rPr>
          <w:spacing w:val="-2"/>
        </w:rPr>
        <w:t>0</w:t>
      </w:r>
      <w:r>
        <w:rPr>
          <w:spacing w:val="-16"/>
        </w:rPr>
        <w:t xml:space="preserve"> 万元，</w:t>
      </w:r>
      <w:r>
        <w:rPr>
          <w:spacing w:val="-21"/>
        </w:rPr>
        <w:t xml:space="preserve">占 </w:t>
      </w:r>
      <w:r>
        <w:t>0</w:t>
      </w:r>
      <w:r>
        <w:rPr>
          <w:spacing w:val="-4"/>
        </w:rPr>
        <w:t xml:space="preserve">%；公务接待费支出 </w:t>
      </w:r>
      <w:r>
        <w:t>0.6</w:t>
      </w:r>
      <w:r>
        <w:rPr>
          <w:spacing w:val="-15"/>
        </w:rPr>
        <w:t xml:space="preserve"> 万元，占 </w:t>
      </w:r>
      <w:r>
        <w:t>100%。具体情况如下：</w:t>
      </w:r>
    </w:p>
    <w:p w14:paraId="5F964928">
      <w:pPr>
        <w:pStyle w:val="5"/>
        <w:keepNext w:val="0"/>
        <w:keepLines w:val="0"/>
        <w:pageBreakBefore w:val="0"/>
        <w:widowControl w:val="0"/>
        <w:kinsoku w:val="0"/>
        <w:wordWrap/>
        <w:overflowPunct/>
        <w:topLinePunct w:val="0"/>
        <w:autoSpaceDE w:val="0"/>
        <w:autoSpaceDN w:val="0"/>
        <w:bidi w:val="0"/>
        <w:adjustRightInd w:val="0"/>
        <w:snapToGrid w:val="0"/>
        <w:spacing w:before="1" w:line="333" w:lineRule="auto"/>
        <w:ind w:right="6" w:firstLine="640"/>
        <w:jc w:val="both"/>
        <w:textAlignment w:val="auto"/>
      </w:pPr>
      <w:r>
        <w:rPr>
          <w:spacing w:val="-6"/>
        </w:rPr>
        <w:t xml:space="preserve">一般公共预算拨款安排的“三公”经费预算支出 </w:t>
      </w:r>
      <w:r>
        <w:rPr>
          <w:spacing w:val="-4"/>
        </w:rPr>
        <w:t>0.6</w:t>
      </w:r>
      <w:r>
        <w:rPr>
          <w:spacing w:val="-13"/>
        </w:rPr>
        <w:t xml:space="preserve"> 万元，</w:t>
      </w:r>
      <w:r>
        <w:rPr>
          <w:spacing w:val="-7"/>
        </w:rPr>
        <w:t xml:space="preserve">比上年预算增加 </w:t>
      </w:r>
      <w:r>
        <w:t>0</w:t>
      </w:r>
      <w:r>
        <w:rPr>
          <w:spacing w:val="-16"/>
        </w:rPr>
        <w:t xml:space="preserve"> 万元，增加 </w:t>
      </w:r>
      <w:r>
        <w:rPr>
          <w:rFonts w:hint="eastAsia"/>
          <w:lang w:val="en-US" w:eastAsia="zh-CN"/>
        </w:rPr>
        <w:t>0</w:t>
      </w:r>
      <w:r>
        <w:t>%； 其中：</w:t>
      </w:r>
    </w:p>
    <w:p w14:paraId="1890E1E1">
      <w:pPr>
        <w:pStyle w:val="12"/>
        <w:keepNext w:val="0"/>
        <w:keepLines w:val="0"/>
        <w:pageBreakBefore w:val="0"/>
        <w:widowControl w:val="0"/>
        <w:numPr>
          <w:ilvl w:val="0"/>
          <w:numId w:val="10"/>
        </w:numPr>
        <w:tabs>
          <w:tab w:val="left" w:pos="1230"/>
        </w:tabs>
        <w:kinsoku w:val="0"/>
        <w:wordWrap/>
        <w:overflowPunct/>
        <w:topLinePunct w:val="0"/>
        <w:autoSpaceDE w:val="0"/>
        <w:autoSpaceDN w:val="0"/>
        <w:bidi w:val="0"/>
        <w:adjustRightInd w:val="0"/>
        <w:snapToGrid w:val="0"/>
        <w:spacing w:before="0" w:after="0" w:line="333" w:lineRule="auto"/>
        <w:ind w:left="111" w:right="6" w:firstLine="640"/>
        <w:jc w:val="both"/>
        <w:textAlignment w:val="auto"/>
        <w:rPr>
          <w:sz w:val="32"/>
        </w:rPr>
      </w:pPr>
      <w:r>
        <w:rPr>
          <w:sz w:val="32"/>
        </w:rPr>
        <w:t>因公出国（境）</w:t>
      </w:r>
      <w:r>
        <w:rPr>
          <w:spacing w:val="-7"/>
          <w:sz w:val="32"/>
        </w:rPr>
        <w:t xml:space="preserve">费预算支出 </w:t>
      </w:r>
      <w:r>
        <w:rPr>
          <w:sz w:val="32"/>
        </w:rPr>
        <w:t>0</w:t>
      </w:r>
      <w:r>
        <w:rPr>
          <w:spacing w:val="-10"/>
          <w:sz w:val="32"/>
        </w:rPr>
        <w:t xml:space="preserve"> 万元，比上年预算增加 </w:t>
      </w:r>
      <w:r>
        <w:rPr>
          <w:sz w:val="32"/>
        </w:rPr>
        <w:t>0</w:t>
      </w:r>
      <w:r>
        <w:rPr>
          <w:spacing w:val="-2"/>
          <w:sz w:val="32"/>
        </w:rPr>
        <w:t>万元，主要原因是不存在此项内容。</w:t>
      </w:r>
    </w:p>
    <w:p w14:paraId="3FE1B168">
      <w:pPr>
        <w:pStyle w:val="12"/>
        <w:keepNext w:val="0"/>
        <w:keepLines w:val="0"/>
        <w:pageBreakBefore w:val="0"/>
        <w:widowControl w:val="0"/>
        <w:numPr>
          <w:ilvl w:val="0"/>
          <w:numId w:val="10"/>
        </w:numPr>
        <w:tabs>
          <w:tab w:val="left" w:pos="1231"/>
        </w:tabs>
        <w:kinsoku w:val="0"/>
        <w:wordWrap/>
        <w:overflowPunct/>
        <w:topLinePunct w:val="0"/>
        <w:autoSpaceDE w:val="0"/>
        <w:autoSpaceDN w:val="0"/>
        <w:bidi w:val="0"/>
        <w:adjustRightInd w:val="0"/>
        <w:snapToGrid w:val="0"/>
        <w:spacing w:before="0" w:after="0" w:line="240" w:lineRule="auto"/>
        <w:ind w:left="1231" w:right="6" w:hanging="479"/>
        <w:jc w:val="both"/>
        <w:textAlignment w:val="auto"/>
        <w:rPr>
          <w:sz w:val="32"/>
        </w:rPr>
      </w:pPr>
      <w:r>
        <w:rPr>
          <w:spacing w:val="-8"/>
          <w:sz w:val="32"/>
        </w:rPr>
        <w:t xml:space="preserve">公务用车购置及运行维护费预算支出 </w:t>
      </w:r>
      <w:r>
        <w:rPr>
          <w:spacing w:val="-4"/>
          <w:sz w:val="32"/>
        </w:rPr>
        <w:t>0</w:t>
      </w:r>
      <w:r>
        <w:rPr>
          <w:spacing w:val="-14"/>
          <w:sz w:val="32"/>
        </w:rPr>
        <w:t xml:space="preserve"> 万元。其中：</w:t>
      </w:r>
    </w:p>
    <w:p w14:paraId="38633F3B">
      <w:pPr>
        <w:pStyle w:val="12"/>
        <w:keepNext w:val="0"/>
        <w:keepLines w:val="0"/>
        <w:pageBreakBefore w:val="0"/>
        <w:widowControl w:val="0"/>
        <w:numPr>
          <w:ilvl w:val="0"/>
          <w:numId w:val="11"/>
        </w:numPr>
        <w:tabs>
          <w:tab w:val="left" w:pos="1551"/>
        </w:tabs>
        <w:kinsoku w:val="0"/>
        <w:wordWrap/>
        <w:overflowPunct/>
        <w:topLinePunct w:val="0"/>
        <w:autoSpaceDE w:val="0"/>
        <w:autoSpaceDN w:val="0"/>
        <w:bidi w:val="0"/>
        <w:adjustRightInd w:val="0"/>
        <w:snapToGrid w:val="0"/>
        <w:spacing w:before="162" w:after="0" w:line="333" w:lineRule="auto"/>
        <w:ind w:left="111" w:right="6" w:firstLine="640"/>
        <w:jc w:val="both"/>
        <w:textAlignment w:val="auto"/>
        <w:rPr>
          <w:sz w:val="32"/>
        </w:rPr>
      </w:pPr>
      <w:r>
        <w:rPr>
          <w:spacing w:val="-6"/>
          <w:sz w:val="32"/>
        </w:rPr>
        <w:t xml:space="preserve">公务用车购置预算支出 </w:t>
      </w:r>
      <w:r>
        <w:rPr>
          <w:spacing w:val="-2"/>
          <w:sz w:val="32"/>
        </w:rPr>
        <w:t>0</w:t>
      </w:r>
      <w:r>
        <w:rPr>
          <w:spacing w:val="-8"/>
          <w:sz w:val="32"/>
        </w:rPr>
        <w:t xml:space="preserve"> 万元，比上年预算增加</w:t>
      </w:r>
      <w:r>
        <w:rPr>
          <w:spacing w:val="-2"/>
          <w:sz w:val="32"/>
        </w:rPr>
        <w:t>（减</w:t>
      </w:r>
      <w:r>
        <w:rPr>
          <w:sz w:val="32"/>
        </w:rPr>
        <w:t>少）0</w:t>
      </w:r>
      <w:r>
        <w:rPr>
          <w:spacing w:val="-7"/>
          <w:sz w:val="32"/>
        </w:rPr>
        <w:t xml:space="preserve"> 万元，主要原因是不存在此项内容。</w:t>
      </w:r>
    </w:p>
    <w:p w14:paraId="4EFBBF7E">
      <w:pPr>
        <w:pStyle w:val="12"/>
        <w:keepNext w:val="0"/>
        <w:keepLines w:val="0"/>
        <w:pageBreakBefore w:val="0"/>
        <w:widowControl w:val="0"/>
        <w:numPr>
          <w:ilvl w:val="0"/>
          <w:numId w:val="11"/>
        </w:numPr>
        <w:tabs>
          <w:tab w:val="left" w:pos="1551"/>
        </w:tabs>
        <w:kinsoku w:val="0"/>
        <w:wordWrap/>
        <w:overflowPunct/>
        <w:topLinePunct w:val="0"/>
        <w:autoSpaceDE w:val="0"/>
        <w:autoSpaceDN w:val="0"/>
        <w:bidi w:val="0"/>
        <w:adjustRightInd w:val="0"/>
        <w:snapToGrid w:val="0"/>
        <w:spacing w:before="0" w:after="0" w:line="333" w:lineRule="auto"/>
        <w:ind w:left="111" w:right="6" w:firstLine="640"/>
        <w:jc w:val="both"/>
        <w:textAlignment w:val="auto"/>
        <w:rPr>
          <w:sz w:val="32"/>
        </w:rPr>
      </w:pPr>
      <w:r>
        <w:rPr>
          <w:spacing w:val="-5"/>
          <w:sz w:val="32"/>
        </w:rPr>
        <w:t xml:space="preserve">公务用车运行维护费预算支出 </w:t>
      </w:r>
      <w:r>
        <w:rPr>
          <w:spacing w:val="-2"/>
          <w:sz w:val="32"/>
        </w:rPr>
        <w:t>0</w:t>
      </w:r>
      <w:r>
        <w:rPr>
          <w:spacing w:val="-8"/>
          <w:sz w:val="32"/>
        </w:rPr>
        <w:t xml:space="preserve"> 万元，比上年预算增</w:t>
      </w:r>
      <w:r>
        <w:rPr>
          <w:sz w:val="32"/>
        </w:rPr>
        <w:t>加（减少）0</w:t>
      </w:r>
      <w:r>
        <w:rPr>
          <w:spacing w:val="-7"/>
          <w:sz w:val="32"/>
        </w:rPr>
        <w:t xml:space="preserve"> 万元，主要原因是不存在此项内容。</w:t>
      </w:r>
    </w:p>
    <w:p w14:paraId="20A05BBC">
      <w:pPr>
        <w:pStyle w:val="12"/>
        <w:keepNext w:val="0"/>
        <w:keepLines w:val="0"/>
        <w:pageBreakBefore w:val="0"/>
        <w:widowControl w:val="0"/>
        <w:numPr>
          <w:ilvl w:val="0"/>
          <w:numId w:val="10"/>
        </w:numPr>
        <w:tabs>
          <w:tab w:val="left" w:pos="1230"/>
        </w:tabs>
        <w:kinsoku w:val="0"/>
        <w:wordWrap/>
        <w:overflowPunct/>
        <w:topLinePunct w:val="0"/>
        <w:autoSpaceDE w:val="0"/>
        <w:autoSpaceDN w:val="0"/>
        <w:bidi w:val="0"/>
        <w:adjustRightInd w:val="0"/>
        <w:snapToGrid w:val="0"/>
        <w:spacing w:before="1" w:after="0" w:line="333" w:lineRule="auto"/>
        <w:ind w:left="111" w:right="6" w:firstLine="640"/>
        <w:jc w:val="both"/>
        <w:textAlignment w:val="auto"/>
        <w:rPr>
          <w:sz w:val="32"/>
        </w:rPr>
      </w:pPr>
      <w:r>
        <w:rPr>
          <w:spacing w:val="-9"/>
          <w:sz w:val="32"/>
        </w:rPr>
        <w:t xml:space="preserve">公务接待费预算支出 </w:t>
      </w:r>
      <w:r>
        <w:rPr>
          <w:spacing w:val="-6"/>
          <w:sz w:val="32"/>
        </w:rPr>
        <w:t>0.6</w:t>
      </w:r>
      <w:r>
        <w:rPr>
          <w:spacing w:val="-14"/>
          <w:sz w:val="32"/>
        </w:rPr>
        <w:t xml:space="preserve"> 万元，比上年预算增加 </w:t>
      </w:r>
      <w:r>
        <w:rPr>
          <w:spacing w:val="-6"/>
          <w:sz w:val="32"/>
        </w:rPr>
        <w:t>0</w:t>
      </w:r>
      <w:r>
        <w:rPr>
          <w:spacing w:val="-20"/>
          <w:sz w:val="32"/>
        </w:rPr>
        <w:t xml:space="preserve"> 万</w:t>
      </w:r>
      <w:r>
        <w:rPr>
          <w:spacing w:val="-6"/>
          <w:sz w:val="32"/>
        </w:rPr>
        <w:t>元</w:t>
      </w:r>
      <w:r>
        <w:rPr>
          <w:spacing w:val="-5"/>
          <w:sz w:val="32"/>
        </w:rPr>
        <w:t>。</w:t>
      </w:r>
    </w:p>
    <w:p w14:paraId="70E22E5B">
      <w:pPr>
        <w:pStyle w:val="5"/>
        <w:keepNext w:val="0"/>
        <w:keepLines w:val="0"/>
        <w:pageBreakBefore w:val="0"/>
        <w:widowControl w:val="0"/>
        <w:kinsoku w:val="0"/>
        <w:wordWrap/>
        <w:overflowPunct/>
        <w:topLinePunct w:val="0"/>
        <w:autoSpaceDE w:val="0"/>
        <w:autoSpaceDN w:val="0"/>
        <w:bidi w:val="0"/>
        <w:adjustRightInd w:val="0"/>
        <w:snapToGrid w:val="0"/>
        <w:spacing w:line="409" w:lineRule="exact"/>
        <w:ind w:left="752" w:right="6"/>
        <w:textAlignment w:val="auto"/>
      </w:pPr>
      <w:r>
        <w:rPr>
          <w:spacing w:val="-5"/>
        </w:rPr>
        <w:t>八、政府性基金预算支出预算情况说明</w:t>
      </w:r>
    </w:p>
    <w:p w14:paraId="1EAE8EA9">
      <w:pPr>
        <w:pStyle w:val="5"/>
        <w:keepNext w:val="0"/>
        <w:keepLines w:val="0"/>
        <w:pageBreakBefore w:val="0"/>
        <w:widowControl w:val="0"/>
        <w:kinsoku w:val="0"/>
        <w:wordWrap/>
        <w:overflowPunct/>
        <w:topLinePunct w:val="0"/>
        <w:autoSpaceDE w:val="0"/>
        <w:autoSpaceDN w:val="0"/>
        <w:bidi w:val="0"/>
        <w:adjustRightInd w:val="0"/>
        <w:snapToGrid w:val="0"/>
        <w:spacing w:before="161"/>
        <w:ind w:left="752" w:right="6"/>
        <w:textAlignment w:val="auto"/>
      </w:pPr>
      <w:r>
        <w:rPr>
          <w:spacing w:val="-7"/>
        </w:rPr>
        <w:t xml:space="preserve">赤峰市营商环境促进中心单位 </w:t>
      </w:r>
      <w:r>
        <w:rPr>
          <w:spacing w:val="-4"/>
        </w:rPr>
        <w:t>202</w:t>
      </w:r>
      <w:r>
        <w:rPr>
          <w:rFonts w:hint="eastAsia"/>
          <w:spacing w:val="-4"/>
          <w:lang w:val="en-US" w:eastAsia="zh-CN"/>
        </w:rPr>
        <w:t>6</w:t>
      </w:r>
      <w:r>
        <w:rPr>
          <w:spacing w:val="-10"/>
        </w:rPr>
        <w:t xml:space="preserve"> 年政府性基金支出预算</w:t>
      </w:r>
    </w:p>
    <w:p w14:paraId="2EF564A4">
      <w:pPr>
        <w:pStyle w:val="5"/>
        <w:keepNext w:val="0"/>
        <w:keepLines w:val="0"/>
        <w:pageBreakBefore w:val="0"/>
        <w:widowControl w:val="0"/>
        <w:kinsoku w:val="0"/>
        <w:wordWrap/>
        <w:overflowPunct/>
        <w:topLinePunct w:val="0"/>
        <w:autoSpaceDE w:val="0"/>
        <w:autoSpaceDN w:val="0"/>
        <w:bidi w:val="0"/>
        <w:adjustRightInd w:val="0"/>
        <w:snapToGrid w:val="0"/>
        <w:spacing w:before="159" w:line="333" w:lineRule="auto"/>
        <w:ind w:right="6"/>
        <w:textAlignment w:val="auto"/>
      </w:pPr>
      <w:r>
        <w:rPr>
          <w:spacing w:val="-29"/>
        </w:rPr>
        <w:t xml:space="preserve">支出 </w:t>
      </w:r>
      <w:r>
        <w:rPr>
          <w:spacing w:val="-6"/>
        </w:rPr>
        <w:t>0</w:t>
      </w:r>
      <w:r>
        <w:rPr>
          <w:spacing w:val="-20"/>
        </w:rPr>
        <w:t xml:space="preserve"> 万元。与上年相比增加 </w:t>
      </w:r>
      <w:r>
        <w:rPr>
          <w:spacing w:val="-6"/>
        </w:rPr>
        <w:t>0</w:t>
      </w:r>
      <w:r>
        <w:rPr>
          <w:spacing w:val="-19"/>
        </w:rPr>
        <w:t xml:space="preserve"> 万元，增长</w:t>
      </w:r>
      <w:r>
        <w:rPr>
          <w:spacing w:val="-6"/>
        </w:rPr>
        <w:t>（减少）0%。主要原</w:t>
      </w:r>
      <w:r>
        <w:rPr>
          <w:spacing w:val="-2"/>
        </w:rPr>
        <w:t>因是本单位无政府性基金预算支出。</w:t>
      </w:r>
    </w:p>
    <w:p w14:paraId="47CC6A30">
      <w:pPr>
        <w:pStyle w:val="5"/>
        <w:keepNext w:val="0"/>
        <w:keepLines w:val="0"/>
        <w:pageBreakBefore w:val="0"/>
        <w:widowControl w:val="0"/>
        <w:kinsoku w:val="0"/>
        <w:wordWrap/>
        <w:overflowPunct/>
        <w:topLinePunct w:val="0"/>
        <w:autoSpaceDE w:val="0"/>
        <w:autoSpaceDN w:val="0"/>
        <w:bidi w:val="0"/>
        <w:adjustRightInd w:val="0"/>
        <w:snapToGrid w:val="0"/>
        <w:ind w:left="752" w:right="6"/>
        <w:textAlignment w:val="auto"/>
      </w:pPr>
      <w:r>
        <w:rPr>
          <w:spacing w:val="-5"/>
        </w:rPr>
        <w:t>九、国有资本经营预算支出预算情况说明</w:t>
      </w:r>
    </w:p>
    <w:p w14:paraId="00F69156">
      <w:pPr>
        <w:pStyle w:val="5"/>
        <w:keepNext w:val="0"/>
        <w:keepLines w:val="0"/>
        <w:pageBreakBefore w:val="0"/>
        <w:widowControl w:val="0"/>
        <w:kinsoku w:val="0"/>
        <w:wordWrap/>
        <w:overflowPunct/>
        <w:topLinePunct w:val="0"/>
        <w:autoSpaceDE w:val="0"/>
        <w:autoSpaceDN w:val="0"/>
        <w:bidi w:val="0"/>
        <w:adjustRightInd w:val="0"/>
        <w:snapToGrid w:val="0"/>
        <w:spacing w:before="27" w:line="333" w:lineRule="auto"/>
        <w:ind w:left="0" w:leftChars="0" w:right="6" w:firstLine="0" w:firstLineChars="0"/>
        <w:textAlignment w:val="auto"/>
      </w:pPr>
      <w:r>
        <w:rPr>
          <w:spacing w:val="-7"/>
        </w:rPr>
        <w:t xml:space="preserve">赤峰市营商环境促进中心单位 </w:t>
      </w:r>
      <w:r>
        <w:rPr>
          <w:spacing w:val="-4"/>
        </w:rPr>
        <w:t>202</w:t>
      </w:r>
      <w:r>
        <w:rPr>
          <w:rFonts w:hint="eastAsia"/>
          <w:spacing w:val="-4"/>
          <w:lang w:val="en-US" w:eastAsia="zh-CN"/>
        </w:rPr>
        <w:t>6</w:t>
      </w:r>
      <w:r>
        <w:rPr>
          <w:spacing w:val="-10"/>
        </w:rPr>
        <w:t xml:space="preserve"> 年国有资本经营预算支</w:t>
      </w:r>
      <w:r>
        <w:rPr>
          <w:spacing w:val="-39"/>
        </w:rPr>
        <w:t xml:space="preserve">出 </w:t>
      </w:r>
      <w:r>
        <w:rPr>
          <w:spacing w:val="-2"/>
        </w:rPr>
        <w:t>0</w:t>
      </w:r>
      <w:r>
        <w:rPr>
          <w:spacing w:val="-17"/>
        </w:rPr>
        <w:t xml:space="preserve">万元。与上年相比增加 </w:t>
      </w:r>
      <w:r>
        <w:rPr>
          <w:spacing w:val="-2"/>
        </w:rPr>
        <w:t>0</w:t>
      </w:r>
      <w:r>
        <w:rPr>
          <w:spacing w:val="-25"/>
        </w:rPr>
        <w:t xml:space="preserve"> 万元，增长 </w:t>
      </w:r>
      <w:r>
        <w:rPr>
          <w:spacing w:val="-2"/>
        </w:rPr>
        <w:t>0</w:t>
      </w:r>
      <w:r>
        <w:rPr>
          <w:spacing w:val="-8"/>
        </w:rPr>
        <w:t xml:space="preserve"> %。主要原因是本单</w:t>
      </w:r>
      <w:r>
        <w:rPr>
          <w:spacing w:val="-15"/>
        </w:rPr>
        <w:t>位无国有资本经营预算支出”。</w:t>
      </w:r>
    </w:p>
    <w:p w14:paraId="62B7722C">
      <w:pPr>
        <w:pStyle w:val="5"/>
        <w:keepNext w:val="0"/>
        <w:keepLines w:val="0"/>
        <w:pageBreakBefore w:val="0"/>
        <w:widowControl w:val="0"/>
        <w:kinsoku w:val="0"/>
        <w:wordWrap/>
        <w:overflowPunct/>
        <w:topLinePunct w:val="0"/>
        <w:autoSpaceDE w:val="0"/>
        <w:autoSpaceDN w:val="0"/>
        <w:bidi w:val="0"/>
        <w:adjustRightInd w:val="0"/>
        <w:snapToGrid w:val="0"/>
        <w:ind w:left="752" w:right="6"/>
        <w:textAlignment w:val="auto"/>
      </w:pPr>
      <w:r>
        <w:rPr>
          <w:spacing w:val="-5"/>
        </w:rPr>
        <w:t>十、项目支出预算情况说明</w:t>
      </w:r>
    </w:p>
    <w:p w14:paraId="77A2947E">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textAlignment w:val="auto"/>
      </w:pPr>
      <w:r>
        <w:rPr>
          <w:spacing w:val="-9"/>
        </w:rPr>
        <w:t xml:space="preserve">赤峰市营商环境促进中心单位 </w:t>
      </w:r>
      <w:r>
        <w:rPr>
          <w:spacing w:val="-4"/>
        </w:rPr>
        <w:t>202</w:t>
      </w:r>
      <w:r>
        <w:rPr>
          <w:rFonts w:hint="eastAsia"/>
          <w:spacing w:val="-4"/>
          <w:lang w:val="en-US" w:eastAsia="zh-CN"/>
        </w:rPr>
        <w:t>6</w:t>
      </w:r>
      <w:r>
        <w:rPr>
          <w:spacing w:val="-20"/>
        </w:rPr>
        <w:t xml:space="preserve"> 年预算安排项目 </w:t>
      </w:r>
      <w:r>
        <w:rPr>
          <w:rFonts w:hint="eastAsia"/>
          <w:spacing w:val="-4"/>
          <w:lang w:val="en-US" w:eastAsia="zh-CN"/>
        </w:rPr>
        <w:t>14</w:t>
      </w:r>
      <w:r>
        <w:rPr>
          <w:spacing w:val="-28"/>
        </w:rPr>
        <w:t xml:space="preserve"> 个，</w:t>
      </w:r>
    </w:p>
    <w:p w14:paraId="693F92A0">
      <w:pPr>
        <w:pStyle w:val="5"/>
        <w:keepNext w:val="0"/>
        <w:keepLines w:val="0"/>
        <w:pageBreakBefore w:val="0"/>
        <w:widowControl w:val="0"/>
        <w:kinsoku w:val="0"/>
        <w:wordWrap/>
        <w:overflowPunct/>
        <w:topLinePunct w:val="0"/>
        <w:autoSpaceDE w:val="0"/>
        <w:autoSpaceDN w:val="0"/>
        <w:bidi w:val="0"/>
        <w:adjustRightInd w:val="0"/>
        <w:snapToGrid w:val="0"/>
        <w:spacing w:before="161"/>
        <w:ind w:right="6"/>
        <w:textAlignment w:val="auto"/>
      </w:pPr>
      <w:r>
        <w:rPr>
          <w:spacing w:val="-14"/>
        </w:rPr>
        <w:t xml:space="preserve">项目预算总金额 </w:t>
      </w:r>
      <w:r>
        <w:rPr>
          <w:rFonts w:hint="eastAsia"/>
          <w:spacing w:val="-4"/>
          <w:lang w:val="en-US" w:eastAsia="zh-CN"/>
        </w:rPr>
        <w:t>265.53</w:t>
      </w:r>
      <w:r>
        <w:rPr>
          <w:spacing w:val="-17"/>
        </w:rPr>
        <w:t xml:space="preserve"> 万元。其中，财政本年拨款金额 </w:t>
      </w:r>
      <w:r>
        <w:rPr>
          <w:spacing w:val="-4"/>
        </w:rPr>
        <w:t>2</w:t>
      </w:r>
      <w:r>
        <w:rPr>
          <w:rFonts w:hint="eastAsia"/>
          <w:spacing w:val="-4"/>
          <w:lang w:val="en-US" w:eastAsia="zh-CN"/>
        </w:rPr>
        <w:t>18.8</w:t>
      </w:r>
      <w:r>
        <w:rPr>
          <w:spacing w:val="-4"/>
        </w:rPr>
        <w:t>5</w:t>
      </w:r>
    </w:p>
    <w:p w14:paraId="5BF13B7B">
      <w:pPr>
        <w:pStyle w:val="5"/>
        <w:keepNext w:val="0"/>
        <w:keepLines w:val="0"/>
        <w:pageBreakBefore w:val="0"/>
        <w:widowControl w:val="0"/>
        <w:kinsoku w:val="0"/>
        <w:wordWrap/>
        <w:overflowPunct/>
        <w:topLinePunct w:val="0"/>
        <w:autoSpaceDE w:val="0"/>
        <w:autoSpaceDN w:val="0"/>
        <w:bidi w:val="0"/>
        <w:adjustRightInd w:val="0"/>
        <w:snapToGrid w:val="0"/>
        <w:spacing w:before="159"/>
        <w:ind w:right="6"/>
        <w:textAlignment w:val="auto"/>
      </w:pPr>
      <w:r>
        <w:rPr>
          <w:spacing w:val="-24"/>
        </w:rPr>
        <w:t xml:space="preserve">万元，财政拨款结转结余 </w:t>
      </w:r>
      <w:r>
        <w:rPr>
          <w:rFonts w:hint="eastAsia"/>
          <w:spacing w:val="-4"/>
          <w:lang w:val="en-US" w:eastAsia="zh-CN"/>
        </w:rPr>
        <w:t>46.68</w:t>
      </w:r>
      <w:r>
        <w:rPr>
          <w:spacing w:val="-27"/>
        </w:rPr>
        <w:t xml:space="preserve"> 万元，财政专户管理资金 </w:t>
      </w:r>
      <w:r>
        <w:rPr>
          <w:spacing w:val="-4"/>
        </w:rPr>
        <w:t>0</w:t>
      </w:r>
      <w:r>
        <w:rPr>
          <w:spacing w:val="-23"/>
        </w:rPr>
        <w:t xml:space="preserve"> 万元，</w:t>
      </w:r>
    </w:p>
    <w:p w14:paraId="337F7025">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textAlignment w:val="auto"/>
        <w:rPr>
          <w:spacing w:val="-25"/>
        </w:rPr>
      </w:pPr>
      <w:r>
        <w:rPr>
          <w:spacing w:val="-18"/>
        </w:rPr>
        <w:t xml:space="preserve">单位资金 </w:t>
      </w:r>
      <w:r>
        <w:rPr>
          <w:spacing w:val="-4"/>
        </w:rPr>
        <w:t>0</w:t>
      </w:r>
      <w:r>
        <w:rPr>
          <w:spacing w:val="-25"/>
        </w:rPr>
        <w:t xml:space="preserve"> 万元。</w:t>
      </w:r>
    </w:p>
    <w:p w14:paraId="398E66C0">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textAlignment w:val="auto"/>
      </w:pPr>
      <w:r>
        <w:rPr>
          <w:spacing w:val="-5"/>
        </w:rPr>
        <w:t>十一、机构运行经费支出预算情况说明</w:t>
      </w:r>
    </w:p>
    <w:p w14:paraId="73EF24B7">
      <w:pPr>
        <w:pStyle w:val="5"/>
        <w:keepNext w:val="0"/>
        <w:keepLines w:val="0"/>
        <w:pageBreakBefore w:val="0"/>
        <w:widowControl w:val="0"/>
        <w:kinsoku w:val="0"/>
        <w:wordWrap/>
        <w:overflowPunct/>
        <w:topLinePunct w:val="0"/>
        <w:autoSpaceDE w:val="0"/>
        <w:autoSpaceDN w:val="0"/>
        <w:bidi w:val="0"/>
        <w:adjustRightInd w:val="0"/>
        <w:snapToGrid w:val="0"/>
        <w:spacing w:before="161"/>
        <w:ind w:left="752" w:right="6"/>
        <w:textAlignment w:val="auto"/>
      </w:pPr>
      <w:r>
        <w:rPr>
          <w:spacing w:val="-7"/>
        </w:rPr>
        <w:t xml:space="preserve">赤峰市营商环境促进中心单位 </w:t>
      </w:r>
      <w:r>
        <w:rPr>
          <w:spacing w:val="-4"/>
        </w:rPr>
        <w:t>202</w:t>
      </w:r>
      <w:r>
        <w:rPr>
          <w:rFonts w:hint="eastAsia"/>
          <w:spacing w:val="-4"/>
          <w:lang w:val="en-US" w:eastAsia="zh-CN"/>
        </w:rPr>
        <w:t>6</w:t>
      </w:r>
      <w:r>
        <w:rPr>
          <w:spacing w:val="-10"/>
        </w:rPr>
        <w:t xml:space="preserve"> 年机构运行经费预算支</w:t>
      </w:r>
    </w:p>
    <w:p w14:paraId="6381E7BF">
      <w:pPr>
        <w:pStyle w:val="5"/>
        <w:keepNext w:val="0"/>
        <w:keepLines w:val="0"/>
        <w:pageBreakBefore w:val="0"/>
        <w:widowControl w:val="0"/>
        <w:kinsoku w:val="0"/>
        <w:wordWrap/>
        <w:overflowPunct/>
        <w:topLinePunct w:val="0"/>
        <w:autoSpaceDE w:val="0"/>
        <w:autoSpaceDN w:val="0"/>
        <w:bidi w:val="0"/>
        <w:adjustRightInd w:val="0"/>
        <w:snapToGrid w:val="0"/>
        <w:spacing w:before="159"/>
        <w:ind w:right="6"/>
        <w:textAlignment w:val="auto"/>
      </w:pPr>
      <w:r>
        <w:rPr>
          <w:spacing w:val="-25"/>
        </w:rPr>
        <w:t xml:space="preserve">出 </w:t>
      </w:r>
      <w:r>
        <w:rPr>
          <w:rFonts w:hint="eastAsia"/>
          <w:spacing w:val="-4"/>
          <w:lang w:val="en-US" w:eastAsia="zh-CN"/>
        </w:rPr>
        <w:t>308.19</w:t>
      </w:r>
      <w:r>
        <w:rPr>
          <w:spacing w:val="-14"/>
        </w:rPr>
        <w:t xml:space="preserve">万元，与上年相比减少 </w:t>
      </w:r>
      <w:r>
        <w:rPr>
          <w:rFonts w:hint="eastAsia"/>
          <w:spacing w:val="-4"/>
          <w:lang w:val="en-US" w:eastAsia="zh-CN"/>
        </w:rPr>
        <w:t>28.95</w:t>
      </w:r>
      <w:r>
        <w:rPr>
          <w:spacing w:val="-17"/>
        </w:rPr>
        <w:t xml:space="preserve"> 万元，减少 </w:t>
      </w:r>
      <w:r>
        <w:rPr>
          <w:rFonts w:hint="eastAsia"/>
          <w:spacing w:val="-4"/>
          <w:lang w:val="en-US" w:eastAsia="zh-CN"/>
        </w:rPr>
        <w:t>8.59</w:t>
      </w:r>
      <w:r>
        <w:rPr>
          <w:spacing w:val="-6"/>
        </w:rPr>
        <w:t>%。主</w:t>
      </w:r>
    </w:p>
    <w:p w14:paraId="52818084">
      <w:pPr>
        <w:pStyle w:val="5"/>
        <w:keepNext w:val="0"/>
        <w:keepLines w:val="0"/>
        <w:pageBreakBefore w:val="0"/>
        <w:widowControl w:val="0"/>
        <w:kinsoku w:val="0"/>
        <w:wordWrap/>
        <w:overflowPunct/>
        <w:topLinePunct w:val="0"/>
        <w:autoSpaceDE w:val="0"/>
        <w:autoSpaceDN w:val="0"/>
        <w:bidi w:val="0"/>
        <w:adjustRightInd w:val="0"/>
        <w:snapToGrid w:val="0"/>
        <w:spacing w:before="161"/>
        <w:ind w:right="6"/>
        <w:textAlignment w:val="auto"/>
      </w:pPr>
      <w:r>
        <w:rPr>
          <w:spacing w:val="-7"/>
        </w:rPr>
        <w:t xml:space="preserve">要原因是根据财政过紧日子要求，压减 </w:t>
      </w:r>
      <w:r>
        <w:rPr>
          <w:spacing w:val="-4"/>
        </w:rPr>
        <w:t>202</w:t>
      </w:r>
      <w:r>
        <w:rPr>
          <w:rFonts w:hint="eastAsia"/>
          <w:spacing w:val="-4"/>
          <w:lang w:val="en-US" w:eastAsia="zh-CN"/>
        </w:rPr>
        <w:t>6</w:t>
      </w:r>
      <w:r>
        <w:rPr>
          <w:spacing w:val="-12"/>
        </w:rPr>
        <w:t xml:space="preserve"> 年运行经费支出。</w:t>
      </w:r>
    </w:p>
    <w:p w14:paraId="71EB2085">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textAlignment w:val="auto"/>
      </w:pPr>
      <w:r>
        <w:rPr>
          <w:spacing w:val="-5"/>
        </w:rPr>
        <w:t>十二、政府采购支出预算情况说明</w:t>
      </w:r>
    </w:p>
    <w:p w14:paraId="36653A24">
      <w:pPr>
        <w:pStyle w:val="5"/>
        <w:keepNext w:val="0"/>
        <w:keepLines w:val="0"/>
        <w:pageBreakBefore w:val="0"/>
        <w:widowControl w:val="0"/>
        <w:kinsoku w:val="0"/>
        <w:wordWrap/>
        <w:overflowPunct/>
        <w:topLinePunct w:val="0"/>
        <w:autoSpaceDE w:val="0"/>
        <w:autoSpaceDN w:val="0"/>
        <w:bidi w:val="0"/>
        <w:adjustRightInd w:val="0"/>
        <w:snapToGrid w:val="0"/>
        <w:spacing w:before="161"/>
        <w:ind w:left="752" w:right="6"/>
        <w:textAlignment w:val="auto"/>
      </w:pPr>
      <w:r>
        <w:rPr>
          <w:spacing w:val="-7"/>
        </w:rPr>
        <w:t xml:space="preserve">赤峰市营商环境促进中心单位 </w:t>
      </w:r>
      <w:r>
        <w:rPr>
          <w:spacing w:val="-4"/>
        </w:rPr>
        <w:t>202</w:t>
      </w:r>
      <w:r>
        <w:rPr>
          <w:rFonts w:hint="eastAsia"/>
          <w:spacing w:val="-4"/>
          <w:lang w:val="en-US" w:eastAsia="zh-CN"/>
        </w:rPr>
        <w:t>6</w:t>
      </w:r>
      <w:r>
        <w:rPr>
          <w:spacing w:val="-10"/>
        </w:rPr>
        <w:t xml:space="preserve"> 年政府采购支出预算总</w:t>
      </w:r>
    </w:p>
    <w:p w14:paraId="61B259CF">
      <w:pPr>
        <w:pStyle w:val="5"/>
        <w:keepNext w:val="0"/>
        <w:keepLines w:val="0"/>
        <w:pageBreakBefore w:val="0"/>
        <w:widowControl w:val="0"/>
        <w:kinsoku w:val="0"/>
        <w:wordWrap/>
        <w:overflowPunct/>
        <w:topLinePunct w:val="0"/>
        <w:autoSpaceDE w:val="0"/>
        <w:autoSpaceDN w:val="0"/>
        <w:bidi w:val="0"/>
        <w:adjustRightInd w:val="0"/>
        <w:snapToGrid w:val="0"/>
        <w:spacing w:before="159"/>
        <w:ind w:right="6"/>
        <w:textAlignment w:val="auto"/>
      </w:pPr>
      <w:r>
        <w:rPr>
          <w:spacing w:val="-42"/>
        </w:rPr>
        <w:t xml:space="preserve">额 </w:t>
      </w:r>
      <w:r>
        <w:rPr>
          <w:spacing w:val="-8"/>
        </w:rPr>
        <w:t>0</w:t>
      </w:r>
      <w:r>
        <w:rPr>
          <w:spacing w:val="-21"/>
        </w:rPr>
        <w:t xml:space="preserve"> 万元，其中：拟采购货物支出 </w:t>
      </w:r>
      <w:r>
        <w:rPr>
          <w:spacing w:val="-8"/>
        </w:rPr>
        <w:t>0</w:t>
      </w:r>
      <w:r>
        <w:rPr>
          <w:spacing w:val="-22"/>
        </w:rPr>
        <w:t xml:space="preserve"> 万元、拟采购工程支出 </w:t>
      </w:r>
      <w:r>
        <w:rPr>
          <w:spacing w:val="-8"/>
        </w:rPr>
        <w:t>0</w:t>
      </w:r>
      <w:r>
        <w:rPr>
          <w:spacing w:val="-44"/>
        </w:rPr>
        <w:t xml:space="preserve"> 万</w:t>
      </w:r>
    </w:p>
    <w:p w14:paraId="1EAD03A4">
      <w:pPr>
        <w:pStyle w:val="5"/>
        <w:keepNext w:val="0"/>
        <w:keepLines w:val="0"/>
        <w:pageBreakBefore w:val="0"/>
        <w:widowControl w:val="0"/>
        <w:kinsoku w:val="0"/>
        <w:wordWrap/>
        <w:overflowPunct/>
        <w:topLinePunct w:val="0"/>
        <w:autoSpaceDE w:val="0"/>
        <w:autoSpaceDN w:val="0"/>
        <w:bidi w:val="0"/>
        <w:adjustRightInd w:val="0"/>
        <w:snapToGrid w:val="0"/>
        <w:spacing w:before="162"/>
        <w:ind w:right="6"/>
        <w:textAlignment w:val="auto"/>
      </w:pPr>
      <w:r>
        <w:rPr>
          <w:spacing w:val="-11"/>
        </w:rPr>
        <w:t xml:space="preserve">元、拟购买服务支出 </w:t>
      </w:r>
      <w:r>
        <w:rPr>
          <w:spacing w:val="-4"/>
        </w:rPr>
        <w:t>0</w:t>
      </w:r>
      <w:r>
        <w:rPr>
          <w:spacing w:val="-23"/>
        </w:rPr>
        <w:t xml:space="preserve"> 万元。</w:t>
      </w:r>
    </w:p>
    <w:p w14:paraId="27CCAC15">
      <w:pPr>
        <w:pStyle w:val="5"/>
        <w:keepNext w:val="0"/>
        <w:keepLines w:val="0"/>
        <w:pageBreakBefore w:val="0"/>
        <w:widowControl w:val="0"/>
        <w:kinsoku w:val="0"/>
        <w:wordWrap/>
        <w:overflowPunct/>
        <w:topLinePunct w:val="0"/>
        <w:autoSpaceDE w:val="0"/>
        <w:autoSpaceDN w:val="0"/>
        <w:bidi w:val="0"/>
        <w:adjustRightInd w:val="0"/>
        <w:snapToGrid w:val="0"/>
        <w:spacing w:before="158"/>
        <w:ind w:left="752" w:right="6"/>
        <w:textAlignment w:val="auto"/>
      </w:pPr>
      <w:r>
        <w:rPr>
          <w:spacing w:val="-5"/>
        </w:rPr>
        <w:t>十三、国有资产占用情况说明</w:t>
      </w:r>
    </w:p>
    <w:p w14:paraId="21EEC62B">
      <w:pPr>
        <w:pStyle w:val="5"/>
        <w:keepNext w:val="0"/>
        <w:keepLines w:val="0"/>
        <w:pageBreakBefore w:val="0"/>
        <w:widowControl w:val="0"/>
        <w:kinsoku w:val="0"/>
        <w:wordWrap/>
        <w:overflowPunct/>
        <w:topLinePunct w:val="0"/>
        <w:autoSpaceDE w:val="0"/>
        <w:autoSpaceDN w:val="0"/>
        <w:bidi w:val="0"/>
        <w:adjustRightInd w:val="0"/>
        <w:snapToGrid w:val="0"/>
        <w:spacing w:before="162"/>
        <w:ind w:left="752" w:right="6"/>
        <w:textAlignment w:val="auto"/>
      </w:pPr>
      <w:r>
        <w:rPr>
          <w:spacing w:val="-8"/>
        </w:rPr>
        <w:t xml:space="preserve">赤峰市营商环境促进中心单位共有车辆 </w:t>
      </w:r>
      <w:r>
        <w:rPr>
          <w:spacing w:val="-4"/>
        </w:rPr>
        <w:t>0</w:t>
      </w:r>
      <w:r>
        <w:rPr>
          <w:spacing w:val="-25"/>
        </w:rPr>
        <w:t xml:space="preserve"> 辆，其中，一般公</w:t>
      </w:r>
    </w:p>
    <w:p w14:paraId="67C79DA4">
      <w:pPr>
        <w:pStyle w:val="5"/>
        <w:keepNext w:val="0"/>
        <w:keepLines w:val="0"/>
        <w:pageBreakBefore w:val="0"/>
        <w:widowControl w:val="0"/>
        <w:kinsoku w:val="0"/>
        <w:wordWrap/>
        <w:overflowPunct/>
        <w:topLinePunct w:val="0"/>
        <w:autoSpaceDE w:val="0"/>
        <w:autoSpaceDN w:val="0"/>
        <w:bidi w:val="0"/>
        <w:adjustRightInd w:val="0"/>
        <w:snapToGrid w:val="0"/>
        <w:spacing w:before="159"/>
        <w:ind w:right="6"/>
        <w:textAlignment w:val="auto"/>
      </w:pPr>
      <w:r>
        <w:rPr>
          <w:spacing w:val="-25"/>
        </w:rPr>
        <w:t xml:space="preserve">务用车 </w:t>
      </w:r>
      <w:r>
        <w:rPr>
          <w:spacing w:val="-8"/>
        </w:rPr>
        <w:t>0</w:t>
      </w:r>
      <w:r>
        <w:rPr>
          <w:spacing w:val="-24"/>
        </w:rPr>
        <w:t xml:space="preserve"> 辆、执法执勤用车 </w:t>
      </w:r>
      <w:r>
        <w:rPr>
          <w:spacing w:val="-8"/>
        </w:rPr>
        <w:t>0</w:t>
      </w:r>
      <w:r>
        <w:rPr>
          <w:spacing w:val="-22"/>
        </w:rPr>
        <w:t xml:space="preserve"> 辆、特种专业技术用车 </w:t>
      </w:r>
      <w:r>
        <w:rPr>
          <w:spacing w:val="-8"/>
        </w:rPr>
        <w:t>0</w:t>
      </w:r>
      <w:r>
        <w:rPr>
          <w:spacing w:val="-23"/>
        </w:rPr>
        <w:t xml:space="preserve"> 辆、业务</w:t>
      </w:r>
    </w:p>
    <w:p w14:paraId="5AB709C7">
      <w:pPr>
        <w:pStyle w:val="5"/>
        <w:keepNext w:val="0"/>
        <w:keepLines w:val="0"/>
        <w:pageBreakBefore w:val="0"/>
        <w:widowControl w:val="0"/>
        <w:kinsoku w:val="0"/>
        <w:wordWrap/>
        <w:overflowPunct/>
        <w:topLinePunct w:val="0"/>
        <w:autoSpaceDE w:val="0"/>
        <w:autoSpaceDN w:val="0"/>
        <w:bidi w:val="0"/>
        <w:adjustRightInd w:val="0"/>
        <w:snapToGrid w:val="0"/>
        <w:spacing w:before="161"/>
        <w:ind w:right="6"/>
        <w:textAlignment w:val="auto"/>
      </w:pPr>
      <w:r>
        <w:rPr>
          <w:spacing w:val="-25"/>
        </w:rPr>
        <w:t xml:space="preserve">用车 </w:t>
      </w:r>
      <w:r>
        <w:rPr>
          <w:spacing w:val="-4"/>
        </w:rPr>
        <w:t>0</w:t>
      </w:r>
      <w:r>
        <w:rPr>
          <w:spacing w:val="-21"/>
        </w:rPr>
        <w:t xml:space="preserve"> 辆、其他用车 </w:t>
      </w:r>
      <w:r>
        <w:rPr>
          <w:spacing w:val="-4"/>
        </w:rPr>
        <w:t>0</w:t>
      </w:r>
      <w:r>
        <w:rPr>
          <w:spacing w:val="-23"/>
        </w:rPr>
        <w:t xml:space="preserve"> 辆等。单价 </w:t>
      </w:r>
      <w:r>
        <w:rPr>
          <w:spacing w:val="-4"/>
        </w:rPr>
        <w:t>50</w:t>
      </w:r>
      <w:r>
        <w:rPr>
          <w:spacing w:val="-25"/>
        </w:rPr>
        <w:t xml:space="preserve"> 万元</w:t>
      </w:r>
      <w:r>
        <w:rPr>
          <w:spacing w:val="-4"/>
        </w:rPr>
        <w:t>（含）</w:t>
      </w:r>
      <w:r>
        <w:rPr>
          <w:spacing w:val="-5"/>
        </w:rPr>
        <w:t>以上的通用设</w:t>
      </w:r>
    </w:p>
    <w:p w14:paraId="3F58D10F">
      <w:pPr>
        <w:pStyle w:val="5"/>
        <w:keepNext w:val="0"/>
        <w:keepLines w:val="0"/>
        <w:pageBreakBefore w:val="0"/>
        <w:widowControl w:val="0"/>
        <w:kinsoku w:val="0"/>
        <w:wordWrap/>
        <w:overflowPunct/>
        <w:topLinePunct w:val="0"/>
        <w:autoSpaceDE w:val="0"/>
        <w:autoSpaceDN w:val="0"/>
        <w:bidi w:val="0"/>
        <w:adjustRightInd w:val="0"/>
        <w:snapToGrid w:val="0"/>
        <w:spacing w:before="159"/>
        <w:ind w:right="6"/>
        <w:textAlignment w:val="auto"/>
      </w:pPr>
      <w:r>
        <w:rPr>
          <w:spacing w:val="-40"/>
        </w:rPr>
        <w:t xml:space="preserve">备 </w:t>
      </w:r>
      <w:r>
        <w:rPr>
          <w:spacing w:val="-4"/>
        </w:rPr>
        <w:t>0</w:t>
      </w:r>
      <w:r>
        <w:rPr>
          <w:spacing w:val="-40"/>
        </w:rPr>
        <w:t xml:space="preserve"> 台</w:t>
      </w:r>
      <w:r>
        <w:rPr>
          <w:spacing w:val="-4"/>
        </w:rPr>
        <w:t>（套</w:t>
      </w:r>
      <w:r>
        <w:rPr>
          <w:spacing w:val="-159"/>
        </w:rPr>
        <w:t>）</w:t>
      </w:r>
      <w:r>
        <w:rPr>
          <w:spacing w:val="-21"/>
        </w:rPr>
        <w:t xml:space="preserve">，单价 </w:t>
      </w:r>
      <w:r>
        <w:rPr>
          <w:spacing w:val="-4"/>
        </w:rPr>
        <w:t>100</w:t>
      </w:r>
      <w:r>
        <w:rPr>
          <w:spacing w:val="-29"/>
        </w:rPr>
        <w:t xml:space="preserve"> 万元</w:t>
      </w:r>
      <w:r>
        <w:rPr>
          <w:spacing w:val="-4"/>
        </w:rPr>
        <w:t>（含）</w:t>
      </w:r>
      <w:r>
        <w:rPr>
          <w:spacing w:val="-13"/>
        </w:rPr>
        <w:t xml:space="preserve">以上的专用设备 </w:t>
      </w:r>
      <w:r>
        <w:rPr>
          <w:spacing w:val="-4"/>
        </w:rPr>
        <w:t>0</w:t>
      </w:r>
      <w:r>
        <w:rPr>
          <w:spacing w:val="-39"/>
        </w:rPr>
        <w:t xml:space="preserve"> 台</w:t>
      </w:r>
      <w:r>
        <w:rPr>
          <w:spacing w:val="-4"/>
        </w:rPr>
        <w:t>（套</w:t>
      </w:r>
      <w:r>
        <w:rPr>
          <w:spacing w:val="-161"/>
        </w:rPr>
        <w:t>）</w:t>
      </w:r>
      <w:r>
        <w:rPr>
          <w:spacing w:val="-10"/>
        </w:rPr>
        <w:t>。</w:t>
      </w:r>
    </w:p>
    <w:p w14:paraId="21DF801D">
      <w:pPr>
        <w:pStyle w:val="5"/>
        <w:keepNext w:val="0"/>
        <w:keepLines w:val="0"/>
        <w:pageBreakBefore w:val="0"/>
        <w:widowControl w:val="0"/>
        <w:kinsoku w:val="0"/>
        <w:wordWrap/>
        <w:overflowPunct/>
        <w:topLinePunct w:val="0"/>
        <w:autoSpaceDE w:val="0"/>
        <w:autoSpaceDN w:val="0"/>
        <w:bidi w:val="0"/>
        <w:adjustRightInd w:val="0"/>
        <w:snapToGrid w:val="0"/>
        <w:spacing w:before="161"/>
        <w:ind w:left="752" w:right="6"/>
        <w:textAlignment w:val="auto"/>
      </w:pPr>
      <w:r>
        <w:rPr>
          <w:spacing w:val="-5"/>
        </w:rPr>
        <w:t>十四、项目绩效目标情况说明</w:t>
      </w:r>
    </w:p>
    <w:p w14:paraId="113E5425">
      <w:pPr>
        <w:pStyle w:val="5"/>
        <w:keepNext w:val="0"/>
        <w:keepLines w:val="0"/>
        <w:pageBreakBefore w:val="0"/>
        <w:widowControl w:val="0"/>
        <w:kinsoku w:val="0"/>
        <w:wordWrap/>
        <w:overflowPunct/>
        <w:topLinePunct w:val="0"/>
        <w:autoSpaceDE w:val="0"/>
        <w:autoSpaceDN w:val="0"/>
        <w:bidi w:val="0"/>
        <w:adjustRightInd w:val="0"/>
        <w:snapToGrid w:val="0"/>
        <w:spacing w:before="159"/>
        <w:ind w:left="752" w:right="6"/>
        <w:textAlignment w:val="auto"/>
      </w:pPr>
      <w:r>
        <w:rPr>
          <w:spacing w:val="-4"/>
        </w:rPr>
        <w:t>202</w:t>
      </w:r>
      <w:r>
        <w:rPr>
          <w:rFonts w:hint="eastAsia"/>
          <w:spacing w:val="-4"/>
          <w:lang w:val="en-US" w:eastAsia="zh-CN"/>
        </w:rPr>
        <w:t>6</w:t>
      </w:r>
      <w:r>
        <w:rPr>
          <w:spacing w:val="-17"/>
        </w:rPr>
        <w:t xml:space="preserve"> 年，填报绩效目标的预算项目 </w:t>
      </w:r>
      <w:r>
        <w:rPr>
          <w:rFonts w:hint="eastAsia"/>
          <w:spacing w:val="-4"/>
          <w:lang w:val="en-US" w:eastAsia="zh-CN"/>
        </w:rPr>
        <w:t xml:space="preserve">7 </w:t>
      </w:r>
      <w:r>
        <w:rPr>
          <w:spacing w:val="-13"/>
        </w:rPr>
        <w:t>个，公开绩效目标</w:t>
      </w:r>
    </w:p>
    <w:p w14:paraId="39FAEEBC">
      <w:pPr>
        <w:pStyle w:val="5"/>
        <w:keepNext w:val="0"/>
        <w:keepLines w:val="0"/>
        <w:pageBreakBefore w:val="0"/>
        <w:widowControl w:val="0"/>
        <w:kinsoku w:val="0"/>
        <w:wordWrap/>
        <w:overflowPunct/>
        <w:topLinePunct w:val="0"/>
        <w:autoSpaceDE w:val="0"/>
        <w:autoSpaceDN w:val="0"/>
        <w:bidi w:val="0"/>
        <w:adjustRightInd w:val="0"/>
        <w:snapToGrid w:val="0"/>
        <w:spacing w:before="27"/>
        <w:ind w:right="6"/>
        <w:textAlignment w:val="auto"/>
      </w:pPr>
      <w:r>
        <w:rPr>
          <w:rFonts w:hint="eastAsia"/>
          <w:spacing w:val="-4"/>
          <w:lang w:val="en-US" w:eastAsia="zh-CN"/>
        </w:rPr>
        <w:t>7</w:t>
      </w:r>
      <w:r>
        <w:rPr>
          <w:spacing w:val="-12"/>
        </w:rPr>
        <w:t xml:space="preserve"> 个，公开项目占全部预算项目的 </w:t>
      </w:r>
      <w:r>
        <w:rPr>
          <w:spacing w:val="-4"/>
        </w:rPr>
        <w:t>100</w:t>
      </w:r>
      <w:r>
        <w:rPr>
          <w:spacing w:val="-5"/>
        </w:rPr>
        <w:t>%。公开填报绩效目标的</w:t>
      </w:r>
      <w:r>
        <w:rPr>
          <w:spacing w:val="-17"/>
        </w:rPr>
        <w:t xml:space="preserve">项目预算 </w:t>
      </w:r>
      <w:r>
        <w:rPr>
          <w:rFonts w:hint="eastAsia"/>
          <w:spacing w:val="-4"/>
          <w:lang w:val="en-US" w:eastAsia="zh-CN"/>
        </w:rPr>
        <w:t>218.85</w:t>
      </w:r>
      <w:r>
        <w:rPr>
          <w:spacing w:val="-16"/>
        </w:rPr>
        <w:t xml:space="preserve"> 万元，占全部项目预算的 </w:t>
      </w:r>
      <w:r>
        <w:rPr>
          <w:spacing w:val="-4"/>
        </w:rPr>
        <w:t>100</w:t>
      </w:r>
      <w:r>
        <w:rPr>
          <w:spacing w:val="-7"/>
        </w:rPr>
        <w:t>%。</w:t>
      </w:r>
    </w:p>
    <w:p w14:paraId="67F68C43">
      <w:pPr>
        <w:pStyle w:val="4"/>
        <w:keepNext w:val="0"/>
        <w:keepLines w:val="0"/>
        <w:pageBreakBefore w:val="0"/>
        <w:widowControl w:val="0"/>
        <w:tabs>
          <w:tab w:val="left" w:pos="1799"/>
        </w:tabs>
        <w:kinsoku w:val="0"/>
        <w:wordWrap/>
        <w:overflowPunct/>
        <w:topLinePunct w:val="0"/>
        <w:autoSpaceDE w:val="0"/>
        <w:autoSpaceDN w:val="0"/>
        <w:bidi w:val="0"/>
        <w:adjustRightInd w:val="0"/>
        <w:snapToGrid w:val="0"/>
        <w:ind w:right="6"/>
        <w:jc w:val="both"/>
        <w:textAlignment w:val="auto"/>
      </w:pPr>
    </w:p>
    <w:p w14:paraId="22257693">
      <w:pPr>
        <w:pStyle w:val="4"/>
        <w:keepNext w:val="0"/>
        <w:keepLines w:val="0"/>
        <w:pageBreakBefore w:val="0"/>
        <w:widowControl w:val="0"/>
        <w:numPr>
          <w:ilvl w:val="0"/>
          <w:numId w:val="12"/>
        </w:numPr>
        <w:tabs>
          <w:tab w:val="left" w:pos="1799"/>
        </w:tabs>
        <w:kinsoku w:val="0"/>
        <w:wordWrap/>
        <w:overflowPunct/>
        <w:topLinePunct w:val="0"/>
        <w:autoSpaceDE w:val="0"/>
        <w:autoSpaceDN w:val="0"/>
        <w:bidi w:val="0"/>
        <w:adjustRightInd w:val="0"/>
        <w:snapToGrid w:val="0"/>
        <w:ind w:right="6"/>
        <w:textAlignment w:val="auto"/>
        <w:rPr>
          <w:spacing w:val="-10"/>
        </w:rPr>
      </w:pPr>
      <w:r>
        <w:t>名词解</w:t>
      </w:r>
      <w:r>
        <w:rPr>
          <w:spacing w:val="-10"/>
        </w:rPr>
        <w:t>释</w:t>
      </w:r>
    </w:p>
    <w:p w14:paraId="21A8A19D">
      <w:pPr>
        <w:pStyle w:val="4"/>
        <w:keepNext w:val="0"/>
        <w:keepLines w:val="0"/>
        <w:pageBreakBefore w:val="0"/>
        <w:widowControl w:val="0"/>
        <w:numPr>
          <w:ilvl w:val="0"/>
          <w:numId w:val="0"/>
        </w:numPr>
        <w:tabs>
          <w:tab w:val="left" w:pos="1799"/>
        </w:tabs>
        <w:kinsoku w:val="0"/>
        <w:wordWrap/>
        <w:overflowPunct/>
        <w:topLinePunct w:val="0"/>
        <w:autoSpaceDE w:val="0"/>
        <w:autoSpaceDN w:val="0"/>
        <w:bidi w:val="0"/>
        <w:adjustRightInd w:val="0"/>
        <w:snapToGrid w:val="0"/>
        <w:ind w:right="6" w:rightChars="0"/>
        <w:jc w:val="both"/>
        <w:textAlignment w:val="auto"/>
        <w:rPr>
          <w:spacing w:val="-10"/>
        </w:rPr>
      </w:pPr>
    </w:p>
    <w:p w14:paraId="5882516A">
      <w:pPr>
        <w:pStyle w:val="5"/>
        <w:keepNext w:val="0"/>
        <w:keepLines w:val="0"/>
        <w:pageBreakBefore w:val="0"/>
        <w:widowControl w:val="0"/>
        <w:kinsoku w:val="0"/>
        <w:wordWrap/>
        <w:overflowPunct/>
        <w:topLinePunct w:val="0"/>
        <w:autoSpaceDE w:val="0"/>
        <w:autoSpaceDN w:val="0"/>
        <w:bidi w:val="0"/>
        <w:adjustRightInd w:val="0"/>
        <w:snapToGrid w:val="0"/>
        <w:spacing w:line="276" w:lineRule="auto"/>
        <w:ind w:right="6" w:firstLine="643"/>
        <w:textAlignment w:val="auto"/>
      </w:pPr>
      <w:r>
        <w:rPr>
          <w:rFonts w:ascii="Microsoft JhengHei" w:eastAsia="Microsoft JhengHei"/>
          <w:b/>
          <w:spacing w:val="-6"/>
        </w:rPr>
        <w:t>一、财政拨款：</w:t>
      </w:r>
      <w:r>
        <w:rPr>
          <w:spacing w:val="-6"/>
        </w:rPr>
        <w:t>部门（单位）从同级财政部门取得的各类财</w:t>
      </w:r>
      <w:r>
        <w:rPr>
          <w:spacing w:val="-9"/>
        </w:rPr>
        <w:t>政拨款，包括一般公共预算拨款、政府性基金预算拨款、国有资</w:t>
      </w:r>
    </w:p>
    <w:p w14:paraId="623E3806">
      <w:pPr>
        <w:pStyle w:val="5"/>
        <w:keepNext w:val="0"/>
        <w:keepLines w:val="0"/>
        <w:pageBreakBefore w:val="0"/>
        <w:widowControl w:val="0"/>
        <w:kinsoku w:val="0"/>
        <w:wordWrap/>
        <w:overflowPunct/>
        <w:topLinePunct w:val="0"/>
        <w:autoSpaceDE w:val="0"/>
        <w:autoSpaceDN w:val="0"/>
        <w:bidi w:val="0"/>
        <w:adjustRightInd w:val="0"/>
        <w:snapToGrid w:val="0"/>
        <w:spacing w:before="97"/>
        <w:ind w:right="6"/>
        <w:textAlignment w:val="auto"/>
      </w:pPr>
      <w:r>
        <w:rPr>
          <w:spacing w:val="-5"/>
        </w:rPr>
        <w:t>本经营预算拨款。</w:t>
      </w:r>
    </w:p>
    <w:p w14:paraId="36E70B81">
      <w:pPr>
        <w:keepNext w:val="0"/>
        <w:keepLines w:val="0"/>
        <w:pageBreakBefore w:val="0"/>
        <w:widowControl w:val="0"/>
        <w:kinsoku w:val="0"/>
        <w:wordWrap/>
        <w:overflowPunct/>
        <w:topLinePunct w:val="0"/>
        <w:autoSpaceDE w:val="0"/>
        <w:autoSpaceDN w:val="0"/>
        <w:bidi w:val="0"/>
        <w:adjustRightInd w:val="0"/>
        <w:snapToGrid w:val="0"/>
        <w:spacing w:before="53" w:line="580" w:lineRule="exact"/>
        <w:ind w:left="754" w:right="6" w:firstLine="0"/>
        <w:jc w:val="left"/>
        <w:textAlignment w:val="auto"/>
        <w:rPr>
          <w:sz w:val="32"/>
        </w:rPr>
      </w:pPr>
      <w:r>
        <w:rPr>
          <w:rFonts w:ascii="Microsoft JhengHei" w:eastAsia="Microsoft JhengHei"/>
          <w:b/>
          <w:spacing w:val="-2"/>
          <w:sz w:val="32"/>
        </w:rPr>
        <w:t>二、一般公共预算拨款收入：</w:t>
      </w:r>
      <w:r>
        <w:rPr>
          <w:spacing w:val="-3"/>
          <w:sz w:val="32"/>
        </w:rPr>
        <w:t>指财政当年拨付的资金。</w:t>
      </w:r>
    </w:p>
    <w:p w14:paraId="1EA65FF5">
      <w:pPr>
        <w:keepNext w:val="0"/>
        <w:keepLines w:val="0"/>
        <w:pageBreakBefore w:val="0"/>
        <w:widowControl w:val="0"/>
        <w:kinsoku w:val="0"/>
        <w:wordWrap/>
        <w:overflowPunct/>
        <w:topLinePunct w:val="0"/>
        <w:autoSpaceDE w:val="0"/>
        <w:autoSpaceDN w:val="0"/>
        <w:bidi w:val="0"/>
        <w:adjustRightInd w:val="0"/>
        <w:snapToGrid w:val="0"/>
        <w:spacing w:before="0" w:line="276" w:lineRule="auto"/>
        <w:ind w:left="111" w:right="6" w:firstLine="643"/>
        <w:jc w:val="left"/>
        <w:textAlignment w:val="auto"/>
        <w:rPr>
          <w:sz w:val="32"/>
        </w:rPr>
      </w:pPr>
      <w:r>
        <w:rPr>
          <w:rFonts w:ascii="Microsoft JhengHei" w:eastAsia="Microsoft JhengHei"/>
          <w:b/>
          <w:spacing w:val="-6"/>
          <w:sz w:val="32"/>
        </w:rPr>
        <w:t>三、财政专户管理资金：</w:t>
      </w:r>
      <w:r>
        <w:rPr>
          <w:spacing w:val="-6"/>
          <w:sz w:val="32"/>
        </w:rPr>
        <w:t>缴入财政专户、实行专项管理的高</w:t>
      </w:r>
      <w:r>
        <w:rPr>
          <w:spacing w:val="-9"/>
          <w:sz w:val="32"/>
        </w:rPr>
        <w:t>中以上学费、住宿费、高校委托培养费、函大、电大、夜大及短</w:t>
      </w:r>
    </w:p>
    <w:p w14:paraId="12AE5E54">
      <w:pPr>
        <w:pStyle w:val="5"/>
        <w:keepNext w:val="0"/>
        <w:keepLines w:val="0"/>
        <w:pageBreakBefore w:val="0"/>
        <w:widowControl w:val="0"/>
        <w:kinsoku w:val="0"/>
        <w:wordWrap/>
        <w:overflowPunct/>
        <w:topLinePunct w:val="0"/>
        <w:autoSpaceDE w:val="0"/>
        <w:autoSpaceDN w:val="0"/>
        <w:bidi w:val="0"/>
        <w:adjustRightInd w:val="0"/>
        <w:snapToGrid w:val="0"/>
        <w:spacing w:before="90"/>
        <w:ind w:right="6"/>
        <w:textAlignment w:val="auto"/>
      </w:pPr>
      <w:r>
        <w:rPr>
          <w:spacing w:val="-5"/>
        </w:rPr>
        <w:t>训班培训费等教育收费。</w:t>
      </w:r>
    </w:p>
    <w:p w14:paraId="7390F76F">
      <w:pPr>
        <w:keepNext w:val="0"/>
        <w:keepLines w:val="0"/>
        <w:pageBreakBefore w:val="0"/>
        <w:widowControl w:val="0"/>
        <w:kinsoku w:val="0"/>
        <w:wordWrap/>
        <w:overflowPunct/>
        <w:topLinePunct w:val="0"/>
        <w:autoSpaceDE w:val="0"/>
        <w:autoSpaceDN w:val="0"/>
        <w:bidi w:val="0"/>
        <w:adjustRightInd w:val="0"/>
        <w:snapToGrid w:val="0"/>
        <w:spacing w:before="53"/>
        <w:ind w:left="111" w:right="6" w:firstLine="643"/>
        <w:jc w:val="left"/>
        <w:textAlignment w:val="auto"/>
        <w:rPr>
          <w:sz w:val="32"/>
        </w:rPr>
      </w:pPr>
      <w:r>
        <w:rPr>
          <w:rFonts w:ascii="Microsoft JhengHei" w:eastAsia="Microsoft JhengHei"/>
          <w:b/>
          <w:spacing w:val="-21"/>
          <w:sz w:val="32"/>
        </w:rPr>
        <w:t>四、单位资金：</w:t>
      </w:r>
      <w:r>
        <w:rPr>
          <w:spacing w:val="-5"/>
          <w:sz w:val="32"/>
        </w:rPr>
        <w:t>除财政拨款收入和财政专户管理资金以外的</w:t>
      </w:r>
    </w:p>
    <w:p w14:paraId="632F60D0">
      <w:pPr>
        <w:pStyle w:val="5"/>
        <w:keepNext w:val="0"/>
        <w:keepLines w:val="0"/>
        <w:pageBreakBefore w:val="0"/>
        <w:widowControl w:val="0"/>
        <w:kinsoku w:val="0"/>
        <w:wordWrap/>
        <w:overflowPunct/>
        <w:topLinePunct w:val="0"/>
        <w:autoSpaceDE w:val="0"/>
        <w:autoSpaceDN w:val="0"/>
        <w:bidi w:val="0"/>
        <w:adjustRightInd w:val="0"/>
        <w:snapToGrid w:val="0"/>
        <w:spacing w:before="88" w:line="333" w:lineRule="auto"/>
        <w:ind w:right="6"/>
        <w:jc w:val="both"/>
        <w:textAlignment w:val="auto"/>
      </w:pPr>
      <w:r>
        <w:rPr>
          <w:spacing w:val="-2"/>
        </w:rPr>
        <w:t>收入，包括事业收入（不含教育收费</w:t>
      </w:r>
      <w:r>
        <w:rPr>
          <w:spacing w:val="-159"/>
        </w:rPr>
        <w:t>）</w:t>
      </w:r>
      <w:r>
        <w:rPr>
          <w:spacing w:val="-2"/>
        </w:rPr>
        <w:t>、上级补助收入、附属单</w:t>
      </w:r>
      <w:r>
        <w:rPr>
          <w:spacing w:val="-6"/>
        </w:rPr>
        <w:t>位上缴收入、事业单位经营收入及其他收入（包含债务收入、投</w:t>
      </w:r>
      <w:r>
        <w:rPr>
          <w:spacing w:val="-2"/>
        </w:rPr>
        <w:t>资收益等</w:t>
      </w:r>
      <w:r>
        <w:rPr>
          <w:spacing w:val="-161"/>
        </w:rPr>
        <w:t>）</w:t>
      </w:r>
      <w:r>
        <w:rPr>
          <w:spacing w:val="-2"/>
        </w:rPr>
        <w:t>。</w:t>
      </w:r>
    </w:p>
    <w:p w14:paraId="229F63A4">
      <w:pPr>
        <w:keepNext w:val="0"/>
        <w:keepLines w:val="0"/>
        <w:pageBreakBefore w:val="0"/>
        <w:widowControl w:val="0"/>
        <w:kinsoku w:val="0"/>
        <w:wordWrap/>
        <w:overflowPunct/>
        <w:topLinePunct w:val="0"/>
        <w:autoSpaceDE w:val="0"/>
        <w:autoSpaceDN w:val="0"/>
        <w:bidi w:val="0"/>
        <w:adjustRightInd w:val="0"/>
        <w:snapToGrid w:val="0"/>
        <w:spacing w:before="0" w:line="482" w:lineRule="exact"/>
        <w:ind w:left="754" w:right="6" w:firstLine="0"/>
        <w:jc w:val="left"/>
        <w:textAlignment w:val="auto"/>
        <w:rPr>
          <w:sz w:val="32"/>
        </w:rPr>
      </w:pPr>
      <w:r>
        <w:rPr>
          <w:rFonts w:ascii="Microsoft JhengHei" w:eastAsia="Microsoft JhengHei"/>
          <w:b/>
          <w:spacing w:val="-8"/>
          <w:sz w:val="32"/>
        </w:rPr>
        <w:t>五、基本支出：</w:t>
      </w:r>
      <w:r>
        <w:rPr>
          <w:spacing w:val="-9"/>
          <w:sz w:val="32"/>
        </w:rPr>
        <w:t>指为保障机构正常运转、完成工作任务而发</w:t>
      </w:r>
    </w:p>
    <w:p w14:paraId="670D27B4">
      <w:pPr>
        <w:pStyle w:val="5"/>
        <w:keepNext w:val="0"/>
        <w:keepLines w:val="0"/>
        <w:pageBreakBefore w:val="0"/>
        <w:widowControl w:val="0"/>
        <w:kinsoku w:val="0"/>
        <w:wordWrap/>
        <w:overflowPunct/>
        <w:topLinePunct w:val="0"/>
        <w:autoSpaceDE w:val="0"/>
        <w:autoSpaceDN w:val="0"/>
        <w:bidi w:val="0"/>
        <w:adjustRightInd w:val="0"/>
        <w:snapToGrid w:val="0"/>
        <w:spacing w:before="89"/>
        <w:ind w:right="6"/>
        <w:textAlignment w:val="auto"/>
      </w:pPr>
      <w:r>
        <w:rPr>
          <w:spacing w:val="-5"/>
        </w:rPr>
        <w:t>生的人员支出和公用支出。</w:t>
      </w:r>
    </w:p>
    <w:p w14:paraId="13C7BC23">
      <w:pPr>
        <w:pStyle w:val="5"/>
        <w:keepNext w:val="0"/>
        <w:keepLines w:val="0"/>
        <w:pageBreakBefore w:val="0"/>
        <w:widowControl w:val="0"/>
        <w:kinsoku w:val="0"/>
        <w:wordWrap/>
        <w:overflowPunct/>
        <w:topLinePunct w:val="0"/>
        <w:autoSpaceDE w:val="0"/>
        <w:autoSpaceDN w:val="0"/>
        <w:bidi w:val="0"/>
        <w:adjustRightInd w:val="0"/>
        <w:snapToGrid w:val="0"/>
        <w:spacing w:before="53" w:line="276" w:lineRule="auto"/>
        <w:ind w:right="6" w:firstLine="643"/>
        <w:textAlignment w:val="auto"/>
      </w:pPr>
      <w:r>
        <w:rPr>
          <w:rFonts w:ascii="Microsoft JhengHei" w:eastAsia="Microsoft JhengHei"/>
          <w:b/>
          <w:spacing w:val="-20"/>
        </w:rPr>
        <w:t>六、项目支出：</w:t>
      </w:r>
      <w:r>
        <w:rPr>
          <w:spacing w:val="-2"/>
        </w:rPr>
        <w:t>指在基本支出之外为完成特定工作任务和事业发展目标所发生的支出。</w:t>
      </w:r>
    </w:p>
    <w:p w14:paraId="1BA3A0DD">
      <w:pPr>
        <w:keepNext w:val="0"/>
        <w:keepLines w:val="0"/>
        <w:pageBreakBefore w:val="0"/>
        <w:widowControl w:val="0"/>
        <w:kinsoku w:val="0"/>
        <w:wordWrap/>
        <w:overflowPunct/>
        <w:topLinePunct w:val="0"/>
        <w:autoSpaceDE w:val="0"/>
        <w:autoSpaceDN w:val="0"/>
        <w:bidi w:val="0"/>
        <w:adjustRightInd w:val="0"/>
        <w:snapToGrid w:val="0"/>
        <w:spacing w:before="0" w:line="276" w:lineRule="auto"/>
        <w:ind w:left="111" w:right="6" w:firstLine="643"/>
        <w:jc w:val="left"/>
        <w:textAlignment w:val="auto"/>
        <w:rPr>
          <w:sz w:val="32"/>
        </w:rPr>
      </w:pPr>
      <w:r>
        <w:rPr>
          <w:rFonts w:ascii="Microsoft JhengHei" w:eastAsia="Microsoft JhengHei"/>
          <w:b/>
          <w:spacing w:val="-16"/>
          <w:sz w:val="32"/>
        </w:rPr>
        <w:t>七、对个人和家庭的补助：</w:t>
      </w:r>
      <w:r>
        <w:rPr>
          <w:spacing w:val="-2"/>
          <w:sz w:val="32"/>
        </w:rPr>
        <w:t>是指政府用于对个人和家庭的补</w:t>
      </w:r>
      <w:r>
        <w:rPr>
          <w:spacing w:val="-4"/>
          <w:sz w:val="32"/>
        </w:rPr>
        <w:t>助支出。</w:t>
      </w:r>
    </w:p>
    <w:p w14:paraId="38526D20">
      <w:pPr>
        <w:keepNext w:val="0"/>
        <w:keepLines w:val="0"/>
        <w:pageBreakBefore w:val="0"/>
        <w:widowControl w:val="0"/>
        <w:kinsoku w:val="0"/>
        <w:wordWrap/>
        <w:overflowPunct/>
        <w:topLinePunct w:val="0"/>
        <w:autoSpaceDE w:val="0"/>
        <w:autoSpaceDN w:val="0"/>
        <w:bidi w:val="0"/>
        <w:adjustRightInd w:val="0"/>
        <w:snapToGrid w:val="0"/>
        <w:spacing w:before="0" w:line="581" w:lineRule="exact"/>
        <w:ind w:left="111" w:right="6" w:firstLine="643"/>
        <w:jc w:val="left"/>
        <w:textAlignment w:val="auto"/>
        <w:rPr>
          <w:sz w:val="32"/>
        </w:rPr>
      </w:pPr>
      <w:r>
        <w:rPr>
          <w:rFonts w:ascii="Microsoft JhengHei" w:hAnsi="Microsoft JhengHei" w:eastAsia="Microsoft JhengHei"/>
          <w:b/>
          <w:spacing w:val="-21"/>
          <w:sz w:val="32"/>
        </w:rPr>
        <w:t>八、“三公”经费：</w:t>
      </w:r>
      <w:r>
        <w:rPr>
          <w:spacing w:val="-2"/>
          <w:sz w:val="32"/>
        </w:rPr>
        <w:t>指部门（单位）</w:t>
      </w:r>
      <w:r>
        <w:rPr>
          <w:spacing w:val="-3"/>
          <w:sz w:val="32"/>
        </w:rPr>
        <w:t>用一般公共预算财政拨</w:t>
      </w:r>
    </w:p>
    <w:p w14:paraId="6619128A">
      <w:pPr>
        <w:pStyle w:val="5"/>
        <w:keepNext w:val="0"/>
        <w:keepLines w:val="0"/>
        <w:pageBreakBefore w:val="0"/>
        <w:widowControl w:val="0"/>
        <w:kinsoku w:val="0"/>
        <w:wordWrap/>
        <w:overflowPunct/>
        <w:topLinePunct w:val="0"/>
        <w:autoSpaceDE w:val="0"/>
        <w:autoSpaceDN w:val="0"/>
        <w:bidi w:val="0"/>
        <w:adjustRightInd w:val="0"/>
        <w:snapToGrid w:val="0"/>
        <w:spacing w:before="80" w:line="333" w:lineRule="auto"/>
        <w:ind w:right="6"/>
        <w:textAlignment w:val="auto"/>
        <w:rPr>
          <w:spacing w:val="-10"/>
        </w:rPr>
      </w:pPr>
      <w:r>
        <w:rPr>
          <w:spacing w:val="-2"/>
        </w:rPr>
        <w:t>款安排的因公出国（境）费、公务用车购置及运行维护费和公务</w:t>
      </w:r>
      <w:r>
        <w:rPr>
          <w:spacing w:val="-8"/>
        </w:rPr>
        <w:t>接待费。其中，因公出国（境）费反映部门/单位公务出国（境</w:t>
      </w:r>
      <w:r>
        <w:rPr>
          <w:spacing w:val="-10"/>
        </w:rPr>
        <w:t>）</w:t>
      </w:r>
    </w:p>
    <w:p w14:paraId="65F03398">
      <w:pPr>
        <w:pStyle w:val="5"/>
        <w:keepNext w:val="0"/>
        <w:keepLines w:val="0"/>
        <w:pageBreakBefore w:val="0"/>
        <w:widowControl w:val="0"/>
        <w:kinsoku w:val="0"/>
        <w:wordWrap/>
        <w:overflowPunct/>
        <w:topLinePunct w:val="0"/>
        <w:autoSpaceDE w:val="0"/>
        <w:autoSpaceDN w:val="0"/>
        <w:bidi w:val="0"/>
        <w:adjustRightInd w:val="0"/>
        <w:snapToGrid w:val="0"/>
        <w:spacing w:before="27" w:line="333" w:lineRule="auto"/>
        <w:ind w:right="6"/>
        <w:textAlignment w:val="auto"/>
      </w:pPr>
      <w:r>
        <w:rPr>
          <w:spacing w:val="-2"/>
        </w:rPr>
        <w:t>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w:t>
      </w:r>
      <w:r>
        <w:rPr>
          <w:spacing w:val="-4"/>
        </w:rPr>
        <w:t>支出。</w:t>
      </w:r>
    </w:p>
    <w:p w14:paraId="3211F97D">
      <w:pPr>
        <w:keepNext w:val="0"/>
        <w:keepLines w:val="0"/>
        <w:pageBreakBefore w:val="0"/>
        <w:widowControl w:val="0"/>
        <w:kinsoku w:val="0"/>
        <w:wordWrap/>
        <w:overflowPunct/>
        <w:topLinePunct w:val="0"/>
        <w:autoSpaceDE w:val="0"/>
        <w:autoSpaceDN w:val="0"/>
        <w:bidi w:val="0"/>
        <w:adjustRightInd w:val="0"/>
        <w:snapToGrid w:val="0"/>
        <w:spacing w:before="0" w:line="482" w:lineRule="exact"/>
        <w:ind w:left="754" w:right="6" w:firstLine="0"/>
        <w:jc w:val="left"/>
        <w:textAlignment w:val="auto"/>
        <w:rPr>
          <w:sz w:val="32"/>
        </w:rPr>
      </w:pPr>
      <w:r>
        <w:rPr>
          <w:rFonts w:ascii="Microsoft JhengHei" w:eastAsia="Microsoft JhengHei"/>
          <w:b/>
          <w:spacing w:val="-8"/>
          <w:sz w:val="32"/>
        </w:rPr>
        <w:t>九、机构运行经费：</w:t>
      </w:r>
      <w:r>
        <w:rPr>
          <w:spacing w:val="-8"/>
          <w:sz w:val="32"/>
        </w:rPr>
        <w:t>指部门（单位）</w:t>
      </w:r>
      <w:r>
        <w:rPr>
          <w:spacing w:val="-9"/>
          <w:sz w:val="32"/>
        </w:rPr>
        <w:t>使用一般公共预算安排</w:t>
      </w:r>
    </w:p>
    <w:p w14:paraId="7871D9E0">
      <w:pPr>
        <w:pStyle w:val="5"/>
        <w:keepNext w:val="0"/>
        <w:keepLines w:val="0"/>
        <w:pageBreakBefore w:val="0"/>
        <w:widowControl w:val="0"/>
        <w:kinsoku w:val="0"/>
        <w:wordWrap/>
        <w:overflowPunct/>
        <w:topLinePunct w:val="0"/>
        <w:autoSpaceDE w:val="0"/>
        <w:autoSpaceDN w:val="0"/>
        <w:bidi w:val="0"/>
        <w:adjustRightInd w:val="0"/>
        <w:snapToGrid w:val="0"/>
        <w:spacing w:before="88" w:line="333" w:lineRule="auto"/>
        <w:ind w:right="6"/>
        <w:textAlignment w:val="auto"/>
      </w:pPr>
      <w:r>
        <w:rPr>
          <w:spacing w:val="-17"/>
        </w:rPr>
        <w:t>的基本支出中的日常公用经费支出，包括办公及印刷费、邮电费、</w:t>
      </w:r>
      <w:r>
        <w:rPr>
          <w:spacing w:val="-2"/>
        </w:rPr>
        <w:t>差旅费、会议费、福利费、日常维修费、专用材料及一般设备购</w:t>
      </w:r>
      <w:r>
        <w:rPr>
          <w:spacing w:val="-21"/>
        </w:rPr>
        <w:t>置费、办公用房水电费、办公用房取暖费、办公用房物业管理费、</w:t>
      </w:r>
      <w:r>
        <w:rPr>
          <w:spacing w:val="-2"/>
        </w:rPr>
        <w:t>公务用车运行维护费及其他费用等。</w:t>
      </w:r>
    </w:p>
    <w:p w14:paraId="44A7A6CD">
      <w:pPr>
        <w:pStyle w:val="4"/>
        <w:keepNext w:val="0"/>
        <w:keepLines w:val="0"/>
        <w:pageBreakBefore w:val="0"/>
        <w:widowControl w:val="0"/>
        <w:kinsoku w:val="0"/>
        <w:wordWrap/>
        <w:overflowPunct/>
        <w:topLinePunct w:val="0"/>
        <w:autoSpaceDE w:val="0"/>
        <w:autoSpaceDN w:val="0"/>
        <w:bidi w:val="0"/>
        <w:adjustRightInd w:val="0"/>
        <w:snapToGrid w:val="0"/>
        <w:spacing w:before="273"/>
        <w:ind w:left="932" w:right="6"/>
        <w:jc w:val="left"/>
        <w:textAlignment w:val="auto"/>
      </w:pPr>
      <w:r>
        <w:rPr>
          <w:spacing w:val="-1"/>
        </w:rPr>
        <w:t>第四部分  预算公开联系方式及信息反馈渠道</w:t>
      </w:r>
    </w:p>
    <w:p w14:paraId="4D19AA83">
      <w:pPr>
        <w:pStyle w:val="5"/>
        <w:keepNext w:val="0"/>
        <w:keepLines w:val="0"/>
        <w:pageBreakBefore w:val="0"/>
        <w:widowControl w:val="0"/>
        <w:kinsoku w:val="0"/>
        <w:wordWrap/>
        <w:overflowPunct/>
        <w:topLinePunct w:val="0"/>
        <w:autoSpaceDE w:val="0"/>
        <w:autoSpaceDN w:val="0"/>
        <w:bidi w:val="0"/>
        <w:adjustRightInd w:val="0"/>
        <w:snapToGrid w:val="0"/>
        <w:spacing w:before="11"/>
        <w:ind w:left="0" w:right="6"/>
        <w:textAlignment w:val="auto"/>
        <w:rPr>
          <w:sz w:val="35"/>
        </w:rPr>
      </w:pPr>
    </w:p>
    <w:p w14:paraId="78E03AE2">
      <w:pPr>
        <w:pStyle w:val="5"/>
        <w:keepNext w:val="0"/>
        <w:keepLines w:val="0"/>
        <w:pageBreakBefore w:val="0"/>
        <w:widowControl w:val="0"/>
        <w:kinsoku w:val="0"/>
        <w:wordWrap/>
        <w:overflowPunct/>
        <w:topLinePunct w:val="0"/>
        <w:autoSpaceDE w:val="0"/>
        <w:autoSpaceDN w:val="0"/>
        <w:bidi w:val="0"/>
        <w:adjustRightInd w:val="0"/>
        <w:snapToGrid w:val="0"/>
        <w:ind w:left="752" w:right="6"/>
        <w:textAlignment w:val="auto"/>
      </w:pPr>
      <w:r>
        <w:rPr>
          <w:spacing w:val="-5"/>
        </w:rPr>
        <w:t>本单位预算公开信息反馈和联系方式：</w:t>
      </w:r>
    </w:p>
    <w:p w14:paraId="7B99001E">
      <w:pPr>
        <w:pStyle w:val="5"/>
        <w:keepNext w:val="0"/>
        <w:keepLines w:val="0"/>
        <w:pageBreakBefore w:val="0"/>
        <w:widowControl w:val="0"/>
        <w:tabs>
          <w:tab w:val="left" w:pos="4273"/>
        </w:tabs>
        <w:kinsoku w:val="0"/>
        <w:wordWrap/>
        <w:overflowPunct/>
        <w:topLinePunct w:val="0"/>
        <w:autoSpaceDE w:val="0"/>
        <w:autoSpaceDN w:val="0"/>
        <w:bidi w:val="0"/>
        <w:adjustRightInd w:val="0"/>
        <w:snapToGrid w:val="0"/>
        <w:spacing w:before="162"/>
        <w:ind w:left="752" w:right="6"/>
        <w:textAlignment w:val="auto"/>
        <w:rPr>
          <w:rFonts w:hint="default" w:eastAsia="宋体"/>
          <w:lang w:val="en-US" w:eastAsia="zh-CN"/>
        </w:rPr>
      </w:pPr>
      <w:r>
        <w:rPr>
          <w:spacing w:val="-4"/>
        </w:rPr>
        <w:t>联系人：</w:t>
      </w:r>
      <w:r>
        <w:rPr>
          <w:rFonts w:hint="eastAsia"/>
          <w:spacing w:val="-4"/>
          <w:lang w:val="en-US" w:eastAsia="zh-CN"/>
        </w:rPr>
        <w:t>袁涛</w:t>
      </w:r>
      <w:r>
        <w:tab/>
      </w:r>
      <w:r>
        <w:rPr>
          <w:spacing w:val="-4"/>
        </w:rPr>
        <w:t>联系电话：</w:t>
      </w:r>
      <w:r>
        <w:rPr>
          <w:rFonts w:hint="eastAsia"/>
          <w:spacing w:val="-4"/>
          <w:lang w:val="en-US" w:eastAsia="zh-CN"/>
        </w:rPr>
        <w:t>18747134073</w:t>
      </w:r>
    </w:p>
    <w:p w14:paraId="78439474">
      <w:pPr>
        <w:pStyle w:val="5"/>
        <w:keepNext w:val="0"/>
        <w:keepLines w:val="0"/>
        <w:pageBreakBefore w:val="0"/>
        <w:widowControl w:val="0"/>
        <w:kinsoku w:val="0"/>
        <w:wordWrap/>
        <w:overflowPunct/>
        <w:topLinePunct w:val="0"/>
        <w:autoSpaceDE w:val="0"/>
        <w:autoSpaceDN w:val="0"/>
        <w:bidi w:val="0"/>
        <w:adjustRightInd w:val="0"/>
        <w:snapToGrid w:val="0"/>
        <w:spacing w:before="7"/>
        <w:ind w:left="0" w:right="6"/>
        <w:textAlignment w:val="auto"/>
        <w:rPr>
          <w:sz w:val="33"/>
        </w:rPr>
      </w:pPr>
    </w:p>
    <w:p w14:paraId="2DA92831">
      <w:pPr>
        <w:pStyle w:val="4"/>
        <w:keepNext w:val="0"/>
        <w:keepLines w:val="0"/>
        <w:pageBreakBefore w:val="0"/>
        <w:widowControl w:val="0"/>
        <w:tabs>
          <w:tab w:val="left" w:pos="1799"/>
        </w:tabs>
        <w:kinsoku w:val="0"/>
        <w:wordWrap/>
        <w:overflowPunct/>
        <w:topLinePunct w:val="0"/>
        <w:autoSpaceDE w:val="0"/>
        <w:autoSpaceDN w:val="0"/>
        <w:bidi w:val="0"/>
        <w:adjustRightInd w:val="0"/>
        <w:snapToGrid w:val="0"/>
        <w:spacing w:before="1"/>
        <w:ind w:right="6"/>
        <w:textAlignment w:val="auto"/>
      </w:pPr>
      <w:r>
        <w:t>第五部</w:t>
      </w:r>
      <w:r>
        <w:rPr>
          <w:spacing w:val="-10"/>
        </w:rPr>
        <w:t>分</w:t>
      </w:r>
      <w:r>
        <w:tab/>
      </w:r>
      <w:r>
        <w:t>单位预算</w:t>
      </w:r>
      <w:r>
        <w:rPr>
          <w:spacing w:val="-10"/>
        </w:rPr>
        <w:t>表</w:t>
      </w:r>
    </w:p>
    <w:p w14:paraId="7CD85A9D">
      <w:pPr>
        <w:pStyle w:val="5"/>
        <w:keepNext w:val="0"/>
        <w:keepLines w:val="0"/>
        <w:pageBreakBefore w:val="0"/>
        <w:widowControl w:val="0"/>
        <w:kinsoku w:val="0"/>
        <w:wordWrap/>
        <w:overflowPunct/>
        <w:topLinePunct w:val="0"/>
        <w:autoSpaceDE w:val="0"/>
        <w:autoSpaceDN w:val="0"/>
        <w:bidi w:val="0"/>
        <w:adjustRightInd w:val="0"/>
        <w:snapToGrid w:val="0"/>
        <w:ind w:left="0" w:right="6"/>
        <w:textAlignment w:val="auto"/>
        <w:rPr>
          <w:sz w:val="36"/>
        </w:rPr>
      </w:pPr>
    </w:p>
    <w:p w14:paraId="15BCF2B0">
      <w:pPr>
        <w:pStyle w:val="5"/>
        <w:keepNext w:val="0"/>
        <w:keepLines w:val="0"/>
        <w:pageBreakBefore w:val="0"/>
        <w:widowControl w:val="0"/>
        <w:kinsoku w:val="0"/>
        <w:wordWrap/>
        <w:overflowPunct/>
        <w:topLinePunct w:val="0"/>
        <w:autoSpaceDE w:val="0"/>
        <w:autoSpaceDN w:val="0"/>
        <w:bidi w:val="0"/>
        <w:adjustRightInd w:val="0"/>
        <w:snapToGrid w:val="0"/>
        <w:ind w:left="752" w:right="6"/>
        <w:textAlignment w:val="auto"/>
        <w:rPr>
          <w:rFonts w:hint="eastAsia" w:eastAsia="宋体"/>
          <w:lang w:eastAsia="zh-CN"/>
        </w:rPr>
      </w:pPr>
      <w:r>
        <w:rPr>
          <w:spacing w:val="-11"/>
        </w:rPr>
        <w:t xml:space="preserve">详见附表：部门预算 </w:t>
      </w:r>
      <w:r>
        <w:rPr>
          <w:spacing w:val="-4"/>
        </w:rPr>
        <w:t>12</w:t>
      </w:r>
      <w:r>
        <w:rPr>
          <w:rFonts w:hint="eastAsia"/>
          <w:spacing w:val="-4"/>
          <w:lang w:val="en-US" w:eastAsia="zh-CN"/>
        </w:rPr>
        <w:t xml:space="preserve"> 张</w:t>
      </w:r>
      <w:r>
        <w:rPr>
          <w:rFonts w:hint="eastAsia"/>
          <w:spacing w:val="-30"/>
          <w:lang w:eastAsia="zh-CN"/>
        </w:rPr>
        <w:t>。</w:t>
      </w:r>
    </w:p>
    <w:sectPr>
      <w:footerReference r:id="rId9" w:type="default"/>
      <w:pgSz w:w="11910" w:h="16840"/>
      <w:pgMar w:top="1680" w:right="1260" w:bottom="1560" w:left="1420" w:header="0" w:footer="137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B3E8">
    <w:pPr>
      <w:pStyle w:val="5"/>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391A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44391A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E1DB3">
    <w:pPr>
      <w:pStyle w:val="5"/>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3C2D2">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603C2D2">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154F4">
    <w:pPr>
      <w:pStyle w:val="5"/>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A717C">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C0A717C">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BC94F">
    <w:pPr>
      <w:pStyle w:val="5"/>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8B532">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0A8B532">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6090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11" w:hanging="322"/>
        <w:jc w:val="left"/>
      </w:pPr>
      <w:rPr>
        <w:rFonts w:hint="default" w:ascii="宋体" w:hAnsi="宋体" w:eastAsia="宋体" w:cs="宋体"/>
        <w:b w:val="0"/>
        <w:bCs w:val="0"/>
        <w:i w:val="0"/>
        <w:iCs w:val="0"/>
        <w:spacing w:val="1"/>
        <w:w w:val="98"/>
        <w:sz w:val="30"/>
        <w:szCs w:val="30"/>
        <w:lang w:val="en-US" w:eastAsia="zh-CN" w:bidi="ar-SA"/>
      </w:rPr>
    </w:lvl>
    <w:lvl w:ilvl="1" w:tentative="0">
      <w:start w:val="0"/>
      <w:numFmt w:val="bullet"/>
      <w:lvlText w:val="•"/>
      <w:lvlJc w:val="left"/>
      <w:pPr>
        <w:ind w:left="1030" w:hanging="322"/>
      </w:pPr>
      <w:rPr>
        <w:rFonts w:hint="default"/>
        <w:lang w:val="en-US" w:eastAsia="zh-CN" w:bidi="ar-SA"/>
      </w:rPr>
    </w:lvl>
    <w:lvl w:ilvl="2" w:tentative="0">
      <w:start w:val="0"/>
      <w:numFmt w:val="bullet"/>
      <w:lvlText w:val="•"/>
      <w:lvlJc w:val="left"/>
      <w:pPr>
        <w:ind w:left="1941" w:hanging="322"/>
      </w:pPr>
      <w:rPr>
        <w:rFonts w:hint="default"/>
        <w:lang w:val="en-US" w:eastAsia="zh-CN" w:bidi="ar-SA"/>
      </w:rPr>
    </w:lvl>
    <w:lvl w:ilvl="3" w:tentative="0">
      <w:start w:val="0"/>
      <w:numFmt w:val="bullet"/>
      <w:lvlText w:val="•"/>
      <w:lvlJc w:val="left"/>
      <w:pPr>
        <w:ind w:left="2851" w:hanging="322"/>
      </w:pPr>
      <w:rPr>
        <w:rFonts w:hint="default"/>
        <w:lang w:val="en-US" w:eastAsia="zh-CN" w:bidi="ar-SA"/>
      </w:rPr>
    </w:lvl>
    <w:lvl w:ilvl="4" w:tentative="0">
      <w:start w:val="0"/>
      <w:numFmt w:val="bullet"/>
      <w:lvlText w:val="•"/>
      <w:lvlJc w:val="left"/>
      <w:pPr>
        <w:ind w:left="3762" w:hanging="322"/>
      </w:pPr>
      <w:rPr>
        <w:rFonts w:hint="default"/>
        <w:lang w:val="en-US" w:eastAsia="zh-CN" w:bidi="ar-SA"/>
      </w:rPr>
    </w:lvl>
    <w:lvl w:ilvl="5" w:tentative="0">
      <w:start w:val="0"/>
      <w:numFmt w:val="bullet"/>
      <w:lvlText w:val="•"/>
      <w:lvlJc w:val="left"/>
      <w:pPr>
        <w:ind w:left="4673" w:hanging="322"/>
      </w:pPr>
      <w:rPr>
        <w:rFonts w:hint="default"/>
        <w:lang w:val="en-US" w:eastAsia="zh-CN" w:bidi="ar-SA"/>
      </w:rPr>
    </w:lvl>
    <w:lvl w:ilvl="6" w:tentative="0">
      <w:start w:val="0"/>
      <w:numFmt w:val="bullet"/>
      <w:lvlText w:val="•"/>
      <w:lvlJc w:val="left"/>
      <w:pPr>
        <w:ind w:left="5583" w:hanging="322"/>
      </w:pPr>
      <w:rPr>
        <w:rFonts w:hint="default"/>
        <w:lang w:val="en-US" w:eastAsia="zh-CN" w:bidi="ar-SA"/>
      </w:rPr>
    </w:lvl>
    <w:lvl w:ilvl="7" w:tentative="0">
      <w:start w:val="0"/>
      <w:numFmt w:val="bullet"/>
      <w:lvlText w:val="•"/>
      <w:lvlJc w:val="left"/>
      <w:pPr>
        <w:ind w:left="6494" w:hanging="322"/>
      </w:pPr>
      <w:rPr>
        <w:rFonts w:hint="default"/>
        <w:lang w:val="en-US" w:eastAsia="zh-CN" w:bidi="ar-SA"/>
      </w:rPr>
    </w:lvl>
    <w:lvl w:ilvl="8" w:tentative="0">
      <w:start w:val="0"/>
      <w:numFmt w:val="bullet"/>
      <w:lvlText w:val="•"/>
      <w:lvlJc w:val="left"/>
      <w:pPr>
        <w:ind w:left="7405" w:hanging="322"/>
      </w:pPr>
      <w:rPr>
        <w:rFonts w:hint="default"/>
        <w:lang w:val="en-US" w:eastAsia="zh-CN" w:bidi="ar-SA"/>
      </w:rPr>
    </w:lvl>
  </w:abstractNum>
  <w:abstractNum w:abstractNumId="1">
    <w:nsid w:val="C8879AEF"/>
    <w:multiLevelType w:val="multilevel"/>
    <w:tmpl w:val="C8879AEF"/>
    <w:lvl w:ilvl="0" w:tentative="0">
      <w:start w:val="1"/>
      <w:numFmt w:val="decimal"/>
      <w:lvlText w:val="%1."/>
      <w:lvlJc w:val="left"/>
      <w:pPr>
        <w:ind w:left="111" w:hanging="481"/>
        <w:jc w:val="left"/>
      </w:pPr>
      <w:rPr>
        <w:rFonts w:hint="default" w:ascii="宋体" w:hAnsi="宋体" w:eastAsia="宋体" w:cs="宋体"/>
        <w:b w:val="0"/>
        <w:bCs w:val="0"/>
        <w:i w:val="0"/>
        <w:iCs w:val="0"/>
        <w:spacing w:val="0"/>
        <w:w w:val="99"/>
        <w:sz w:val="30"/>
        <w:szCs w:val="30"/>
        <w:lang w:val="en-US" w:eastAsia="zh-CN" w:bidi="ar-SA"/>
      </w:rPr>
    </w:lvl>
    <w:lvl w:ilvl="1" w:tentative="0">
      <w:start w:val="0"/>
      <w:numFmt w:val="bullet"/>
      <w:lvlText w:val="•"/>
      <w:lvlJc w:val="left"/>
      <w:pPr>
        <w:ind w:left="1030" w:hanging="481"/>
      </w:pPr>
      <w:rPr>
        <w:rFonts w:hint="default"/>
        <w:lang w:val="en-US" w:eastAsia="zh-CN" w:bidi="ar-SA"/>
      </w:rPr>
    </w:lvl>
    <w:lvl w:ilvl="2" w:tentative="0">
      <w:start w:val="0"/>
      <w:numFmt w:val="bullet"/>
      <w:lvlText w:val="•"/>
      <w:lvlJc w:val="left"/>
      <w:pPr>
        <w:ind w:left="1941" w:hanging="481"/>
      </w:pPr>
      <w:rPr>
        <w:rFonts w:hint="default"/>
        <w:lang w:val="en-US" w:eastAsia="zh-CN" w:bidi="ar-SA"/>
      </w:rPr>
    </w:lvl>
    <w:lvl w:ilvl="3" w:tentative="0">
      <w:start w:val="0"/>
      <w:numFmt w:val="bullet"/>
      <w:lvlText w:val="•"/>
      <w:lvlJc w:val="left"/>
      <w:pPr>
        <w:ind w:left="2851" w:hanging="481"/>
      </w:pPr>
      <w:rPr>
        <w:rFonts w:hint="default"/>
        <w:lang w:val="en-US" w:eastAsia="zh-CN" w:bidi="ar-SA"/>
      </w:rPr>
    </w:lvl>
    <w:lvl w:ilvl="4" w:tentative="0">
      <w:start w:val="0"/>
      <w:numFmt w:val="bullet"/>
      <w:lvlText w:val="•"/>
      <w:lvlJc w:val="left"/>
      <w:pPr>
        <w:ind w:left="3762" w:hanging="481"/>
      </w:pPr>
      <w:rPr>
        <w:rFonts w:hint="default"/>
        <w:lang w:val="en-US" w:eastAsia="zh-CN" w:bidi="ar-SA"/>
      </w:rPr>
    </w:lvl>
    <w:lvl w:ilvl="5" w:tentative="0">
      <w:start w:val="0"/>
      <w:numFmt w:val="bullet"/>
      <w:lvlText w:val="•"/>
      <w:lvlJc w:val="left"/>
      <w:pPr>
        <w:ind w:left="4673" w:hanging="481"/>
      </w:pPr>
      <w:rPr>
        <w:rFonts w:hint="default"/>
        <w:lang w:val="en-US" w:eastAsia="zh-CN" w:bidi="ar-SA"/>
      </w:rPr>
    </w:lvl>
    <w:lvl w:ilvl="6" w:tentative="0">
      <w:start w:val="0"/>
      <w:numFmt w:val="bullet"/>
      <w:lvlText w:val="•"/>
      <w:lvlJc w:val="left"/>
      <w:pPr>
        <w:ind w:left="5583" w:hanging="481"/>
      </w:pPr>
      <w:rPr>
        <w:rFonts w:hint="default"/>
        <w:lang w:val="en-US" w:eastAsia="zh-CN" w:bidi="ar-SA"/>
      </w:rPr>
    </w:lvl>
    <w:lvl w:ilvl="7" w:tentative="0">
      <w:start w:val="0"/>
      <w:numFmt w:val="bullet"/>
      <w:lvlText w:val="•"/>
      <w:lvlJc w:val="left"/>
      <w:pPr>
        <w:ind w:left="6494" w:hanging="481"/>
      </w:pPr>
      <w:rPr>
        <w:rFonts w:hint="default"/>
        <w:lang w:val="en-US" w:eastAsia="zh-CN" w:bidi="ar-SA"/>
      </w:rPr>
    </w:lvl>
    <w:lvl w:ilvl="8" w:tentative="0">
      <w:start w:val="0"/>
      <w:numFmt w:val="bullet"/>
      <w:lvlText w:val="•"/>
      <w:lvlJc w:val="left"/>
      <w:pPr>
        <w:ind w:left="7405" w:hanging="481"/>
      </w:pPr>
      <w:rPr>
        <w:rFonts w:hint="default"/>
        <w:lang w:val="en-US" w:eastAsia="zh-CN" w:bidi="ar-SA"/>
      </w:rPr>
    </w:lvl>
  </w:abstractNum>
  <w:abstractNum w:abstractNumId="2">
    <w:nsid w:val="0053208E"/>
    <w:multiLevelType w:val="multilevel"/>
    <w:tmpl w:val="0053208E"/>
    <w:lvl w:ilvl="0" w:tentative="0">
      <w:start w:val="1"/>
      <w:numFmt w:val="decimal"/>
      <w:lvlText w:val="%1."/>
      <w:lvlJc w:val="left"/>
      <w:pPr>
        <w:ind w:left="111" w:hanging="322"/>
        <w:jc w:val="left"/>
      </w:pPr>
      <w:rPr>
        <w:rFonts w:hint="default" w:ascii="宋体" w:hAnsi="宋体" w:eastAsia="宋体" w:cs="宋体"/>
        <w:b w:val="0"/>
        <w:bCs w:val="0"/>
        <w:i w:val="0"/>
        <w:iCs w:val="0"/>
        <w:spacing w:val="1"/>
        <w:w w:val="98"/>
        <w:sz w:val="30"/>
        <w:szCs w:val="30"/>
        <w:lang w:val="en-US" w:eastAsia="zh-CN" w:bidi="ar-SA"/>
      </w:rPr>
    </w:lvl>
    <w:lvl w:ilvl="1" w:tentative="0">
      <w:start w:val="0"/>
      <w:numFmt w:val="bullet"/>
      <w:lvlText w:val="•"/>
      <w:lvlJc w:val="left"/>
      <w:pPr>
        <w:ind w:left="1030" w:hanging="322"/>
      </w:pPr>
      <w:rPr>
        <w:rFonts w:hint="default"/>
        <w:lang w:val="en-US" w:eastAsia="zh-CN" w:bidi="ar-SA"/>
      </w:rPr>
    </w:lvl>
    <w:lvl w:ilvl="2" w:tentative="0">
      <w:start w:val="0"/>
      <w:numFmt w:val="bullet"/>
      <w:lvlText w:val="•"/>
      <w:lvlJc w:val="left"/>
      <w:pPr>
        <w:ind w:left="1941" w:hanging="322"/>
      </w:pPr>
      <w:rPr>
        <w:rFonts w:hint="default"/>
        <w:lang w:val="en-US" w:eastAsia="zh-CN" w:bidi="ar-SA"/>
      </w:rPr>
    </w:lvl>
    <w:lvl w:ilvl="3" w:tentative="0">
      <w:start w:val="0"/>
      <w:numFmt w:val="bullet"/>
      <w:lvlText w:val="•"/>
      <w:lvlJc w:val="left"/>
      <w:pPr>
        <w:ind w:left="2851" w:hanging="322"/>
      </w:pPr>
      <w:rPr>
        <w:rFonts w:hint="default"/>
        <w:lang w:val="en-US" w:eastAsia="zh-CN" w:bidi="ar-SA"/>
      </w:rPr>
    </w:lvl>
    <w:lvl w:ilvl="4" w:tentative="0">
      <w:start w:val="0"/>
      <w:numFmt w:val="bullet"/>
      <w:lvlText w:val="•"/>
      <w:lvlJc w:val="left"/>
      <w:pPr>
        <w:ind w:left="3762" w:hanging="322"/>
      </w:pPr>
      <w:rPr>
        <w:rFonts w:hint="default"/>
        <w:lang w:val="en-US" w:eastAsia="zh-CN" w:bidi="ar-SA"/>
      </w:rPr>
    </w:lvl>
    <w:lvl w:ilvl="5" w:tentative="0">
      <w:start w:val="0"/>
      <w:numFmt w:val="bullet"/>
      <w:lvlText w:val="•"/>
      <w:lvlJc w:val="left"/>
      <w:pPr>
        <w:ind w:left="4673" w:hanging="322"/>
      </w:pPr>
      <w:rPr>
        <w:rFonts w:hint="default"/>
        <w:lang w:val="en-US" w:eastAsia="zh-CN" w:bidi="ar-SA"/>
      </w:rPr>
    </w:lvl>
    <w:lvl w:ilvl="6" w:tentative="0">
      <w:start w:val="0"/>
      <w:numFmt w:val="bullet"/>
      <w:lvlText w:val="•"/>
      <w:lvlJc w:val="left"/>
      <w:pPr>
        <w:ind w:left="5583" w:hanging="322"/>
      </w:pPr>
      <w:rPr>
        <w:rFonts w:hint="default"/>
        <w:lang w:val="en-US" w:eastAsia="zh-CN" w:bidi="ar-SA"/>
      </w:rPr>
    </w:lvl>
    <w:lvl w:ilvl="7" w:tentative="0">
      <w:start w:val="0"/>
      <w:numFmt w:val="bullet"/>
      <w:lvlText w:val="•"/>
      <w:lvlJc w:val="left"/>
      <w:pPr>
        <w:ind w:left="6494" w:hanging="322"/>
      </w:pPr>
      <w:rPr>
        <w:rFonts w:hint="default"/>
        <w:lang w:val="en-US" w:eastAsia="zh-CN" w:bidi="ar-SA"/>
      </w:rPr>
    </w:lvl>
    <w:lvl w:ilvl="8" w:tentative="0">
      <w:start w:val="0"/>
      <w:numFmt w:val="bullet"/>
      <w:lvlText w:val="•"/>
      <w:lvlJc w:val="left"/>
      <w:pPr>
        <w:ind w:left="7405" w:hanging="322"/>
      </w:pPr>
      <w:rPr>
        <w:rFonts w:hint="default"/>
        <w:lang w:val="en-US" w:eastAsia="zh-CN" w:bidi="ar-SA"/>
      </w:rPr>
    </w:lvl>
  </w:abstractNum>
  <w:abstractNum w:abstractNumId="3">
    <w:nsid w:val="0248C179"/>
    <w:multiLevelType w:val="multilevel"/>
    <w:tmpl w:val="0248C179"/>
    <w:lvl w:ilvl="0" w:tentative="0">
      <w:start w:val="1"/>
      <w:numFmt w:val="decimal"/>
      <w:lvlText w:val="（%1）"/>
      <w:lvlJc w:val="left"/>
      <w:pPr>
        <w:ind w:left="111" w:hanging="802"/>
        <w:jc w:val="left"/>
      </w:pPr>
      <w:rPr>
        <w:rFonts w:hint="default" w:ascii="宋体" w:hAnsi="宋体" w:eastAsia="宋体" w:cs="宋体"/>
        <w:b w:val="0"/>
        <w:bCs w:val="0"/>
        <w:i w:val="0"/>
        <w:iCs w:val="0"/>
        <w:spacing w:val="-2"/>
        <w:w w:val="99"/>
        <w:sz w:val="30"/>
        <w:szCs w:val="30"/>
        <w:lang w:val="en-US" w:eastAsia="zh-CN" w:bidi="ar-SA"/>
      </w:rPr>
    </w:lvl>
    <w:lvl w:ilvl="1" w:tentative="0">
      <w:start w:val="0"/>
      <w:numFmt w:val="bullet"/>
      <w:lvlText w:val="•"/>
      <w:lvlJc w:val="left"/>
      <w:pPr>
        <w:ind w:left="1030" w:hanging="802"/>
      </w:pPr>
      <w:rPr>
        <w:rFonts w:hint="default"/>
        <w:lang w:val="en-US" w:eastAsia="zh-CN" w:bidi="ar-SA"/>
      </w:rPr>
    </w:lvl>
    <w:lvl w:ilvl="2" w:tentative="0">
      <w:start w:val="0"/>
      <w:numFmt w:val="bullet"/>
      <w:lvlText w:val="•"/>
      <w:lvlJc w:val="left"/>
      <w:pPr>
        <w:ind w:left="1941" w:hanging="802"/>
      </w:pPr>
      <w:rPr>
        <w:rFonts w:hint="default"/>
        <w:lang w:val="en-US" w:eastAsia="zh-CN" w:bidi="ar-SA"/>
      </w:rPr>
    </w:lvl>
    <w:lvl w:ilvl="3" w:tentative="0">
      <w:start w:val="0"/>
      <w:numFmt w:val="bullet"/>
      <w:lvlText w:val="•"/>
      <w:lvlJc w:val="left"/>
      <w:pPr>
        <w:ind w:left="2851" w:hanging="802"/>
      </w:pPr>
      <w:rPr>
        <w:rFonts w:hint="default"/>
        <w:lang w:val="en-US" w:eastAsia="zh-CN" w:bidi="ar-SA"/>
      </w:rPr>
    </w:lvl>
    <w:lvl w:ilvl="4" w:tentative="0">
      <w:start w:val="0"/>
      <w:numFmt w:val="bullet"/>
      <w:lvlText w:val="•"/>
      <w:lvlJc w:val="left"/>
      <w:pPr>
        <w:ind w:left="3762" w:hanging="802"/>
      </w:pPr>
      <w:rPr>
        <w:rFonts w:hint="default"/>
        <w:lang w:val="en-US" w:eastAsia="zh-CN" w:bidi="ar-SA"/>
      </w:rPr>
    </w:lvl>
    <w:lvl w:ilvl="5" w:tentative="0">
      <w:start w:val="0"/>
      <w:numFmt w:val="bullet"/>
      <w:lvlText w:val="•"/>
      <w:lvlJc w:val="left"/>
      <w:pPr>
        <w:ind w:left="4673" w:hanging="802"/>
      </w:pPr>
      <w:rPr>
        <w:rFonts w:hint="default"/>
        <w:lang w:val="en-US" w:eastAsia="zh-CN" w:bidi="ar-SA"/>
      </w:rPr>
    </w:lvl>
    <w:lvl w:ilvl="6" w:tentative="0">
      <w:start w:val="0"/>
      <w:numFmt w:val="bullet"/>
      <w:lvlText w:val="•"/>
      <w:lvlJc w:val="left"/>
      <w:pPr>
        <w:ind w:left="5583" w:hanging="802"/>
      </w:pPr>
      <w:rPr>
        <w:rFonts w:hint="default"/>
        <w:lang w:val="en-US" w:eastAsia="zh-CN" w:bidi="ar-SA"/>
      </w:rPr>
    </w:lvl>
    <w:lvl w:ilvl="7" w:tentative="0">
      <w:start w:val="0"/>
      <w:numFmt w:val="bullet"/>
      <w:lvlText w:val="•"/>
      <w:lvlJc w:val="left"/>
      <w:pPr>
        <w:ind w:left="6494" w:hanging="802"/>
      </w:pPr>
      <w:rPr>
        <w:rFonts w:hint="default"/>
        <w:lang w:val="en-US" w:eastAsia="zh-CN" w:bidi="ar-SA"/>
      </w:rPr>
    </w:lvl>
    <w:lvl w:ilvl="8" w:tentative="0">
      <w:start w:val="0"/>
      <w:numFmt w:val="bullet"/>
      <w:lvlText w:val="•"/>
      <w:lvlJc w:val="left"/>
      <w:pPr>
        <w:ind w:left="7405" w:hanging="802"/>
      </w:pPr>
      <w:rPr>
        <w:rFonts w:hint="default"/>
        <w:lang w:val="en-US" w:eastAsia="zh-CN" w:bidi="ar-SA"/>
      </w:rPr>
    </w:lvl>
  </w:abstractNum>
  <w:abstractNum w:abstractNumId="4">
    <w:nsid w:val="03D62ECE"/>
    <w:multiLevelType w:val="multilevel"/>
    <w:tmpl w:val="03D62ECE"/>
    <w:lvl w:ilvl="0" w:tentative="0">
      <w:start w:val="1"/>
      <w:numFmt w:val="decimal"/>
      <w:lvlText w:val="%1."/>
      <w:lvlJc w:val="left"/>
      <w:pPr>
        <w:ind w:left="1233" w:hanging="481"/>
        <w:jc w:val="left"/>
      </w:pPr>
      <w:rPr>
        <w:rFonts w:hint="default" w:ascii="宋体" w:hAnsi="宋体" w:eastAsia="宋体" w:cs="宋体"/>
        <w:b w:val="0"/>
        <w:bCs w:val="0"/>
        <w:i w:val="0"/>
        <w:iCs w:val="0"/>
        <w:spacing w:val="0"/>
        <w:w w:val="70"/>
        <w:sz w:val="30"/>
        <w:szCs w:val="30"/>
        <w:lang w:val="en-US" w:eastAsia="zh-CN" w:bidi="ar-SA"/>
      </w:rPr>
    </w:lvl>
    <w:lvl w:ilvl="1" w:tentative="0">
      <w:start w:val="0"/>
      <w:numFmt w:val="bullet"/>
      <w:lvlText w:val="•"/>
      <w:lvlJc w:val="left"/>
      <w:pPr>
        <w:ind w:left="2038" w:hanging="481"/>
      </w:pPr>
      <w:rPr>
        <w:rFonts w:hint="default"/>
        <w:lang w:val="en-US" w:eastAsia="zh-CN" w:bidi="ar-SA"/>
      </w:rPr>
    </w:lvl>
    <w:lvl w:ilvl="2" w:tentative="0">
      <w:start w:val="0"/>
      <w:numFmt w:val="bullet"/>
      <w:lvlText w:val="•"/>
      <w:lvlJc w:val="left"/>
      <w:pPr>
        <w:ind w:left="2837" w:hanging="481"/>
      </w:pPr>
      <w:rPr>
        <w:rFonts w:hint="default"/>
        <w:lang w:val="en-US" w:eastAsia="zh-CN" w:bidi="ar-SA"/>
      </w:rPr>
    </w:lvl>
    <w:lvl w:ilvl="3" w:tentative="0">
      <w:start w:val="0"/>
      <w:numFmt w:val="bullet"/>
      <w:lvlText w:val="•"/>
      <w:lvlJc w:val="left"/>
      <w:pPr>
        <w:ind w:left="3635" w:hanging="481"/>
      </w:pPr>
      <w:rPr>
        <w:rFonts w:hint="default"/>
        <w:lang w:val="en-US" w:eastAsia="zh-CN" w:bidi="ar-SA"/>
      </w:rPr>
    </w:lvl>
    <w:lvl w:ilvl="4" w:tentative="0">
      <w:start w:val="0"/>
      <w:numFmt w:val="bullet"/>
      <w:lvlText w:val="•"/>
      <w:lvlJc w:val="left"/>
      <w:pPr>
        <w:ind w:left="4434" w:hanging="481"/>
      </w:pPr>
      <w:rPr>
        <w:rFonts w:hint="default"/>
        <w:lang w:val="en-US" w:eastAsia="zh-CN" w:bidi="ar-SA"/>
      </w:rPr>
    </w:lvl>
    <w:lvl w:ilvl="5" w:tentative="0">
      <w:start w:val="0"/>
      <w:numFmt w:val="bullet"/>
      <w:lvlText w:val="•"/>
      <w:lvlJc w:val="left"/>
      <w:pPr>
        <w:ind w:left="5233" w:hanging="481"/>
      </w:pPr>
      <w:rPr>
        <w:rFonts w:hint="default"/>
        <w:lang w:val="en-US" w:eastAsia="zh-CN" w:bidi="ar-SA"/>
      </w:rPr>
    </w:lvl>
    <w:lvl w:ilvl="6" w:tentative="0">
      <w:start w:val="0"/>
      <w:numFmt w:val="bullet"/>
      <w:lvlText w:val="•"/>
      <w:lvlJc w:val="left"/>
      <w:pPr>
        <w:ind w:left="6031" w:hanging="481"/>
      </w:pPr>
      <w:rPr>
        <w:rFonts w:hint="default"/>
        <w:lang w:val="en-US" w:eastAsia="zh-CN" w:bidi="ar-SA"/>
      </w:rPr>
    </w:lvl>
    <w:lvl w:ilvl="7" w:tentative="0">
      <w:start w:val="0"/>
      <w:numFmt w:val="bullet"/>
      <w:lvlText w:val="•"/>
      <w:lvlJc w:val="left"/>
      <w:pPr>
        <w:ind w:left="6830" w:hanging="481"/>
      </w:pPr>
      <w:rPr>
        <w:rFonts w:hint="default"/>
        <w:lang w:val="en-US" w:eastAsia="zh-CN" w:bidi="ar-SA"/>
      </w:rPr>
    </w:lvl>
    <w:lvl w:ilvl="8" w:tentative="0">
      <w:start w:val="0"/>
      <w:numFmt w:val="bullet"/>
      <w:lvlText w:val="•"/>
      <w:lvlJc w:val="left"/>
      <w:pPr>
        <w:ind w:left="7629" w:hanging="481"/>
      </w:pPr>
      <w:rPr>
        <w:rFonts w:hint="default"/>
        <w:lang w:val="en-US" w:eastAsia="zh-CN" w:bidi="ar-SA"/>
      </w:rPr>
    </w:lvl>
  </w:abstractNum>
  <w:abstractNum w:abstractNumId="5">
    <w:nsid w:val="25B654F3"/>
    <w:multiLevelType w:val="multilevel"/>
    <w:tmpl w:val="25B654F3"/>
    <w:lvl w:ilvl="0" w:tentative="0">
      <w:start w:val="1"/>
      <w:numFmt w:val="decimal"/>
      <w:lvlText w:val="（%1）"/>
      <w:lvlJc w:val="left"/>
      <w:pPr>
        <w:ind w:left="111" w:hanging="802"/>
        <w:jc w:val="left"/>
      </w:pPr>
      <w:rPr>
        <w:rFonts w:hint="default" w:ascii="宋体" w:hAnsi="宋体" w:eastAsia="宋体" w:cs="宋体"/>
        <w:b w:val="0"/>
        <w:bCs w:val="0"/>
        <w:i w:val="0"/>
        <w:iCs w:val="0"/>
        <w:spacing w:val="-2"/>
        <w:w w:val="91"/>
        <w:sz w:val="30"/>
        <w:szCs w:val="30"/>
        <w:lang w:val="en-US" w:eastAsia="zh-CN" w:bidi="ar-SA"/>
      </w:rPr>
    </w:lvl>
    <w:lvl w:ilvl="1" w:tentative="0">
      <w:start w:val="0"/>
      <w:numFmt w:val="bullet"/>
      <w:lvlText w:val="•"/>
      <w:lvlJc w:val="left"/>
      <w:pPr>
        <w:ind w:left="1030" w:hanging="802"/>
      </w:pPr>
      <w:rPr>
        <w:rFonts w:hint="default"/>
        <w:lang w:val="en-US" w:eastAsia="zh-CN" w:bidi="ar-SA"/>
      </w:rPr>
    </w:lvl>
    <w:lvl w:ilvl="2" w:tentative="0">
      <w:start w:val="0"/>
      <w:numFmt w:val="bullet"/>
      <w:lvlText w:val="•"/>
      <w:lvlJc w:val="left"/>
      <w:pPr>
        <w:ind w:left="1941" w:hanging="802"/>
      </w:pPr>
      <w:rPr>
        <w:rFonts w:hint="default"/>
        <w:lang w:val="en-US" w:eastAsia="zh-CN" w:bidi="ar-SA"/>
      </w:rPr>
    </w:lvl>
    <w:lvl w:ilvl="3" w:tentative="0">
      <w:start w:val="0"/>
      <w:numFmt w:val="bullet"/>
      <w:lvlText w:val="•"/>
      <w:lvlJc w:val="left"/>
      <w:pPr>
        <w:ind w:left="2851" w:hanging="802"/>
      </w:pPr>
      <w:rPr>
        <w:rFonts w:hint="default"/>
        <w:lang w:val="en-US" w:eastAsia="zh-CN" w:bidi="ar-SA"/>
      </w:rPr>
    </w:lvl>
    <w:lvl w:ilvl="4" w:tentative="0">
      <w:start w:val="0"/>
      <w:numFmt w:val="bullet"/>
      <w:lvlText w:val="•"/>
      <w:lvlJc w:val="left"/>
      <w:pPr>
        <w:ind w:left="3762" w:hanging="802"/>
      </w:pPr>
      <w:rPr>
        <w:rFonts w:hint="default"/>
        <w:lang w:val="en-US" w:eastAsia="zh-CN" w:bidi="ar-SA"/>
      </w:rPr>
    </w:lvl>
    <w:lvl w:ilvl="5" w:tentative="0">
      <w:start w:val="0"/>
      <w:numFmt w:val="bullet"/>
      <w:lvlText w:val="•"/>
      <w:lvlJc w:val="left"/>
      <w:pPr>
        <w:ind w:left="4673" w:hanging="802"/>
      </w:pPr>
      <w:rPr>
        <w:rFonts w:hint="default"/>
        <w:lang w:val="en-US" w:eastAsia="zh-CN" w:bidi="ar-SA"/>
      </w:rPr>
    </w:lvl>
    <w:lvl w:ilvl="6" w:tentative="0">
      <w:start w:val="0"/>
      <w:numFmt w:val="bullet"/>
      <w:lvlText w:val="•"/>
      <w:lvlJc w:val="left"/>
      <w:pPr>
        <w:ind w:left="5583" w:hanging="802"/>
      </w:pPr>
      <w:rPr>
        <w:rFonts w:hint="default"/>
        <w:lang w:val="en-US" w:eastAsia="zh-CN" w:bidi="ar-SA"/>
      </w:rPr>
    </w:lvl>
    <w:lvl w:ilvl="7" w:tentative="0">
      <w:start w:val="0"/>
      <w:numFmt w:val="bullet"/>
      <w:lvlText w:val="•"/>
      <w:lvlJc w:val="left"/>
      <w:pPr>
        <w:ind w:left="6494" w:hanging="802"/>
      </w:pPr>
      <w:rPr>
        <w:rFonts w:hint="default"/>
        <w:lang w:val="en-US" w:eastAsia="zh-CN" w:bidi="ar-SA"/>
      </w:rPr>
    </w:lvl>
    <w:lvl w:ilvl="8" w:tentative="0">
      <w:start w:val="0"/>
      <w:numFmt w:val="bullet"/>
      <w:lvlText w:val="•"/>
      <w:lvlJc w:val="left"/>
      <w:pPr>
        <w:ind w:left="7405" w:hanging="802"/>
      </w:pPr>
      <w:rPr>
        <w:rFonts w:hint="default"/>
        <w:lang w:val="en-US" w:eastAsia="zh-CN" w:bidi="ar-SA"/>
      </w:rPr>
    </w:lvl>
  </w:abstractNum>
  <w:abstractNum w:abstractNumId="6">
    <w:nsid w:val="2A8F537B"/>
    <w:multiLevelType w:val="multilevel"/>
    <w:tmpl w:val="2A8F537B"/>
    <w:lvl w:ilvl="0" w:tentative="0">
      <w:start w:val="1"/>
      <w:numFmt w:val="decimal"/>
      <w:lvlText w:val="%1."/>
      <w:lvlJc w:val="left"/>
      <w:pPr>
        <w:ind w:left="111" w:hanging="322"/>
        <w:jc w:val="left"/>
      </w:pPr>
      <w:rPr>
        <w:rFonts w:hint="default" w:ascii="宋体" w:hAnsi="宋体" w:eastAsia="宋体" w:cs="宋体"/>
        <w:b w:val="0"/>
        <w:bCs w:val="0"/>
        <w:i w:val="0"/>
        <w:iCs w:val="0"/>
        <w:spacing w:val="1"/>
        <w:w w:val="98"/>
        <w:sz w:val="30"/>
        <w:szCs w:val="30"/>
        <w:lang w:val="en-US" w:eastAsia="zh-CN" w:bidi="ar-SA"/>
      </w:rPr>
    </w:lvl>
    <w:lvl w:ilvl="1" w:tentative="0">
      <w:start w:val="0"/>
      <w:numFmt w:val="bullet"/>
      <w:lvlText w:val="•"/>
      <w:lvlJc w:val="left"/>
      <w:pPr>
        <w:ind w:left="1030" w:hanging="322"/>
      </w:pPr>
      <w:rPr>
        <w:rFonts w:hint="default"/>
        <w:lang w:val="en-US" w:eastAsia="zh-CN" w:bidi="ar-SA"/>
      </w:rPr>
    </w:lvl>
    <w:lvl w:ilvl="2" w:tentative="0">
      <w:start w:val="0"/>
      <w:numFmt w:val="bullet"/>
      <w:lvlText w:val="•"/>
      <w:lvlJc w:val="left"/>
      <w:pPr>
        <w:ind w:left="1941" w:hanging="322"/>
      </w:pPr>
      <w:rPr>
        <w:rFonts w:hint="default"/>
        <w:lang w:val="en-US" w:eastAsia="zh-CN" w:bidi="ar-SA"/>
      </w:rPr>
    </w:lvl>
    <w:lvl w:ilvl="3" w:tentative="0">
      <w:start w:val="0"/>
      <w:numFmt w:val="bullet"/>
      <w:lvlText w:val="•"/>
      <w:lvlJc w:val="left"/>
      <w:pPr>
        <w:ind w:left="2851" w:hanging="322"/>
      </w:pPr>
      <w:rPr>
        <w:rFonts w:hint="default"/>
        <w:lang w:val="en-US" w:eastAsia="zh-CN" w:bidi="ar-SA"/>
      </w:rPr>
    </w:lvl>
    <w:lvl w:ilvl="4" w:tentative="0">
      <w:start w:val="0"/>
      <w:numFmt w:val="bullet"/>
      <w:lvlText w:val="•"/>
      <w:lvlJc w:val="left"/>
      <w:pPr>
        <w:ind w:left="3762" w:hanging="322"/>
      </w:pPr>
      <w:rPr>
        <w:rFonts w:hint="default"/>
        <w:lang w:val="en-US" w:eastAsia="zh-CN" w:bidi="ar-SA"/>
      </w:rPr>
    </w:lvl>
    <w:lvl w:ilvl="5" w:tentative="0">
      <w:start w:val="0"/>
      <w:numFmt w:val="bullet"/>
      <w:lvlText w:val="•"/>
      <w:lvlJc w:val="left"/>
      <w:pPr>
        <w:ind w:left="4673" w:hanging="322"/>
      </w:pPr>
      <w:rPr>
        <w:rFonts w:hint="default"/>
        <w:lang w:val="en-US" w:eastAsia="zh-CN" w:bidi="ar-SA"/>
      </w:rPr>
    </w:lvl>
    <w:lvl w:ilvl="6" w:tentative="0">
      <w:start w:val="0"/>
      <w:numFmt w:val="bullet"/>
      <w:lvlText w:val="•"/>
      <w:lvlJc w:val="left"/>
      <w:pPr>
        <w:ind w:left="5583" w:hanging="322"/>
      </w:pPr>
      <w:rPr>
        <w:rFonts w:hint="default"/>
        <w:lang w:val="en-US" w:eastAsia="zh-CN" w:bidi="ar-SA"/>
      </w:rPr>
    </w:lvl>
    <w:lvl w:ilvl="7" w:tentative="0">
      <w:start w:val="0"/>
      <w:numFmt w:val="bullet"/>
      <w:lvlText w:val="•"/>
      <w:lvlJc w:val="left"/>
      <w:pPr>
        <w:ind w:left="6494" w:hanging="322"/>
      </w:pPr>
      <w:rPr>
        <w:rFonts w:hint="default"/>
        <w:lang w:val="en-US" w:eastAsia="zh-CN" w:bidi="ar-SA"/>
      </w:rPr>
    </w:lvl>
    <w:lvl w:ilvl="8" w:tentative="0">
      <w:start w:val="0"/>
      <w:numFmt w:val="bullet"/>
      <w:lvlText w:val="•"/>
      <w:lvlJc w:val="left"/>
      <w:pPr>
        <w:ind w:left="7405" w:hanging="322"/>
      </w:pPr>
      <w:rPr>
        <w:rFonts w:hint="default"/>
        <w:lang w:val="en-US" w:eastAsia="zh-CN" w:bidi="ar-SA"/>
      </w:rPr>
    </w:lvl>
  </w:abstractNum>
  <w:abstractNum w:abstractNumId="7">
    <w:nsid w:val="4D4DC07F"/>
    <w:multiLevelType w:val="multilevel"/>
    <w:tmpl w:val="4D4DC07F"/>
    <w:lvl w:ilvl="0" w:tentative="0">
      <w:start w:val="1"/>
      <w:numFmt w:val="decimal"/>
      <w:lvlText w:val="（%1）"/>
      <w:lvlJc w:val="left"/>
      <w:pPr>
        <w:ind w:left="111" w:hanging="802"/>
        <w:jc w:val="left"/>
      </w:pPr>
      <w:rPr>
        <w:rFonts w:hint="default" w:ascii="宋体" w:hAnsi="宋体" w:eastAsia="宋体" w:cs="宋体"/>
        <w:b w:val="0"/>
        <w:bCs w:val="0"/>
        <w:i w:val="0"/>
        <w:iCs w:val="0"/>
        <w:spacing w:val="-2"/>
        <w:w w:val="99"/>
        <w:sz w:val="30"/>
        <w:szCs w:val="30"/>
        <w:lang w:val="en-US" w:eastAsia="zh-CN" w:bidi="ar-SA"/>
      </w:rPr>
    </w:lvl>
    <w:lvl w:ilvl="1" w:tentative="0">
      <w:start w:val="0"/>
      <w:numFmt w:val="bullet"/>
      <w:lvlText w:val="•"/>
      <w:lvlJc w:val="left"/>
      <w:pPr>
        <w:ind w:left="1030" w:hanging="802"/>
      </w:pPr>
      <w:rPr>
        <w:rFonts w:hint="default"/>
        <w:lang w:val="en-US" w:eastAsia="zh-CN" w:bidi="ar-SA"/>
      </w:rPr>
    </w:lvl>
    <w:lvl w:ilvl="2" w:tentative="0">
      <w:start w:val="0"/>
      <w:numFmt w:val="bullet"/>
      <w:lvlText w:val="•"/>
      <w:lvlJc w:val="left"/>
      <w:pPr>
        <w:ind w:left="1941" w:hanging="802"/>
      </w:pPr>
      <w:rPr>
        <w:rFonts w:hint="default"/>
        <w:lang w:val="en-US" w:eastAsia="zh-CN" w:bidi="ar-SA"/>
      </w:rPr>
    </w:lvl>
    <w:lvl w:ilvl="3" w:tentative="0">
      <w:start w:val="0"/>
      <w:numFmt w:val="bullet"/>
      <w:lvlText w:val="•"/>
      <w:lvlJc w:val="left"/>
      <w:pPr>
        <w:ind w:left="2851" w:hanging="802"/>
      </w:pPr>
      <w:rPr>
        <w:rFonts w:hint="default"/>
        <w:lang w:val="en-US" w:eastAsia="zh-CN" w:bidi="ar-SA"/>
      </w:rPr>
    </w:lvl>
    <w:lvl w:ilvl="4" w:tentative="0">
      <w:start w:val="0"/>
      <w:numFmt w:val="bullet"/>
      <w:lvlText w:val="•"/>
      <w:lvlJc w:val="left"/>
      <w:pPr>
        <w:ind w:left="3762" w:hanging="802"/>
      </w:pPr>
      <w:rPr>
        <w:rFonts w:hint="default"/>
        <w:lang w:val="en-US" w:eastAsia="zh-CN" w:bidi="ar-SA"/>
      </w:rPr>
    </w:lvl>
    <w:lvl w:ilvl="5" w:tentative="0">
      <w:start w:val="0"/>
      <w:numFmt w:val="bullet"/>
      <w:lvlText w:val="•"/>
      <w:lvlJc w:val="left"/>
      <w:pPr>
        <w:ind w:left="4673" w:hanging="802"/>
      </w:pPr>
      <w:rPr>
        <w:rFonts w:hint="default"/>
        <w:lang w:val="en-US" w:eastAsia="zh-CN" w:bidi="ar-SA"/>
      </w:rPr>
    </w:lvl>
    <w:lvl w:ilvl="6" w:tentative="0">
      <w:start w:val="0"/>
      <w:numFmt w:val="bullet"/>
      <w:lvlText w:val="•"/>
      <w:lvlJc w:val="left"/>
      <w:pPr>
        <w:ind w:left="5583" w:hanging="802"/>
      </w:pPr>
      <w:rPr>
        <w:rFonts w:hint="default"/>
        <w:lang w:val="en-US" w:eastAsia="zh-CN" w:bidi="ar-SA"/>
      </w:rPr>
    </w:lvl>
    <w:lvl w:ilvl="7" w:tentative="0">
      <w:start w:val="0"/>
      <w:numFmt w:val="bullet"/>
      <w:lvlText w:val="•"/>
      <w:lvlJc w:val="left"/>
      <w:pPr>
        <w:ind w:left="6494" w:hanging="802"/>
      </w:pPr>
      <w:rPr>
        <w:rFonts w:hint="default"/>
        <w:lang w:val="en-US" w:eastAsia="zh-CN" w:bidi="ar-SA"/>
      </w:rPr>
    </w:lvl>
    <w:lvl w:ilvl="8" w:tentative="0">
      <w:start w:val="0"/>
      <w:numFmt w:val="bullet"/>
      <w:lvlText w:val="•"/>
      <w:lvlJc w:val="left"/>
      <w:pPr>
        <w:ind w:left="7405" w:hanging="802"/>
      </w:pPr>
      <w:rPr>
        <w:rFonts w:hint="default"/>
        <w:lang w:val="en-US" w:eastAsia="zh-CN" w:bidi="ar-SA"/>
      </w:rPr>
    </w:lvl>
  </w:abstractNum>
  <w:abstractNum w:abstractNumId="8">
    <w:nsid w:val="5A241D34"/>
    <w:multiLevelType w:val="multilevel"/>
    <w:tmpl w:val="5A241D34"/>
    <w:lvl w:ilvl="0" w:tentative="0">
      <w:start w:val="1"/>
      <w:numFmt w:val="decimal"/>
      <w:lvlText w:val="%1."/>
      <w:lvlJc w:val="left"/>
      <w:pPr>
        <w:ind w:left="111" w:hanging="322"/>
        <w:jc w:val="left"/>
      </w:pPr>
      <w:rPr>
        <w:rFonts w:hint="default" w:ascii="宋体" w:hAnsi="宋体" w:eastAsia="宋体" w:cs="宋体"/>
        <w:b w:val="0"/>
        <w:bCs w:val="0"/>
        <w:i w:val="0"/>
        <w:iCs w:val="0"/>
        <w:spacing w:val="1"/>
        <w:w w:val="98"/>
        <w:sz w:val="30"/>
        <w:szCs w:val="30"/>
        <w:lang w:val="en-US" w:eastAsia="zh-CN" w:bidi="ar-SA"/>
      </w:rPr>
    </w:lvl>
    <w:lvl w:ilvl="1" w:tentative="0">
      <w:start w:val="0"/>
      <w:numFmt w:val="bullet"/>
      <w:lvlText w:val="•"/>
      <w:lvlJc w:val="left"/>
      <w:pPr>
        <w:ind w:left="1030" w:hanging="322"/>
      </w:pPr>
      <w:rPr>
        <w:rFonts w:hint="default"/>
        <w:lang w:val="en-US" w:eastAsia="zh-CN" w:bidi="ar-SA"/>
      </w:rPr>
    </w:lvl>
    <w:lvl w:ilvl="2" w:tentative="0">
      <w:start w:val="0"/>
      <w:numFmt w:val="bullet"/>
      <w:lvlText w:val="•"/>
      <w:lvlJc w:val="left"/>
      <w:pPr>
        <w:ind w:left="1941" w:hanging="322"/>
      </w:pPr>
      <w:rPr>
        <w:rFonts w:hint="default"/>
        <w:lang w:val="en-US" w:eastAsia="zh-CN" w:bidi="ar-SA"/>
      </w:rPr>
    </w:lvl>
    <w:lvl w:ilvl="3" w:tentative="0">
      <w:start w:val="0"/>
      <w:numFmt w:val="bullet"/>
      <w:lvlText w:val="•"/>
      <w:lvlJc w:val="left"/>
      <w:pPr>
        <w:ind w:left="2851" w:hanging="322"/>
      </w:pPr>
      <w:rPr>
        <w:rFonts w:hint="default"/>
        <w:lang w:val="en-US" w:eastAsia="zh-CN" w:bidi="ar-SA"/>
      </w:rPr>
    </w:lvl>
    <w:lvl w:ilvl="4" w:tentative="0">
      <w:start w:val="0"/>
      <w:numFmt w:val="bullet"/>
      <w:lvlText w:val="•"/>
      <w:lvlJc w:val="left"/>
      <w:pPr>
        <w:ind w:left="3762" w:hanging="322"/>
      </w:pPr>
      <w:rPr>
        <w:rFonts w:hint="default"/>
        <w:lang w:val="en-US" w:eastAsia="zh-CN" w:bidi="ar-SA"/>
      </w:rPr>
    </w:lvl>
    <w:lvl w:ilvl="5" w:tentative="0">
      <w:start w:val="0"/>
      <w:numFmt w:val="bullet"/>
      <w:lvlText w:val="•"/>
      <w:lvlJc w:val="left"/>
      <w:pPr>
        <w:ind w:left="4673" w:hanging="322"/>
      </w:pPr>
      <w:rPr>
        <w:rFonts w:hint="default"/>
        <w:lang w:val="en-US" w:eastAsia="zh-CN" w:bidi="ar-SA"/>
      </w:rPr>
    </w:lvl>
    <w:lvl w:ilvl="6" w:tentative="0">
      <w:start w:val="0"/>
      <w:numFmt w:val="bullet"/>
      <w:lvlText w:val="•"/>
      <w:lvlJc w:val="left"/>
      <w:pPr>
        <w:ind w:left="5583" w:hanging="322"/>
      </w:pPr>
      <w:rPr>
        <w:rFonts w:hint="default"/>
        <w:lang w:val="en-US" w:eastAsia="zh-CN" w:bidi="ar-SA"/>
      </w:rPr>
    </w:lvl>
    <w:lvl w:ilvl="7" w:tentative="0">
      <w:start w:val="0"/>
      <w:numFmt w:val="bullet"/>
      <w:lvlText w:val="•"/>
      <w:lvlJc w:val="left"/>
      <w:pPr>
        <w:ind w:left="6494" w:hanging="322"/>
      </w:pPr>
      <w:rPr>
        <w:rFonts w:hint="default"/>
        <w:lang w:val="en-US" w:eastAsia="zh-CN" w:bidi="ar-SA"/>
      </w:rPr>
    </w:lvl>
    <w:lvl w:ilvl="8" w:tentative="0">
      <w:start w:val="0"/>
      <w:numFmt w:val="bullet"/>
      <w:lvlText w:val="•"/>
      <w:lvlJc w:val="left"/>
      <w:pPr>
        <w:ind w:left="7405" w:hanging="322"/>
      </w:pPr>
      <w:rPr>
        <w:rFonts w:hint="default"/>
        <w:lang w:val="en-US" w:eastAsia="zh-CN" w:bidi="ar-SA"/>
      </w:rPr>
    </w:lvl>
  </w:abstractNum>
  <w:abstractNum w:abstractNumId="9">
    <w:nsid w:val="5CE3F53A"/>
    <w:multiLevelType w:val="singleLevel"/>
    <w:tmpl w:val="5CE3F53A"/>
    <w:lvl w:ilvl="0" w:tentative="0">
      <w:start w:val="3"/>
      <w:numFmt w:val="chineseCounting"/>
      <w:lvlText w:val="第%1部分"/>
      <w:lvlJc w:val="left"/>
      <w:rPr>
        <w:rFonts w:hint="eastAsia"/>
      </w:rPr>
    </w:lvl>
  </w:abstractNum>
  <w:abstractNum w:abstractNumId="10">
    <w:nsid w:val="72183CF9"/>
    <w:multiLevelType w:val="multilevel"/>
    <w:tmpl w:val="72183CF9"/>
    <w:lvl w:ilvl="0" w:tentative="0">
      <w:start w:val="1"/>
      <w:numFmt w:val="decimal"/>
      <w:lvlText w:val="%1."/>
      <w:lvlJc w:val="left"/>
      <w:pPr>
        <w:ind w:left="1233" w:hanging="481"/>
        <w:jc w:val="left"/>
      </w:pPr>
      <w:rPr>
        <w:rFonts w:hint="default" w:ascii="宋体" w:hAnsi="宋体" w:eastAsia="宋体" w:cs="宋体"/>
        <w:b w:val="0"/>
        <w:bCs w:val="0"/>
        <w:i w:val="0"/>
        <w:iCs w:val="0"/>
        <w:spacing w:val="0"/>
        <w:w w:val="99"/>
        <w:sz w:val="30"/>
        <w:szCs w:val="30"/>
        <w:lang w:val="en-US" w:eastAsia="zh-CN" w:bidi="ar-SA"/>
      </w:rPr>
    </w:lvl>
    <w:lvl w:ilvl="1" w:tentative="0">
      <w:start w:val="0"/>
      <w:numFmt w:val="bullet"/>
      <w:lvlText w:val="•"/>
      <w:lvlJc w:val="left"/>
      <w:pPr>
        <w:ind w:left="2038" w:hanging="481"/>
      </w:pPr>
      <w:rPr>
        <w:rFonts w:hint="default"/>
        <w:lang w:val="en-US" w:eastAsia="zh-CN" w:bidi="ar-SA"/>
      </w:rPr>
    </w:lvl>
    <w:lvl w:ilvl="2" w:tentative="0">
      <w:start w:val="0"/>
      <w:numFmt w:val="bullet"/>
      <w:lvlText w:val="•"/>
      <w:lvlJc w:val="left"/>
      <w:pPr>
        <w:ind w:left="2837" w:hanging="481"/>
      </w:pPr>
      <w:rPr>
        <w:rFonts w:hint="default"/>
        <w:lang w:val="en-US" w:eastAsia="zh-CN" w:bidi="ar-SA"/>
      </w:rPr>
    </w:lvl>
    <w:lvl w:ilvl="3" w:tentative="0">
      <w:start w:val="0"/>
      <w:numFmt w:val="bullet"/>
      <w:lvlText w:val="•"/>
      <w:lvlJc w:val="left"/>
      <w:pPr>
        <w:ind w:left="3635" w:hanging="481"/>
      </w:pPr>
      <w:rPr>
        <w:rFonts w:hint="default"/>
        <w:lang w:val="en-US" w:eastAsia="zh-CN" w:bidi="ar-SA"/>
      </w:rPr>
    </w:lvl>
    <w:lvl w:ilvl="4" w:tentative="0">
      <w:start w:val="0"/>
      <w:numFmt w:val="bullet"/>
      <w:lvlText w:val="•"/>
      <w:lvlJc w:val="left"/>
      <w:pPr>
        <w:ind w:left="4434" w:hanging="481"/>
      </w:pPr>
      <w:rPr>
        <w:rFonts w:hint="default"/>
        <w:lang w:val="en-US" w:eastAsia="zh-CN" w:bidi="ar-SA"/>
      </w:rPr>
    </w:lvl>
    <w:lvl w:ilvl="5" w:tentative="0">
      <w:start w:val="0"/>
      <w:numFmt w:val="bullet"/>
      <w:lvlText w:val="•"/>
      <w:lvlJc w:val="left"/>
      <w:pPr>
        <w:ind w:left="5233" w:hanging="481"/>
      </w:pPr>
      <w:rPr>
        <w:rFonts w:hint="default"/>
        <w:lang w:val="en-US" w:eastAsia="zh-CN" w:bidi="ar-SA"/>
      </w:rPr>
    </w:lvl>
    <w:lvl w:ilvl="6" w:tentative="0">
      <w:start w:val="0"/>
      <w:numFmt w:val="bullet"/>
      <w:lvlText w:val="•"/>
      <w:lvlJc w:val="left"/>
      <w:pPr>
        <w:ind w:left="6031" w:hanging="481"/>
      </w:pPr>
      <w:rPr>
        <w:rFonts w:hint="default"/>
        <w:lang w:val="en-US" w:eastAsia="zh-CN" w:bidi="ar-SA"/>
      </w:rPr>
    </w:lvl>
    <w:lvl w:ilvl="7" w:tentative="0">
      <w:start w:val="0"/>
      <w:numFmt w:val="bullet"/>
      <w:lvlText w:val="•"/>
      <w:lvlJc w:val="left"/>
      <w:pPr>
        <w:ind w:left="6830" w:hanging="481"/>
      </w:pPr>
      <w:rPr>
        <w:rFonts w:hint="default"/>
        <w:lang w:val="en-US" w:eastAsia="zh-CN" w:bidi="ar-SA"/>
      </w:rPr>
    </w:lvl>
    <w:lvl w:ilvl="8" w:tentative="0">
      <w:start w:val="0"/>
      <w:numFmt w:val="bullet"/>
      <w:lvlText w:val="•"/>
      <w:lvlJc w:val="left"/>
      <w:pPr>
        <w:ind w:left="7629" w:hanging="481"/>
      </w:pPr>
      <w:rPr>
        <w:rFonts w:hint="default"/>
        <w:lang w:val="en-US" w:eastAsia="zh-CN" w:bidi="ar-SA"/>
      </w:rPr>
    </w:lvl>
  </w:abstractNum>
  <w:abstractNum w:abstractNumId="11">
    <w:nsid w:val="7EC4E701"/>
    <w:multiLevelType w:val="singleLevel"/>
    <w:tmpl w:val="7EC4E701"/>
    <w:lvl w:ilvl="0" w:tentative="0">
      <w:start w:val="1"/>
      <w:numFmt w:val="chineseCounting"/>
      <w:suff w:val="space"/>
      <w:lvlText w:val="第%1部分"/>
      <w:lvlJc w:val="left"/>
      <w:rPr>
        <w:rFonts w:hint="eastAsia"/>
      </w:rPr>
    </w:lvl>
  </w:abstractNum>
  <w:num w:numId="1">
    <w:abstractNumId w:val="11"/>
  </w:num>
  <w:num w:numId="2">
    <w:abstractNumId w:val="2"/>
  </w:num>
  <w:num w:numId="3">
    <w:abstractNumId w:val="4"/>
  </w:num>
  <w:num w:numId="4">
    <w:abstractNumId w:val="5"/>
  </w:num>
  <w:num w:numId="5">
    <w:abstractNumId w:val="10"/>
  </w:num>
  <w:num w:numId="6">
    <w:abstractNumId w:val="3"/>
  </w:num>
  <w:num w:numId="7">
    <w:abstractNumId w:val="0"/>
  </w:num>
  <w:num w:numId="8">
    <w:abstractNumId w:val="6"/>
  </w:num>
  <w:num w:numId="9">
    <w:abstractNumId w:val="8"/>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B0C3839"/>
    <w:rsid w:val="1E073771"/>
    <w:rsid w:val="3640643F"/>
    <w:rsid w:val="50A26C74"/>
    <w:rsid w:val="598D0C58"/>
    <w:rsid w:val="607F5D2F"/>
    <w:rsid w:val="67EC27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4">
    <w:name w:val="heading 1"/>
    <w:basedOn w:val="1"/>
    <w:qFormat/>
    <w:uiPriority w:val="1"/>
    <w:pPr>
      <w:ind w:right="158"/>
      <w:jc w:val="center"/>
      <w:outlineLvl w:val="1"/>
    </w:pPr>
    <w:rPr>
      <w:rFonts w:ascii="宋体" w:hAnsi="宋体" w:eastAsia="宋体" w:cs="宋体"/>
      <w:sz w:val="36"/>
      <w:szCs w:val="36"/>
      <w:lang w:val="en-US" w:eastAsia="zh-CN" w:bidi="ar-SA"/>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5">
    <w:name w:val="Body Text"/>
    <w:basedOn w:val="1"/>
    <w:qFormat/>
    <w:uiPriority w:val="1"/>
    <w:pPr>
      <w:ind w:left="111"/>
    </w:pPr>
    <w:rPr>
      <w:rFonts w:ascii="宋体" w:hAnsi="宋体" w:eastAsia="宋体" w:cs="宋体"/>
      <w:sz w:val="32"/>
      <w:szCs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qFormat/>
    <w:uiPriority w:val="1"/>
    <w:pPr>
      <w:spacing w:before="37"/>
      <w:ind w:left="3213" w:right="1335" w:hanging="2036"/>
    </w:pPr>
    <w:rPr>
      <w:rFonts w:ascii="宋体" w:hAnsi="宋体" w:eastAsia="宋体" w:cs="宋体"/>
      <w:sz w:val="44"/>
      <w:szCs w:val="44"/>
      <w:lang w:val="en-US" w:eastAsia="zh-CN" w:bidi="ar-SA"/>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11" w:firstLine="640"/>
    </w:pPr>
    <w:rPr>
      <w:rFonts w:ascii="宋体" w:hAnsi="宋体" w:eastAsia="宋体" w:cs="宋体"/>
      <w:lang w:val="en-US" w:eastAsia="zh-CN" w:bidi="ar-SA"/>
    </w:rPr>
  </w:style>
  <w:style w:type="paragraph" w:customStyle="1" w:styleId="13">
    <w:name w:val="Table Paragraph"/>
    <w:basedOn w:val="1"/>
    <w:qFormat/>
    <w:uiPriority w:val="1"/>
    <w:pPr>
      <w:spacing w:before="104"/>
      <w:ind w:left="113" w:right="375"/>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收入预算占比情况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本年一般公共预算收入</c:v>
                </c:pt>
                <c:pt idx="1">
                  <c:v>上年结余结转</c:v>
                </c:pt>
              </c:strCache>
            </c:strRef>
          </c:cat>
          <c:val>
            <c:numRef>
              <c:extLst>
                <c:ext xmlns:c15="http://schemas.microsoft.com/office/drawing/2012/chart" uri="{02D57815-91ED-43cb-92C2-25804820EDAC}">
                  <c15:fullRef>
                    <c15:sqref>Sheet1!$B$2:$B$5</c15:sqref>
                  </c15:fullRef>
                </c:ext>
              </c:extLst>
              <c:f>Sheet1!$B$2:$B$3</c:f>
              <c:numCache>
                <c:formatCode>0.00%</c:formatCode>
                <c:ptCount val="2"/>
                <c:pt idx="0">
                  <c:v>0.9611</c:v>
                </c:pt>
                <c:pt idx="1">
                  <c:v>0.0389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9954814-967c-475d-95db-d7331f3a09b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支出预算占比情况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基本支出</c:v>
                </c:pt>
                <c:pt idx="1">
                  <c:v>项目支出</c:v>
                </c:pt>
              </c:strCache>
            </c:strRef>
          </c:cat>
          <c:val>
            <c:numRef>
              <c:extLst>
                <c:ext xmlns:c15="http://schemas.microsoft.com/office/drawing/2012/chart" uri="{02D57815-91ED-43cb-92C2-25804820EDAC}">
                  <c15:fullRef>
                    <c15:sqref>Sheet1!$B$2:$B$5</c15:sqref>
                  </c15:fullRef>
                </c:ext>
              </c:extLst>
              <c:f>Sheet1!$B$2:$B$3</c:f>
              <c:numCache>
                <c:formatCode>0.00%</c:formatCode>
                <c:ptCount val="2"/>
                <c:pt idx="0">
                  <c:v>0.7807</c:v>
                </c:pt>
                <c:pt idx="1">
                  <c:v>0.2193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9954814-967c-475d-95db-d7331f3a09b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8718</Words>
  <Characters>9462</Characters>
  <TotalTime>15</TotalTime>
  <ScaleCrop>false</ScaleCrop>
  <LinksUpToDate>false</LinksUpToDate>
  <CharactersWithSpaces>9911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2026-02-07T01:34:00Z</dcterms:created>
  <dc:creator>Lenovo User</dc:creator>
  <cp:lastModifiedBy>Sia</cp:lastModifiedBy>
  <dcterms:modified xsi:type="dcterms:W3CDTF">2026-02-09T09:30:03Z</dcterms:modified>
  <dc:title>内蒙古自治区XX厅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2013</vt:lpwstr>
  </property>
  <property fmtid="{D5CDD505-2E9C-101B-9397-08002B2CF9AE}" pid="4" name="LastSaved">
    <vt:filetime>2026-02-07T00:00:00Z</vt:filetime>
  </property>
  <property fmtid="{D5CDD505-2E9C-101B-9397-08002B2CF9AE}" pid="5" name="Producer">
    <vt:lpwstr>Microsoft® Word 2013</vt:lpwstr>
  </property>
  <property fmtid="{D5CDD505-2E9C-101B-9397-08002B2CF9AE}" pid="6" name="KSOTemplateDocerSaveRecord">
    <vt:lpwstr>eyJoZGlkIjoiYjk5ODM0YmMxOWJiYWQyNDU4MGIzYWRmYTA0ZmI5NDciLCJ1c2VySWQiOiI4Njg1NTY5NDIifQ==</vt:lpwstr>
  </property>
  <property fmtid="{D5CDD505-2E9C-101B-9397-08002B2CF9AE}" pid="7" name="KSOProductBuildVer">
    <vt:lpwstr>2052-12.1.0.24657</vt:lpwstr>
  </property>
  <property fmtid="{D5CDD505-2E9C-101B-9397-08002B2CF9AE}" pid="8" name="ICV">
    <vt:lpwstr>ECEE004D46134B87B52C7FBBCF6A1067_13</vt:lpwstr>
  </property>
</Properties>
</file>