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after="120"/>
        <w:jc w:val="center"/>
        <w:rPr>
          <w:rFonts w:ascii="宋体" w:hAnsi="宋体" w:cs="宋体"/>
          <w:bCs w:val="0"/>
          <w:sz w:val="40"/>
          <w:szCs w:val="48"/>
        </w:rPr>
      </w:pPr>
    </w:p>
    <w:p>
      <w:pPr>
        <w:tabs>
          <w:tab w:val="left" w:pos="1725"/>
          <w:tab w:val="center" w:pos="4195"/>
        </w:tabs>
        <w:snapToGrid w:val="0"/>
        <w:spacing w:line="360" w:lineRule="auto"/>
        <w:jc w:val="center"/>
        <w:textAlignment w:val="baseline"/>
        <w:rPr>
          <w:rFonts w:ascii="宋体" w:cs="宋体"/>
          <w:b/>
          <w:bCs/>
          <w:sz w:val="72"/>
          <w:szCs w:val="72"/>
        </w:rPr>
      </w:pPr>
    </w:p>
    <w:p>
      <w:pPr>
        <w:tabs>
          <w:tab w:val="left" w:pos="1725"/>
          <w:tab w:val="center" w:pos="4195"/>
        </w:tabs>
        <w:snapToGrid w:val="0"/>
        <w:spacing w:line="360" w:lineRule="auto"/>
        <w:jc w:val="center"/>
        <w:textAlignment w:val="baseline"/>
        <w:rPr>
          <w:rFonts w:ascii="宋体" w:cs="宋体"/>
          <w:b/>
          <w:bCs/>
          <w:sz w:val="72"/>
          <w:szCs w:val="72"/>
        </w:rPr>
      </w:pPr>
      <w:r>
        <w:rPr>
          <w:rFonts w:hint="eastAsia" w:ascii="宋体" w:cs="宋体"/>
          <w:b/>
          <w:bCs/>
          <w:sz w:val="72"/>
          <w:szCs w:val="72"/>
        </w:rPr>
        <w:t>竞争性磋商文件</w:t>
      </w:r>
    </w:p>
    <w:p>
      <w:pPr>
        <w:tabs>
          <w:tab w:val="left" w:pos="1725"/>
          <w:tab w:val="center" w:pos="4195"/>
        </w:tabs>
        <w:snapToGrid w:val="0"/>
        <w:spacing w:line="480" w:lineRule="auto"/>
        <w:jc w:val="center"/>
        <w:textAlignment w:val="baseline"/>
        <w:rPr>
          <w:rFonts w:ascii="宋体" w:cs="宋体"/>
          <w:b/>
          <w:bCs/>
          <w:kern w:val="0"/>
          <w:sz w:val="36"/>
          <w:szCs w:val="36"/>
        </w:rPr>
      </w:pPr>
    </w:p>
    <w:p>
      <w:pPr>
        <w:spacing w:line="360" w:lineRule="auto"/>
        <w:ind w:left="1960" w:leftChars="532" w:hanging="843" w:hangingChars="300"/>
        <w:outlineLvl w:val="0"/>
        <w:rPr>
          <w:rFonts w:hint="eastAsia" w:ascii="宋体" w:hAnsi="宋体" w:cs="宋体"/>
          <w:b/>
          <w:sz w:val="28"/>
          <w:szCs w:val="28"/>
          <w:lang w:val="en-US" w:eastAsia="zh-CN"/>
        </w:rPr>
      </w:pPr>
      <w:r>
        <w:rPr>
          <w:rFonts w:hint="eastAsia" w:ascii="宋体" w:hAnsi="宋体" w:cs="宋体"/>
          <w:b/>
          <w:sz w:val="28"/>
          <w:szCs w:val="28"/>
        </w:rPr>
        <w:t>项目名称：</w:t>
      </w:r>
      <w:r>
        <w:rPr>
          <w:rFonts w:hint="eastAsia" w:ascii="宋体" w:hAnsi="宋体" w:cs="宋体"/>
          <w:b/>
          <w:sz w:val="28"/>
          <w:szCs w:val="28"/>
          <w:lang w:eastAsia="zh-CN"/>
        </w:rPr>
        <w:t>赤峰市财政局</w:t>
      </w:r>
      <w:r>
        <w:rPr>
          <w:rFonts w:hint="eastAsia" w:ascii="宋体" w:hAnsi="宋体" w:cs="宋体"/>
          <w:b/>
          <w:sz w:val="28"/>
          <w:szCs w:val="28"/>
          <w:lang w:val="en-US" w:eastAsia="zh-CN"/>
        </w:rPr>
        <w:t>2026年第二批财政重点绩效评价</w:t>
      </w:r>
    </w:p>
    <w:p>
      <w:pPr>
        <w:spacing w:line="360" w:lineRule="auto"/>
        <w:ind w:left="1964" w:leftChars="266" w:hanging="1405" w:hangingChars="500"/>
        <w:outlineLvl w:val="0"/>
        <w:rPr>
          <w:rFonts w:ascii="宋体" w:hAnsi="宋体" w:cs="宋体"/>
          <w:b/>
          <w:sz w:val="28"/>
          <w:szCs w:val="28"/>
        </w:rPr>
      </w:pPr>
    </w:p>
    <w:p>
      <w:pPr>
        <w:spacing w:line="360" w:lineRule="auto"/>
        <w:ind w:firstLine="562" w:firstLineChars="200"/>
        <w:outlineLvl w:val="0"/>
        <w:rPr>
          <w:rFonts w:ascii="宋体" w:hAnsi="宋体" w:cs="宋体"/>
          <w:b/>
          <w:sz w:val="28"/>
          <w:szCs w:val="28"/>
        </w:rPr>
      </w:pPr>
    </w:p>
    <w:p>
      <w:pPr>
        <w:spacing w:line="360" w:lineRule="auto"/>
        <w:ind w:firstLine="1124" w:firstLineChars="400"/>
        <w:outlineLvl w:val="0"/>
        <w:rPr>
          <w:rFonts w:ascii="宋体" w:hAnsi="宋体" w:cs="宋体"/>
          <w:b/>
          <w:sz w:val="28"/>
          <w:szCs w:val="28"/>
        </w:rPr>
      </w:pPr>
      <w:r>
        <w:rPr>
          <w:rFonts w:hint="eastAsia" w:ascii="宋体" w:hAnsi="宋体" w:cs="宋体"/>
          <w:b/>
          <w:sz w:val="28"/>
          <w:szCs w:val="28"/>
        </w:rPr>
        <w:t>项目编号：</w:t>
      </w:r>
      <w:r>
        <w:rPr>
          <w:rFonts w:hint="eastAsia" w:ascii="仿宋_GB2312" w:hAnsi="仿宋_GB2312" w:eastAsia="仿宋_GB2312" w:cs="仿宋_GB2312"/>
          <w:i w:val="0"/>
          <w:iCs w:val="0"/>
          <w:caps w:val="0"/>
          <w:color w:val="222222"/>
          <w:spacing w:val="0"/>
          <w:sz w:val="32"/>
          <w:szCs w:val="32"/>
          <w:lang w:val="en-US" w:eastAsia="zh-CN"/>
        </w:rPr>
        <w:t>CFCZJX</w:t>
      </w:r>
      <w:r>
        <w:rPr>
          <w:rFonts w:hint="eastAsia" w:ascii="仿宋_GB2312" w:hAnsi="仿宋_GB2312" w:eastAsia="仿宋_GB2312" w:cs="仿宋_GB2312"/>
          <w:i w:val="0"/>
          <w:iCs w:val="0"/>
          <w:caps w:val="0"/>
          <w:color w:val="222222"/>
          <w:spacing w:val="0"/>
          <w:sz w:val="32"/>
          <w:szCs w:val="32"/>
        </w:rPr>
        <w:t>-</w:t>
      </w:r>
      <w:r>
        <w:rPr>
          <w:rFonts w:hint="eastAsia" w:ascii="仿宋_GB2312" w:hAnsi="仿宋_GB2312" w:eastAsia="仿宋_GB2312" w:cs="仿宋_GB2312"/>
          <w:i w:val="0"/>
          <w:iCs w:val="0"/>
          <w:caps w:val="0"/>
          <w:color w:val="222222"/>
          <w:spacing w:val="0"/>
          <w:sz w:val="32"/>
          <w:szCs w:val="32"/>
          <w:lang w:val="en-US" w:eastAsia="zh-CN"/>
        </w:rPr>
        <w:t>2026-02</w:t>
      </w:r>
    </w:p>
    <w:p>
      <w:pPr>
        <w:snapToGrid w:val="0"/>
        <w:jc w:val="center"/>
        <w:textAlignment w:val="baseline"/>
        <w:rPr>
          <w:rFonts w:ascii="宋体" w:cs="宋体"/>
          <w:sz w:val="32"/>
          <w:szCs w:val="32"/>
        </w:rPr>
      </w:pPr>
    </w:p>
    <w:p>
      <w:pPr>
        <w:snapToGrid w:val="0"/>
        <w:jc w:val="center"/>
        <w:textAlignment w:val="baseline"/>
        <w:rPr>
          <w:rFonts w:ascii="宋体" w:cs="宋体"/>
          <w:sz w:val="32"/>
          <w:szCs w:val="32"/>
        </w:rPr>
      </w:pPr>
    </w:p>
    <w:p>
      <w:pPr>
        <w:snapToGrid w:val="0"/>
        <w:jc w:val="center"/>
        <w:textAlignment w:val="baseline"/>
        <w:rPr>
          <w:rFonts w:ascii="宋体" w:cs="宋体"/>
          <w:sz w:val="32"/>
          <w:szCs w:val="32"/>
        </w:rPr>
      </w:pPr>
    </w:p>
    <w:p>
      <w:pPr>
        <w:pStyle w:val="8"/>
        <w:snapToGrid w:val="0"/>
        <w:ind w:firstLine="640"/>
        <w:textAlignment w:val="baseline"/>
        <w:rPr>
          <w:rFonts w:ascii="宋体"/>
          <w:sz w:val="32"/>
          <w:szCs w:val="32"/>
        </w:rPr>
      </w:pPr>
    </w:p>
    <w:p>
      <w:pPr>
        <w:pStyle w:val="8"/>
        <w:snapToGrid w:val="0"/>
        <w:ind w:firstLine="640"/>
        <w:textAlignment w:val="baseline"/>
        <w:rPr>
          <w:rFonts w:ascii="宋体"/>
          <w:sz w:val="32"/>
          <w:szCs w:val="32"/>
        </w:rPr>
      </w:pPr>
    </w:p>
    <w:p>
      <w:pPr>
        <w:pStyle w:val="8"/>
        <w:snapToGrid w:val="0"/>
        <w:ind w:firstLine="640"/>
        <w:textAlignment w:val="baseline"/>
        <w:rPr>
          <w:rFonts w:ascii="宋体"/>
          <w:sz w:val="32"/>
          <w:szCs w:val="32"/>
        </w:rPr>
      </w:pPr>
    </w:p>
    <w:p>
      <w:pPr>
        <w:snapToGrid w:val="0"/>
        <w:jc w:val="center"/>
        <w:textAlignment w:val="baseline"/>
        <w:rPr>
          <w:rFonts w:ascii="宋体" w:cs="宋体"/>
          <w:b/>
          <w:bCs/>
          <w:sz w:val="32"/>
          <w:szCs w:val="32"/>
        </w:rPr>
      </w:pPr>
    </w:p>
    <w:p>
      <w:pPr>
        <w:tabs>
          <w:tab w:val="left" w:pos="1725"/>
          <w:tab w:val="center" w:pos="4195"/>
        </w:tabs>
        <w:snapToGrid w:val="0"/>
        <w:jc w:val="center"/>
        <w:textAlignment w:val="baseline"/>
        <w:rPr>
          <w:rFonts w:ascii="宋体" w:cs="宋体"/>
          <w:b/>
          <w:bCs/>
          <w:kern w:val="0"/>
          <w:sz w:val="36"/>
          <w:szCs w:val="36"/>
        </w:rPr>
      </w:pPr>
    </w:p>
    <w:p>
      <w:pPr>
        <w:tabs>
          <w:tab w:val="left" w:pos="1725"/>
          <w:tab w:val="center" w:pos="4195"/>
        </w:tabs>
        <w:snapToGrid w:val="0"/>
        <w:spacing w:line="480" w:lineRule="auto"/>
        <w:jc w:val="center"/>
        <w:textAlignment w:val="baseline"/>
        <w:rPr>
          <w:rFonts w:hint="eastAsia" w:ascii="宋体" w:eastAsia="宋体" w:cs="宋体"/>
          <w:b/>
          <w:bCs/>
          <w:kern w:val="0"/>
          <w:sz w:val="32"/>
          <w:szCs w:val="32"/>
          <w:lang w:val="en-US" w:eastAsia="zh-CN"/>
        </w:rPr>
      </w:pPr>
      <w:r>
        <w:rPr>
          <w:rFonts w:hint="eastAsia" w:ascii="宋体" w:cs="宋体"/>
          <w:b/>
          <w:bCs/>
          <w:kern w:val="0"/>
          <w:sz w:val="32"/>
          <w:szCs w:val="32"/>
        </w:rPr>
        <w:t>采购单位：赤峰市</w:t>
      </w:r>
      <w:r>
        <w:rPr>
          <w:rFonts w:hint="eastAsia" w:ascii="宋体" w:cs="宋体"/>
          <w:b/>
          <w:bCs/>
          <w:kern w:val="0"/>
          <w:sz w:val="32"/>
          <w:szCs w:val="32"/>
          <w:lang w:eastAsia="zh-CN"/>
        </w:rPr>
        <w:t>财政局</w:t>
      </w:r>
    </w:p>
    <w:p>
      <w:pPr>
        <w:widowControl/>
        <w:snapToGrid w:val="0"/>
        <w:jc w:val="left"/>
        <w:textAlignment w:val="baseline"/>
        <w:rPr>
          <w:rFonts w:ascii="宋体" w:hAnsi="宋体" w:cs="宋体"/>
          <w:b/>
          <w:sz w:val="32"/>
          <w:szCs w:val="32"/>
        </w:rPr>
      </w:pPr>
    </w:p>
    <w:p>
      <w:pPr>
        <w:widowControl/>
        <w:snapToGrid w:val="0"/>
        <w:jc w:val="center"/>
        <w:textAlignment w:val="baseline"/>
        <w:rPr>
          <w:rFonts w:ascii="宋体" w:cs="宋体"/>
          <w:b/>
          <w:bCs/>
          <w:kern w:val="0"/>
          <w:sz w:val="36"/>
          <w:szCs w:val="36"/>
        </w:rPr>
      </w:pPr>
      <w:r>
        <w:rPr>
          <w:rFonts w:hint="eastAsia" w:ascii="宋体" w:hAnsi="宋体" w:cs="宋体"/>
          <w:b/>
          <w:sz w:val="32"/>
          <w:szCs w:val="32"/>
        </w:rPr>
        <w:t>二〇二</w:t>
      </w:r>
      <w:r>
        <w:rPr>
          <w:rFonts w:hint="eastAsia" w:ascii="宋体" w:hAnsi="宋体" w:cs="宋体"/>
          <w:b/>
          <w:sz w:val="32"/>
          <w:szCs w:val="32"/>
          <w:lang w:eastAsia="zh-CN"/>
        </w:rPr>
        <w:t>六</w:t>
      </w:r>
      <w:r>
        <w:rPr>
          <w:rFonts w:hint="eastAsia" w:ascii="宋体" w:hAnsi="宋体" w:cs="宋体"/>
          <w:b/>
          <w:sz w:val="32"/>
          <w:szCs w:val="32"/>
        </w:rPr>
        <w:t>年</w:t>
      </w:r>
      <w:r>
        <w:rPr>
          <w:rFonts w:hint="eastAsia" w:ascii="宋体" w:hAnsi="宋体" w:cs="宋体"/>
          <w:b/>
          <w:sz w:val="32"/>
          <w:szCs w:val="32"/>
          <w:lang w:eastAsia="zh-CN"/>
        </w:rPr>
        <w:t>五</w:t>
      </w:r>
      <w:r>
        <w:rPr>
          <w:rFonts w:hint="eastAsia" w:ascii="宋体" w:hAnsi="宋体" w:cs="宋体"/>
          <w:b/>
          <w:sz w:val="32"/>
          <w:szCs w:val="32"/>
        </w:rPr>
        <w:t>月</w:t>
      </w:r>
      <w:r>
        <w:rPr>
          <w:rFonts w:hint="eastAsia" w:ascii="宋体" w:cs="宋体"/>
          <w:b/>
          <w:bCs/>
          <w:kern w:val="0"/>
          <w:sz w:val="36"/>
          <w:szCs w:val="36"/>
        </w:rPr>
        <w:br w:type="page"/>
      </w:r>
    </w:p>
    <w:p>
      <w:pPr>
        <w:widowControl/>
        <w:snapToGrid w:val="0"/>
        <w:spacing w:line="360" w:lineRule="auto"/>
        <w:jc w:val="left"/>
        <w:textAlignment w:val="baseline"/>
        <w:rPr>
          <w:rFonts w:ascii="宋体" w:cs="宋体"/>
          <w:sz w:val="20"/>
        </w:rPr>
        <w:sectPr>
          <w:headerReference r:id="rId4" w:type="first"/>
          <w:footerReference r:id="rId6" w:type="first"/>
          <w:headerReference r:id="rId3" w:type="even"/>
          <w:footerReference r:id="rId5" w:type="even"/>
          <w:pgSz w:w="11900" w:h="16838"/>
          <w:pgMar w:top="1440" w:right="1080" w:bottom="1440" w:left="1080" w:header="0" w:footer="91" w:gutter="0"/>
          <w:cols w:space="0" w:num="1"/>
          <w:docGrid w:linePitch="312" w:charSpace="0"/>
        </w:sectPr>
      </w:pPr>
    </w:p>
    <w:p>
      <w:pPr>
        <w:pStyle w:val="2"/>
        <w:rPr>
          <w:rFonts w:ascii="宋体" w:cs="宋体"/>
        </w:rPr>
      </w:pPr>
      <w:bookmarkStart w:id="0" w:name="_Toc13839"/>
      <w:bookmarkStart w:id="1" w:name="_Toc21485"/>
      <w:r>
        <w:rPr>
          <w:rFonts w:hint="eastAsia" w:ascii="宋体" w:cs="宋体"/>
        </w:rPr>
        <w:t>第一章</w:t>
      </w:r>
      <w:bookmarkEnd w:id="0"/>
      <w:bookmarkEnd w:id="1"/>
      <w:r>
        <w:rPr>
          <w:rFonts w:hint="eastAsia" w:ascii="宋体" w:cs="宋体"/>
        </w:rPr>
        <w:t xml:space="preserve"> 磋商</w:t>
      </w:r>
      <w:r>
        <w:rPr>
          <w:rFonts w:hint="eastAsia"/>
        </w:rPr>
        <w:t>邀请</w:t>
      </w:r>
    </w:p>
    <w:p>
      <w:pPr>
        <w:snapToGrid w:val="0"/>
        <w:spacing w:line="360" w:lineRule="exact"/>
        <w:jc w:val="left"/>
        <w:rPr>
          <w:rFonts w:ascii="宋体" w:cs="宋体"/>
          <w:kern w:val="0"/>
          <w:sz w:val="24"/>
          <w:szCs w:val="24"/>
        </w:rPr>
      </w:pPr>
      <w:r>
        <w:rPr>
          <w:rFonts w:hint="eastAsia" w:ascii="宋体" w:cs="宋体"/>
          <w:kern w:val="0"/>
          <w:sz w:val="24"/>
          <w:szCs w:val="24"/>
        </w:rPr>
        <w:t>项目概况：</w:t>
      </w:r>
    </w:p>
    <w:p>
      <w:pPr>
        <w:snapToGrid w:val="0"/>
        <w:spacing w:line="360" w:lineRule="exact"/>
        <w:jc w:val="left"/>
        <w:rPr>
          <w:rFonts w:ascii="宋体" w:cs="宋体"/>
          <w:kern w:val="0"/>
          <w:sz w:val="24"/>
          <w:szCs w:val="24"/>
        </w:rPr>
      </w:pPr>
    </w:p>
    <w:p>
      <w:pPr>
        <w:snapToGrid w:val="0"/>
        <w:spacing w:line="360" w:lineRule="auto"/>
        <w:ind w:firstLine="480" w:firstLineChars="200"/>
        <w:jc w:val="left"/>
        <w:rPr>
          <w:rFonts w:ascii="宋体" w:hAnsi="宋体" w:cs="宋体"/>
          <w:sz w:val="24"/>
          <w:szCs w:val="24"/>
        </w:rPr>
      </w:pPr>
      <w:bookmarkStart w:id="2" w:name="_Toc11686"/>
      <w:bookmarkStart w:id="3" w:name="_Toc145"/>
      <w:r>
        <w:rPr>
          <w:rFonts w:hint="eastAsia" w:ascii="宋体" w:hAnsi="宋体" w:cs="宋体"/>
          <w:sz w:val="24"/>
          <w:szCs w:val="24"/>
        </w:rPr>
        <w:t>赤峰市</w:t>
      </w:r>
      <w:r>
        <w:rPr>
          <w:rFonts w:hint="eastAsia" w:ascii="宋体" w:hAnsi="宋体" w:cs="宋体"/>
          <w:sz w:val="24"/>
          <w:szCs w:val="24"/>
          <w:lang w:eastAsia="zh-CN"/>
        </w:rPr>
        <w:t>财政局</w:t>
      </w:r>
      <w:r>
        <w:rPr>
          <w:rFonts w:hint="eastAsia" w:ascii="宋体" w:hAnsi="宋体" w:cs="宋体"/>
          <w:sz w:val="24"/>
          <w:szCs w:val="24"/>
        </w:rPr>
        <w:t>，采购</w:t>
      </w:r>
      <w:r>
        <w:rPr>
          <w:rFonts w:hint="eastAsia" w:ascii="宋体" w:hAnsi="宋体" w:cs="宋体"/>
          <w:sz w:val="24"/>
          <w:szCs w:val="24"/>
          <w:lang w:val="en-US" w:eastAsia="zh-CN"/>
        </w:rPr>
        <w:t>2026年第二批财政重点</w:t>
      </w:r>
      <w:r>
        <w:rPr>
          <w:rFonts w:hint="eastAsia" w:ascii="宋体" w:hAnsi="宋体" w:cs="宋体"/>
          <w:sz w:val="24"/>
          <w:szCs w:val="24"/>
        </w:rPr>
        <w:t>绩效评价项目，择优选择供应商。特邀请</w:t>
      </w:r>
      <w:r>
        <w:rPr>
          <w:rFonts w:hint="eastAsia" w:ascii="宋体" w:hAnsi="宋体" w:cs="宋体"/>
          <w:sz w:val="24"/>
          <w:szCs w:val="24"/>
          <w:lang w:eastAsia="zh-CN"/>
        </w:rPr>
        <w:t>符合绩效评价资质的</w:t>
      </w:r>
      <w:r>
        <w:rPr>
          <w:rFonts w:hint="eastAsia" w:ascii="宋体" w:hAnsi="宋体" w:cs="宋体"/>
          <w:sz w:val="24"/>
          <w:szCs w:val="24"/>
        </w:rPr>
        <w:t>公司参加此次投标。</w:t>
      </w:r>
    </w:p>
    <w:p>
      <w:pPr>
        <w:snapToGrid w:val="0"/>
        <w:spacing w:line="360" w:lineRule="auto"/>
        <w:ind w:firstLine="481" w:firstLineChars="200"/>
        <w:jc w:val="left"/>
        <w:rPr>
          <w:rFonts w:ascii="宋体" w:cs="宋体"/>
          <w:b/>
          <w:bCs/>
          <w:kern w:val="0"/>
          <w:sz w:val="24"/>
          <w:szCs w:val="24"/>
        </w:rPr>
      </w:pPr>
      <w:r>
        <w:rPr>
          <w:rFonts w:hint="eastAsia" w:ascii="宋体" w:cs="宋体"/>
          <w:b/>
          <w:bCs/>
          <w:kern w:val="0"/>
          <w:sz w:val="24"/>
          <w:szCs w:val="24"/>
        </w:rPr>
        <w:t>一、项目基本情况</w:t>
      </w:r>
    </w:p>
    <w:p>
      <w:pPr>
        <w:snapToGrid w:val="0"/>
        <w:spacing w:line="360" w:lineRule="auto"/>
        <w:ind w:firstLine="480" w:firstLineChars="200"/>
        <w:jc w:val="left"/>
        <w:rPr>
          <w:rFonts w:hint="default" w:ascii="宋体" w:cs="宋体"/>
          <w:kern w:val="0"/>
          <w:sz w:val="24"/>
          <w:szCs w:val="24"/>
          <w:lang w:val="en-US"/>
        </w:rPr>
      </w:pPr>
      <w:r>
        <w:rPr>
          <w:rFonts w:hint="eastAsia" w:ascii="宋体" w:cs="宋体"/>
          <w:kern w:val="0"/>
          <w:sz w:val="24"/>
          <w:szCs w:val="24"/>
        </w:rPr>
        <w:t>1.项目编号：</w:t>
      </w:r>
      <w:r>
        <w:rPr>
          <w:rFonts w:hint="eastAsia" w:ascii="宋体" w:cs="宋体"/>
          <w:kern w:val="0"/>
          <w:sz w:val="24"/>
          <w:szCs w:val="24"/>
          <w:lang w:val="en-US" w:eastAsia="zh-CN"/>
        </w:rPr>
        <w:t>CFCZJX</w:t>
      </w:r>
      <w:r>
        <w:rPr>
          <w:rFonts w:hint="eastAsia" w:ascii="宋体" w:cs="宋体"/>
          <w:kern w:val="0"/>
          <w:sz w:val="24"/>
          <w:szCs w:val="24"/>
        </w:rPr>
        <w:t>-</w:t>
      </w:r>
      <w:r>
        <w:rPr>
          <w:rFonts w:hint="eastAsia" w:ascii="宋体" w:cs="宋体"/>
          <w:kern w:val="0"/>
          <w:sz w:val="24"/>
          <w:szCs w:val="24"/>
          <w:lang w:val="en-US" w:eastAsia="zh-CN"/>
        </w:rPr>
        <w:t>2026-02</w:t>
      </w:r>
    </w:p>
    <w:p>
      <w:pPr>
        <w:snapToGrid w:val="0"/>
        <w:spacing w:line="360" w:lineRule="auto"/>
        <w:ind w:firstLine="480" w:firstLineChars="200"/>
        <w:jc w:val="left"/>
        <w:rPr>
          <w:rFonts w:hint="eastAsia" w:ascii="宋体" w:cs="宋体"/>
          <w:kern w:val="0"/>
          <w:sz w:val="24"/>
          <w:szCs w:val="24"/>
        </w:rPr>
      </w:pPr>
      <w:r>
        <w:rPr>
          <w:rFonts w:hint="eastAsia" w:ascii="宋体" w:cs="宋体"/>
          <w:kern w:val="0"/>
          <w:sz w:val="24"/>
          <w:szCs w:val="24"/>
        </w:rPr>
        <w:t>2.项目名称：202</w:t>
      </w:r>
      <w:r>
        <w:rPr>
          <w:rFonts w:hint="eastAsia" w:ascii="宋体" w:cs="宋体"/>
          <w:kern w:val="0"/>
          <w:sz w:val="24"/>
          <w:szCs w:val="24"/>
          <w:lang w:val="en-US" w:eastAsia="zh-CN"/>
        </w:rPr>
        <w:t>6</w:t>
      </w:r>
      <w:r>
        <w:rPr>
          <w:rFonts w:hint="eastAsia" w:ascii="宋体" w:cs="宋体"/>
          <w:kern w:val="0"/>
          <w:sz w:val="24"/>
          <w:szCs w:val="24"/>
        </w:rPr>
        <w:t>年</w:t>
      </w:r>
      <w:r>
        <w:rPr>
          <w:rFonts w:hint="eastAsia" w:ascii="宋体" w:cs="宋体"/>
          <w:kern w:val="0"/>
          <w:sz w:val="24"/>
          <w:szCs w:val="24"/>
          <w:lang w:eastAsia="zh-CN"/>
        </w:rPr>
        <w:t>第二批财政</w:t>
      </w:r>
      <w:r>
        <w:rPr>
          <w:rFonts w:hint="eastAsia" w:ascii="宋体" w:cs="宋体"/>
          <w:kern w:val="0"/>
          <w:sz w:val="24"/>
          <w:szCs w:val="24"/>
        </w:rPr>
        <w:t>重点绩效评价项目</w:t>
      </w:r>
    </w:p>
    <w:p>
      <w:pPr>
        <w:snapToGrid w:val="0"/>
        <w:spacing w:line="360" w:lineRule="auto"/>
        <w:ind w:firstLine="480" w:firstLineChars="200"/>
        <w:jc w:val="left"/>
        <w:rPr>
          <w:rFonts w:ascii="宋体" w:cs="宋体"/>
          <w:kern w:val="0"/>
          <w:sz w:val="24"/>
          <w:szCs w:val="24"/>
        </w:rPr>
      </w:pPr>
      <w:r>
        <w:rPr>
          <w:rFonts w:hint="eastAsia" w:ascii="宋体" w:cs="宋体"/>
          <w:kern w:val="0"/>
          <w:sz w:val="24"/>
          <w:szCs w:val="24"/>
        </w:rPr>
        <w:t>3.采购方式：竞争性磋商</w:t>
      </w:r>
    </w:p>
    <w:p>
      <w:pPr>
        <w:snapToGrid w:val="0"/>
        <w:spacing w:line="360" w:lineRule="auto"/>
        <w:ind w:firstLine="480" w:firstLineChars="200"/>
        <w:jc w:val="left"/>
        <w:rPr>
          <w:rFonts w:ascii="宋体" w:cs="宋体"/>
          <w:kern w:val="0"/>
          <w:sz w:val="24"/>
          <w:szCs w:val="24"/>
        </w:rPr>
      </w:pPr>
      <w:r>
        <w:rPr>
          <w:rFonts w:hint="eastAsia" w:ascii="宋体" w:cs="宋体"/>
          <w:kern w:val="0"/>
          <w:sz w:val="24"/>
          <w:szCs w:val="24"/>
        </w:rPr>
        <w:t>4.预算金额：</w:t>
      </w:r>
      <w:r>
        <w:rPr>
          <w:rFonts w:hint="eastAsia" w:ascii="宋体" w:cs="宋体"/>
          <w:kern w:val="0"/>
          <w:sz w:val="24"/>
          <w:szCs w:val="24"/>
          <w:lang w:val="en-US" w:eastAsia="zh-CN"/>
        </w:rPr>
        <w:t>190</w:t>
      </w:r>
      <w:r>
        <w:rPr>
          <w:rFonts w:hint="eastAsia" w:ascii="宋体" w:cs="宋体"/>
          <w:kern w:val="0"/>
          <w:sz w:val="24"/>
          <w:szCs w:val="24"/>
        </w:rPr>
        <w:t>,000.00元（人民币）（响应报价超出采购预算的，按无效响应处理）</w:t>
      </w:r>
    </w:p>
    <w:p>
      <w:pPr>
        <w:snapToGrid w:val="0"/>
        <w:spacing w:line="360" w:lineRule="auto"/>
        <w:ind w:firstLine="480" w:firstLineChars="200"/>
        <w:jc w:val="left"/>
        <w:rPr>
          <w:rFonts w:hint="eastAsia" w:ascii="宋体" w:cs="宋体"/>
          <w:kern w:val="0"/>
          <w:sz w:val="24"/>
          <w:szCs w:val="24"/>
        </w:rPr>
      </w:pPr>
      <w:r>
        <w:rPr>
          <w:rFonts w:hint="eastAsia" w:ascii="宋体" w:cs="宋体"/>
          <w:kern w:val="0"/>
          <w:sz w:val="24"/>
          <w:szCs w:val="24"/>
        </w:rPr>
        <w:t>5.</w:t>
      </w:r>
      <w:r>
        <w:rPr>
          <w:rFonts w:hint="eastAsia" w:ascii="宋体" w:cs="宋体"/>
          <w:kern w:val="0"/>
          <w:sz w:val="24"/>
          <w:szCs w:val="24"/>
          <w:lang w:eastAsia="zh-CN"/>
        </w:rPr>
        <w:t>分包情况</w:t>
      </w:r>
      <w:r>
        <w:rPr>
          <w:rFonts w:hint="eastAsia" w:ascii="宋体" w:cs="宋体"/>
          <w:kern w:val="0"/>
          <w:sz w:val="24"/>
          <w:szCs w:val="24"/>
        </w:rPr>
        <w:t>：</w:t>
      </w:r>
      <w:r>
        <w:rPr>
          <w:rFonts w:hint="eastAsia" w:ascii="宋体" w:cs="宋体"/>
          <w:kern w:val="0"/>
          <w:sz w:val="24"/>
          <w:szCs w:val="24"/>
          <w:lang w:val="en-US" w:eastAsia="zh-CN"/>
        </w:rPr>
        <w:t>1包</w:t>
      </w:r>
    </w:p>
    <w:p>
      <w:pPr>
        <w:snapToGrid w:val="0"/>
        <w:spacing w:line="360" w:lineRule="auto"/>
        <w:ind w:firstLine="480" w:firstLineChars="200"/>
        <w:jc w:val="left"/>
        <w:rPr>
          <w:rFonts w:hint="eastAsia" w:ascii="宋体" w:eastAsia="宋体" w:cs="宋体"/>
          <w:kern w:val="0"/>
          <w:sz w:val="24"/>
          <w:szCs w:val="24"/>
          <w:lang w:eastAsia="zh-CN"/>
        </w:rPr>
      </w:pPr>
      <w:r>
        <w:rPr>
          <w:rFonts w:hint="eastAsia" w:ascii="宋体" w:cs="宋体"/>
          <w:kern w:val="0"/>
          <w:sz w:val="24"/>
          <w:szCs w:val="24"/>
        </w:rPr>
        <w:t>6.采购需求：</w:t>
      </w:r>
      <w:r>
        <w:rPr>
          <w:rFonts w:hint="eastAsia" w:ascii="宋体" w:cs="宋体"/>
          <w:kern w:val="0"/>
          <w:sz w:val="24"/>
          <w:szCs w:val="24"/>
          <w:lang w:eastAsia="zh-CN"/>
        </w:rPr>
        <w:t>见分包和项目情况表</w:t>
      </w:r>
    </w:p>
    <w:p>
      <w:pPr>
        <w:snapToGrid w:val="0"/>
        <w:spacing w:line="360" w:lineRule="auto"/>
        <w:ind w:firstLine="480" w:firstLineChars="200"/>
        <w:jc w:val="left"/>
        <w:rPr>
          <w:rFonts w:ascii="宋体" w:cs="宋体"/>
          <w:kern w:val="0"/>
          <w:sz w:val="24"/>
          <w:szCs w:val="24"/>
        </w:rPr>
      </w:pPr>
      <w:r>
        <w:rPr>
          <w:rFonts w:hint="eastAsia" w:ascii="宋体" w:cs="宋体"/>
          <w:kern w:val="0"/>
          <w:sz w:val="24"/>
          <w:szCs w:val="24"/>
        </w:rPr>
        <w:t>7.合同履行期限：</w:t>
      </w:r>
      <w:r>
        <w:rPr>
          <w:rFonts w:hint="eastAsia" w:ascii="宋体" w:cs="宋体"/>
          <w:kern w:val="0"/>
          <w:sz w:val="24"/>
        </w:rPr>
        <w:t>合同生效之日起至合同约定内容履行完毕。</w:t>
      </w:r>
    </w:p>
    <w:p>
      <w:pPr>
        <w:snapToGrid w:val="0"/>
        <w:spacing w:line="360" w:lineRule="auto"/>
        <w:ind w:firstLine="480" w:firstLineChars="200"/>
        <w:jc w:val="left"/>
        <w:rPr>
          <w:rFonts w:hint="eastAsia" w:ascii="宋体" w:cs="宋体"/>
          <w:kern w:val="0"/>
          <w:sz w:val="24"/>
          <w:szCs w:val="24"/>
        </w:rPr>
      </w:pPr>
      <w:r>
        <w:rPr>
          <w:rFonts w:hint="eastAsia" w:ascii="宋体" w:cs="宋体"/>
          <w:kern w:val="0"/>
          <w:sz w:val="24"/>
          <w:szCs w:val="24"/>
        </w:rPr>
        <w:t>8.本项目(不接受)联合体投标。</w:t>
      </w:r>
    </w:p>
    <w:p>
      <w:pPr>
        <w:snapToGrid w:val="0"/>
        <w:spacing w:line="360" w:lineRule="auto"/>
        <w:ind w:firstLine="480" w:firstLineChars="200"/>
        <w:jc w:val="left"/>
        <w:rPr>
          <w:rFonts w:hint="default" w:ascii="宋体" w:eastAsia="宋体" w:cs="宋体"/>
          <w:kern w:val="0"/>
          <w:sz w:val="24"/>
          <w:szCs w:val="24"/>
          <w:lang w:val="en-US" w:eastAsia="zh-CN"/>
        </w:rPr>
      </w:pPr>
      <w:r>
        <w:rPr>
          <w:rFonts w:hint="eastAsia" w:ascii="宋体" w:cs="宋体"/>
          <w:kern w:val="0"/>
          <w:sz w:val="24"/>
          <w:szCs w:val="24"/>
          <w:lang w:val="en-US" w:eastAsia="zh-CN"/>
        </w:rPr>
        <w:t xml:space="preserve">                             分包和项目情况表</w:t>
      </w:r>
    </w:p>
    <w:tbl>
      <w:tblPr>
        <w:tblStyle w:val="27"/>
        <w:tblpPr w:leftFromText="180" w:rightFromText="180" w:vertAnchor="text" w:horzAnchor="page" w:tblpX="964" w:tblpY="134"/>
        <w:tblOverlap w:val="never"/>
        <w:tblW w:w="101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8"/>
        <w:gridCol w:w="706"/>
        <w:gridCol w:w="2275"/>
        <w:gridCol w:w="5092"/>
        <w:gridCol w:w="16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4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包号</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eastAsia="zh-CN"/>
              </w:rPr>
            </w:pPr>
            <w:r>
              <w:rPr>
                <w:rFonts w:hint="eastAsia" w:ascii="宋体" w:hAnsi="宋体" w:cs="宋体"/>
                <w:i w:val="0"/>
                <w:iCs w:val="0"/>
                <w:color w:val="000000"/>
                <w:sz w:val="22"/>
                <w:szCs w:val="22"/>
                <w:u w:val="none"/>
                <w:lang w:eastAsia="zh-CN"/>
              </w:rPr>
              <w:t>被评价单位</w:t>
            </w:r>
          </w:p>
        </w:tc>
        <w:tc>
          <w:tcPr>
            <w:tcW w:w="5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评价</w:t>
            </w:r>
            <w:r>
              <w:rPr>
                <w:rFonts w:hint="eastAsia" w:ascii="宋体" w:hAnsi="宋体" w:eastAsia="宋体" w:cs="宋体"/>
                <w:i w:val="0"/>
                <w:iCs w:val="0"/>
                <w:color w:val="000000"/>
                <w:kern w:val="0"/>
                <w:sz w:val="22"/>
                <w:szCs w:val="22"/>
                <w:u w:val="none"/>
                <w:lang w:val="en-US" w:eastAsia="zh-CN" w:bidi="ar"/>
              </w:rPr>
              <w:t>项目名称</w:t>
            </w:r>
          </w:p>
        </w:tc>
        <w:tc>
          <w:tcPr>
            <w:tcW w:w="163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项目金额（万元）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trPr>
        <w:tc>
          <w:tcPr>
            <w:tcW w:w="448" w:type="dxa"/>
            <w:vMerge w:val="restart"/>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赤峰市政务服务与数据管理局</w:t>
            </w:r>
          </w:p>
        </w:tc>
        <w:tc>
          <w:tcPr>
            <w:tcW w:w="5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四级政务服务平台运维服务费等8个运维项目</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429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trPr>
        <w:tc>
          <w:tcPr>
            <w:tcW w:w="44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市投资促进局</w:t>
            </w:r>
          </w:p>
        </w:tc>
        <w:tc>
          <w:tcPr>
            <w:tcW w:w="50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2025年委托招商专项、招商大使专项和面向重点地区招商常驻工作活动经费</w:t>
            </w:r>
          </w:p>
        </w:tc>
        <w:tc>
          <w:tcPr>
            <w:tcW w:w="163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2" w:hRule="atLeast"/>
        </w:trPr>
        <w:tc>
          <w:tcPr>
            <w:tcW w:w="44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赤峰市公共住房开发建设投资有限责任公司</w:t>
            </w:r>
          </w:p>
        </w:tc>
        <w:tc>
          <w:tcPr>
            <w:tcW w:w="509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2025年赤峰市公共住房开发建设投资有限责任公司运营经费</w:t>
            </w:r>
          </w:p>
        </w:tc>
        <w:tc>
          <w:tcPr>
            <w:tcW w:w="163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607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 w:hRule="atLeast"/>
        </w:trPr>
        <w:tc>
          <w:tcPr>
            <w:tcW w:w="44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市住建局</w:t>
            </w:r>
          </w:p>
        </w:tc>
        <w:tc>
          <w:tcPr>
            <w:tcW w:w="5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2025年生活垃圾分类宣传项目</w:t>
            </w:r>
          </w:p>
        </w:tc>
        <w:tc>
          <w:tcPr>
            <w:tcW w:w="163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 w:hRule="atLeast"/>
        </w:trPr>
        <w:tc>
          <w:tcPr>
            <w:tcW w:w="44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2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赤峰市广电发射台</w:t>
            </w:r>
          </w:p>
        </w:tc>
        <w:tc>
          <w:tcPr>
            <w:tcW w:w="5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市本级广播电视发射、微波传输运维经费</w:t>
            </w:r>
          </w:p>
        </w:tc>
        <w:tc>
          <w:tcPr>
            <w:tcW w:w="163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70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trPr>
        <w:tc>
          <w:tcPr>
            <w:tcW w:w="44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赤峰市自然资源储备整理中心</w:t>
            </w:r>
          </w:p>
        </w:tc>
        <w:tc>
          <w:tcPr>
            <w:tcW w:w="5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赤峰市矿产资源储量报告及开发利用方案评审</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rPr>
        <w:tc>
          <w:tcPr>
            <w:tcW w:w="44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林业和草原局</w:t>
            </w:r>
          </w:p>
        </w:tc>
        <w:tc>
          <w:tcPr>
            <w:tcW w:w="5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防沙治沙工作经费</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448" w:type="dxa"/>
            <w:vMerge w:val="continue"/>
            <w:tcBorders>
              <w:top w:val="nil"/>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u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2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高新区管委会</w:t>
            </w:r>
          </w:p>
        </w:tc>
        <w:tc>
          <w:tcPr>
            <w:tcW w:w="50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赤峰高新区产业园高端陶瓷材料制品标准化厂房建设项目</w:t>
            </w:r>
          </w:p>
        </w:tc>
        <w:tc>
          <w:tcPr>
            <w:tcW w:w="1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r>
    </w:tbl>
    <w:p>
      <w:pPr>
        <w:keepNext w:val="0"/>
        <w:keepLines w:val="0"/>
        <w:pageBreakBefore w:val="0"/>
        <w:widowControl w:val="0"/>
        <w:kinsoku/>
        <w:wordWrap/>
        <w:overflowPunct/>
        <w:topLinePunct w:val="0"/>
        <w:autoSpaceDE/>
        <w:autoSpaceDN/>
        <w:bidi w:val="0"/>
        <w:adjustRightInd/>
        <w:snapToGrid/>
        <w:spacing w:line="540" w:lineRule="exact"/>
        <w:ind w:left="0" w:leftChars="0" w:firstLine="0" w:firstLineChars="0"/>
        <w:jc w:val="left"/>
        <w:textAlignment w:val="auto"/>
        <w:rPr>
          <w:rFonts w:hint="eastAsia" w:asciiTheme="minorEastAsia" w:hAnsiTheme="minorEastAsia" w:eastAsiaTheme="minorEastAsia" w:cstheme="minorEastAsia"/>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二、供应商资格要求</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i w:val="0"/>
          <w:iCs w:val="0"/>
          <w:caps w:val="0"/>
          <w:color w:val="222222"/>
          <w:spacing w:val="0"/>
          <w:sz w:val="24"/>
          <w:szCs w:val="24"/>
        </w:rPr>
      </w:pPr>
      <w:r>
        <w:rPr>
          <w:rFonts w:hint="eastAsia" w:asciiTheme="minorEastAsia" w:hAnsiTheme="minorEastAsia" w:eastAsiaTheme="minorEastAsia" w:cstheme="minorEastAsia"/>
          <w:i w:val="0"/>
          <w:iCs w:val="0"/>
          <w:caps w:val="0"/>
          <w:color w:val="222222"/>
          <w:spacing w:val="0"/>
          <w:sz w:val="24"/>
          <w:szCs w:val="24"/>
          <w:lang w:val="en-US" w:eastAsia="zh-CN"/>
        </w:rPr>
        <w:t>1.应当为具备向委托方提供财政预算绩效评价服务 能力的法人或其他组织，包括：会计事务所、资产评估机构、政府研究机构、高等院校、科研院所、社会咨询机构等。</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i w:val="0"/>
          <w:iCs w:val="0"/>
          <w:caps w:val="0"/>
          <w:color w:val="222222"/>
          <w:spacing w:val="0"/>
          <w:sz w:val="24"/>
          <w:szCs w:val="24"/>
          <w:lang w:val="en-US" w:eastAsia="zh-CN"/>
        </w:rPr>
        <w:t>2</w:t>
      </w:r>
      <w:r>
        <w:rPr>
          <w:rFonts w:hint="eastAsia" w:asciiTheme="minorEastAsia" w:hAnsiTheme="minorEastAsia" w:eastAsiaTheme="minorEastAsia" w:cstheme="minorEastAsia"/>
          <w:i w:val="0"/>
          <w:iCs w:val="0"/>
          <w:caps w:val="0"/>
          <w:color w:val="222222"/>
          <w:spacing w:val="0"/>
          <w:sz w:val="24"/>
          <w:szCs w:val="24"/>
        </w:rPr>
        <w:t>.满足《中华人民共和国政府采购法》第二十二条规定</w:t>
      </w:r>
      <w:r>
        <w:rPr>
          <w:rFonts w:hint="eastAsia" w:asciiTheme="minorEastAsia" w:hAnsiTheme="minorEastAsia" w:eastAsiaTheme="minorEastAsia" w:cstheme="minorEastAsia"/>
          <w:i w:val="0"/>
          <w:iCs w:val="0"/>
          <w:caps w:val="0"/>
          <w:color w:val="222222"/>
          <w:spacing w:val="0"/>
          <w:sz w:val="24"/>
          <w:szCs w:val="24"/>
          <w:lang w:eastAsia="zh-CN"/>
        </w:rPr>
        <w:t>的条件。</w:t>
      </w:r>
    </w:p>
    <w:p>
      <w:pPr>
        <w:pStyle w:val="2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3.到提交响应文件的截止时间，供应商未被列入失信被执行人、税收违法黑名单、政府采购兖州违法失信行为记录名单，相关信用情况通过“信用中国”、“中国政府采购网”等渠道查询。</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四、响应文件提交时间、开标时间及地点</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响应文件于开标后，密封提交磋商小组</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开标时间：2026年5月</w:t>
      </w:r>
      <w:r>
        <w:rPr>
          <w:rFonts w:hint="eastAsia" w:asciiTheme="minorEastAsia" w:hAnsiTheme="minorEastAsia" w:eastAsiaTheme="minorEastAsia" w:cstheme="minorEastAsia"/>
          <w:sz w:val="24"/>
          <w:szCs w:val="24"/>
          <w:highlight w:val="none"/>
          <w:lang w:val="en-US" w:eastAsia="zh-CN"/>
        </w:rPr>
        <w:t>14日</w:t>
      </w:r>
      <w:r>
        <w:rPr>
          <w:rFonts w:hint="eastAsia" w:asciiTheme="minorEastAsia" w:hAnsiTheme="minorEastAsia" w:eastAsiaTheme="minorEastAsia" w:cstheme="minorEastAsia"/>
          <w:sz w:val="24"/>
          <w:szCs w:val="24"/>
          <w:lang w:val="en-US" w:eastAsia="zh-CN"/>
        </w:rPr>
        <w:t xml:space="preserve"> 上午9：00(北京时间)</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开标地点：赤峰市财政局A305室</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五、联系方式</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采购单位名称：赤峰市财政局</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地址：赤峰市新城区大明街</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联系人：刁女士</w:t>
      </w:r>
      <w:bookmarkStart w:id="16" w:name="_GoBack"/>
      <w:bookmarkEnd w:id="16"/>
    </w:p>
    <w:p>
      <w:pPr>
        <w:keepNext w:val="0"/>
        <w:keepLines w:val="0"/>
        <w:pageBreakBefore w:val="0"/>
        <w:widowControl w:val="0"/>
        <w:kinsoku/>
        <w:wordWrap/>
        <w:overflowPunct/>
        <w:topLinePunct w:val="0"/>
        <w:autoSpaceDE/>
        <w:autoSpaceDN/>
        <w:bidi w:val="0"/>
        <w:adjustRightInd/>
        <w:snapToGrid/>
        <w:spacing w:line="540" w:lineRule="exact"/>
        <w:ind w:left="0" w:leftChars="0" w:firstLine="480" w:firstLineChars="200"/>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联系电话：0476-8366113</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jc w:val="left"/>
        <w:textAlignment w:val="auto"/>
        <w:rPr>
          <w:rFonts w:hint="eastAsia" w:ascii="仿宋_GB2312" w:hAnsi="仿宋_GB2312" w:eastAsia="仿宋_GB2312" w:cs="仿宋_GB2312"/>
          <w:sz w:val="32"/>
          <w:szCs w:val="32"/>
          <w:lang w:val="en-US" w:eastAsia="zh-CN"/>
        </w:rPr>
      </w:pPr>
    </w:p>
    <w:p>
      <w:pPr>
        <w:snapToGrid w:val="0"/>
        <w:spacing w:line="360" w:lineRule="auto"/>
        <w:ind w:firstLine="2208" w:firstLineChars="500"/>
        <w:jc w:val="both"/>
        <w:rPr>
          <w:rStyle w:val="35"/>
          <w:rFonts w:hint="eastAsia" w:ascii="宋体" w:cs="宋体"/>
        </w:rPr>
      </w:pPr>
    </w:p>
    <w:p>
      <w:pPr>
        <w:snapToGrid w:val="0"/>
        <w:spacing w:line="360" w:lineRule="auto"/>
        <w:ind w:firstLine="2208" w:firstLineChars="500"/>
        <w:jc w:val="both"/>
        <w:rPr>
          <w:rStyle w:val="35"/>
          <w:rFonts w:hint="eastAsia" w:ascii="宋体" w:cs="宋体"/>
        </w:rPr>
      </w:pPr>
    </w:p>
    <w:p>
      <w:pPr>
        <w:snapToGrid w:val="0"/>
        <w:spacing w:line="360" w:lineRule="auto"/>
        <w:ind w:firstLine="2208" w:firstLineChars="500"/>
        <w:jc w:val="both"/>
        <w:rPr>
          <w:rStyle w:val="35"/>
          <w:rFonts w:hint="eastAsia" w:ascii="宋体" w:cs="宋体"/>
        </w:rPr>
      </w:pPr>
    </w:p>
    <w:p>
      <w:pPr>
        <w:snapToGrid w:val="0"/>
        <w:spacing w:line="360" w:lineRule="auto"/>
        <w:ind w:firstLine="2208" w:firstLineChars="500"/>
        <w:jc w:val="both"/>
        <w:rPr>
          <w:rStyle w:val="35"/>
          <w:rFonts w:hint="eastAsia" w:ascii="宋体" w:cs="宋体"/>
        </w:rPr>
      </w:pPr>
    </w:p>
    <w:p>
      <w:pPr>
        <w:snapToGrid w:val="0"/>
        <w:spacing w:line="360" w:lineRule="auto"/>
        <w:ind w:firstLine="2208" w:firstLineChars="500"/>
        <w:jc w:val="both"/>
        <w:rPr>
          <w:rStyle w:val="35"/>
          <w:rFonts w:hint="eastAsia" w:ascii="宋体" w:cs="宋体"/>
        </w:rPr>
      </w:pPr>
    </w:p>
    <w:p>
      <w:pPr>
        <w:snapToGrid w:val="0"/>
        <w:spacing w:line="360" w:lineRule="auto"/>
        <w:ind w:firstLine="3092" w:firstLineChars="700"/>
        <w:jc w:val="both"/>
        <w:rPr>
          <w:rFonts w:ascii="宋体" w:cs="宋体"/>
        </w:rPr>
      </w:pPr>
      <w:r>
        <w:rPr>
          <w:rStyle w:val="35"/>
          <w:rFonts w:hint="eastAsia" w:ascii="宋体" w:cs="宋体"/>
        </w:rPr>
        <w:t>第二章</w:t>
      </w:r>
      <w:r>
        <w:rPr>
          <w:rStyle w:val="35"/>
          <w:rFonts w:hint="eastAsia" w:ascii="宋体" w:cs="宋体"/>
          <w:lang w:val="en-US"/>
        </w:rPr>
        <w:t xml:space="preserve"> </w:t>
      </w:r>
      <w:r>
        <w:rPr>
          <w:rStyle w:val="35"/>
          <w:rFonts w:hint="eastAsia" w:ascii="宋体" w:cs="宋体"/>
        </w:rPr>
        <w:t>供应商须知</w:t>
      </w:r>
      <w:bookmarkEnd w:id="2"/>
      <w:bookmarkEnd w:id="3"/>
    </w:p>
    <w:p>
      <w:pPr>
        <w:pStyle w:val="8"/>
        <w:ind w:firstLine="0" w:firstLineChars="0"/>
        <w:rPr>
          <w:rFonts w:ascii="宋体"/>
        </w:rPr>
      </w:pPr>
    </w:p>
    <w:tbl>
      <w:tblPr>
        <w:tblStyle w:val="27"/>
        <w:tblW w:w="5125" w:type="pct"/>
        <w:jc w:val="center"/>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Layout w:type="autofit"/>
        <w:tblCellMar>
          <w:top w:w="0" w:type="dxa"/>
          <w:left w:w="0" w:type="dxa"/>
          <w:bottom w:w="0" w:type="dxa"/>
          <w:right w:w="0" w:type="dxa"/>
        </w:tblCellMar>
      </w:tblPr>
      <w:tblGrid>
        <w:gridCol w:w="678"/>
        <w:gridCol w:w="1642"/>
        <w:gridCol w:w="7680"/>
      </w:tblGrid>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525" w:hRule="atLeast"/>
          <w:jc w:val="center"/>
        </w:trPr>
        <w:tc>
          <w:tcPr>
            <w:tcW w:w="339" w:type="pct"/>
            <w:shd w:val="clear" w:color="auto" w:fill="EDEDED"/>
            <w:vAlign w:val="center"/>
          </w:tcPr>
          <w:p>
            <w:pPr>
              <w:jc w:val="center"/>
              <w:rPr>
                <w:rFonts w:ascii="宋体" w:cs="宋体"/>
                <w:b/>
                <w:bCs/>
                <w:sz w:val="24"/>
                <w:szCs w:val="24"/>
              </w:rPr>
            </w:pPr>
            <w:r>
              <w:rPr>
                <w:rFonts w:hint="eastAsia" w:ascii="宋体" w:cs="宋体"/>
                <w:b/>
                <w:bCs/>
                <w:sz w:val="24"/>
                <w:szCs w:val="24"/>
              </w:rPr>
              <w:t>序号</w:t>
            </w:r>
          </w:p>
        </w:tc>
        <w:tc>
          <w:tcPr>
            <w:tcW w:w="821" w:type="pct"/>
            <w:shd w:val="clear" w:color="auto" w:fill="EDEDED"/>
            <w:vAlign w:val="center"/>
          </w:tcPr>
          <w:p>
            <w:pPr>
              <w:jc w:val="center"/>
              <w:rPr>
                <w:rFonts w:ascii="宋体" w:cs="宋体"/>
                <w:b/>
                <w:bCs/>
                <w:sz w:val="24"/>
                <w:szCs w:val="24"/>
              </w:rPr>
            </w:pPr>
            <w:r>
              <w:rPr>
                <w:rFonts w:hint="eastAsia" w:ascii="宋体" w:cs="宋体"/>
                <w:b/>
                <w:bCs/>
                <w:sz w:val="24"/>
                <w:szCs w:val="24"/>
              </w:rPr>
              <w:t>条款名称</w:t>
            </w:r>
          </w:p>
        </w:tc>
        <w:tc>
          <w:tcPr>
            <w:tcW w:w="3839" w:type="pct"/>
            <w:shd w:val="clear" w:color="auto" w:fill="EDEDED"/>
            <w:vAlign w:val="center"/>
          </w:tcPr>
          <w:p>
            <w:pPr>
              <w:jc w:val="center"/>
              <w:rPr>
                <w:rFonts w:ascii="宋体" w:cs="宋体"/>
                <w:b/>
                <w:bCs/>
                <w:sz w:val="24"/>
                <w:szCs w:val="24"/>
              </w:rPr>
            </w:pPr>
            <w:r>
              <w:rPr>
                <w:rFonts w:hint="eastAsia" w:ascii="宋体" w:cs="宋体"/>
                <w:b/>
                <w:bCs/>
                <w:sz w:val="24"/>
                <w:szCs w:val="24"/>
              </w:rPr>
              <w:t>内容及要求</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180"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分包情况</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共</w:t>
            </w:r>
            <w:r>
              <w:rPr>
                <w:rFonts w:hint="eastAsia" w:ascii="宋体" w:cs="宋体"/>
                <w:sz w:val="24"/>
                <w:szCs w:val="24"/>
                <w:lang w:val="en-US" w:eastAsia="zh-CN"/>
              </w:rPr>
              <w:t>1</w:t>
            </w:r>
            <w:r>
              <w:rPr>
                <w:rFonts w:hint="eastAsia" w:ascii="宋体" w:cs="宋体"/>
                <w:sz w:val="24"/>
                <w:szCs w:val="24"/>
              </w:rPr>
              <w:t>包</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11" w:hRule="atLeast"/>
          <w:jc w:val="center"/>
        </w:trPr>
        <w:tc>
          <w:tcPr>
            <w:tcW w:w="339" w:type="pct"/>
            <w:vAlign w:val="center"/>
          </w:tcPr>
          <w:p>
            <w:pPr>
              <w:jc w:val="center"/>
              <w:rPr>
                <w:rFonts w:ascii="宋体" w:cs="宋体"/>
                <w:sz w:val="24"/>
                <w:szCs w:val="24"/>
              </w:rPr>
            </w:pPr>
            <w:r>
              <w:rPr>
                <w:rFonts w:hint="eastAsia" w:ascii="宋体" w:cs="宋体"/>
                <w:sz w:val="24"/>
                <w:szCs w:val="24"/>
              </w:rPr>
              <w:t>2</w:t>
            </w:r>
          </w:p>
        </w:tc>
        <w:tc>
          <w:tcPr>
            <w:tcW w:w="821" w:type="pct"/>
            <w:vAlign w:val="center"/>
          </w:tcPr>
          <w:p>
            <w:pPr>
              <w:jc w:val="center"/>
              <w:rPr>
                <w:rFonts w:ascii="宋体" w:cs="宋体"/>
                <w:sz w:val="24"/>
                <w:szCs w:val="24"/>
              </w:rPr>
            </w:pPr>
            <w:r>
              <w:rPr>
                <w:rFonts w:hint="eastAsia" w:ascii="宋体" w:cs="宋体"/>
                <w:sz w:val="24"/>
                <w:szCs w:val="24"/>
              </w:rPr>
              <w:t>采购方式</w:t>
            </w:r>
          </w:p>
        </w:tc>
        <w:tc>
          <w:tcPr>
            <w:tcW w:w="3839" w:type="pct"/>
            <w:vAlign w:val="center"/>
          </w:tcPr>
          <w:p>
            <w:pPr>
              <w:jc w:val="left"/>
              <w:rPr>
                <w:rFonts w:ascii="宋体" w:cs="宋体"/>
                <w:sz w:val="24"/>
                <w:szCs w:val="24"/>
              </w:rPr>
            </w:pPr>
            <w:r>
              <w:rPr>
                <w:rFonts w:hint="eastAsia" w:ascii="宋体" w:cs="宋体"/>
                <w:sz w:val="24"/>
                <w:szCs w:val="24"/>
              </w:rPr>
              <w:t>竞争性磋商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90" w:hRule="atLeast"/>
          <w:jc w:val="center"/>
        </w:trPr>
        <w:tc>
          <w:tcPr>
            <w:tcW w:w="339" w:type="pct"/>
            <w:vAlign w:val="center"/>
          </w:tcPr>
          <w:p>
            <w:pPr>
              <w:jc w:val="center"/>
              <w:rPr>
                <w:rFonts w:ascii="宋体" w:cs="宋体"/>
                <w:sz w:val="24"/>
                <w:szCs w:val="24"/>
              </w:rPr>
            </w:pPr>
            <w:r>
              <w:rPr>
                <w:rFonts w:hint="eastAsia" w:ascii="宋体" w:cs="宋体"/>
                <w:sz w:val="24"/>
                <w:szCs w:val="24"/>
              </w:rPr>
              <w:t>3</w:t>
            </w:r>
          </w:p>
        </w:tc>
        <w:tc>
          <w:tcPr>
            <w:tcW w:w="821" w:type="pct"/>
            <w:vAlign w:val="center"/>
          </w:tcPr>
          <w:p>
            <w:pPr>
              <w:jc w:val="center"/>
              <w:rPr>
                <w:rFonts w:ascii="宋体" w:cs="宋体"/>
                <w:sz w:val="24"/>
                <w:szCs w:val="24"/>
              </w:rPr>
            </w:pPr>
            <w:r>
              <w:rPr>
                <w:rFonts w:hint="eastAsia" w:ascii="宋体" w:cs="宋体"/>
                <w:sz w:val="24"/>
                <w:szCs w:val="24"/>
              </w:rPr>
              <w:t>履约保证金</w:t>
            </w:r>
          </w:p>
        </w:tc>
        <w:tc>
          <w:tcPr>
            <w:tcW w:w="3839" w:type="pct"/>
            <w:vAlign w:val="center"/>
          </w:tcPr>
          <w:p>
            <w:pPr>
              <w:jc w:val="left"/>
              <w:rPr>
                <w:rFonts w:ascii="宋体" w:cs="宋体"/>
                <w:sz w:val="24"/>
                <w:szCs w:val="24"/>
              </w:rPr>
            </w:pPr>
            <w:r>
              <w:rPr>
                <w:rFonts w:hint="eastAsia" w:ascii="宋体" w:cs="宋体"/>
                <w:sz w:val="24"/>
                <w:szCs w:val="24"/>
              </w:rPr>
              <w:t>不收取</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11" w:hRule="atLeast"/>
          <w:jc w:val="center"/>
        </w:trPr>
        <w:tc>
          <w:tcPr>
            <w:tcW w:w="339" w:type="pct"/>
            <w:vAlign w:val="center"/>
          </w:tcPr>
          <w:p>
            <w:pPr>
              <w:jc w:val="center"/>
              <w:rPr>
                <w:rFonts w:ascii="宋体" w:cs="宋体"/>
                <w:sz w:val="24"/>
                <w:szCs w:val="24"/>
              </w:rPr>
            </w:pPr>
            <w:r>
              <w:rPr>
                <w:rFonts w:hint="eastAsia" w:ascii="宋体" w:cs="宋体"/>
                <w:sz w:val="24"/>
                <w:szCs w:val="24"/>
              </w:rPr>
              <w:t>4</w:t>
            </w:r>
          </w:p>
        </w:tc>
        <w:tc>
          <w:tcPr>
            <w:tcW w:w="821" w:type="pct"/>
            <w:vAlign w:val="center"/>
          </w:tcPr>
          <w:p>
            <w:pPr>
              <w:jc w:val="center"/>
              <w:rPr>
                <w:rFonts w:ascii="宋体" w:cs="宋体"/>
                <w:sz w:val="24"/>
                <w:szCs w:val="24"/>
              </w:rPr>
            </w:pPr>
            <w:r>
              <w:rPr>
                <w:rFonts w:hint="eastAsia" w:ascii="宋体" w:cs="宋体"/>
                <w:sz w:val="24"/>
                <w:szCs w:val="24"/>
              </w:rPr>
              <w:t>磋商保证金</w:t>
            </w:r>
          </w:p>
        </w:tc>
        <w:tc>
          <w:tcPr>
            <w:tcW w:w="3839" w:type="pct"/>
            <w:vAlign w:val="center"/>
          </w:tcPr>
          <w:p>
            <w:pPr>
              <w:jc w:val="left"/>
              <w:rPr>
                <w:rFonts w:ascii="宋体" w:cs="宋体"/>
                <w:sz w:val="24"/>
                <w:szCs w:val="24"/>
              </w:rPr>
            </w:pPr>
            <w:r>
              <w:rPr>
                <w:rFonts w:hint="eastAsia" w:ascii="宋体" w:cs="宋体"/>
                <w:sz w:val="24"/>
                <w:szCs w:val="24"/>
              </w:rPr>
              <w:t>不收取</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90" w:hRule="atLeast"/>
          <w:jc w:val="center"/>
        </w:trPr>
        <w:tc>
          <w:tcPr>
            <w:tcW w:w="339" w:type="pct"/>
            <w:vAlign w:val="center"/>
          </w:tcPr>
          <w:p>
            <w:pPr>
              <w:jc w:val="center"/>
              <w:rPr>
                <w:rFonts w:ascii="宋体" w:cs="宋体"/>
                <w:sz w:val="24"/>
                <w:szCs w:val="24"/>
              </w:rPr>
            </w:pPr>
            <w:r>
              <w:rPr>
                <w:rFonts w:hint="eastAsia" w:ascii="宋体" w:cs="宋体"/>
                <w:sz w:val="24"/>
                <w:szCs w:val="24"/>
              </w:rPr>
              <w:t>5</w:t>
            </w:r>
          </w:p>
        </w:tc>
        <w:tc>
          <w:tcPr>
            <w:tcW w:w="821" w:type="pct"/>
            <w:vAlign w:val="center"/>
          </w:tcPr>
          <w:p>
            <w:pPr>
              <w:jc w:val="center"/>
              <w:rPr>
                <w:rFonts w:ascii="宋体" w:cs="宋体"/>
                <w:sz w:val="24"/>
                <w:szCs w:val="24"/>
              </w:rPr>
            </w:pPr>
            <w:r>
              <w:rPr>
                <w:rFonts w:hint="eastAsia" w:ascii="宋体" w:cs="宋体"/>
                <w:sz w:val="24"/>
                <w:szCs w:val="24"/>
              </w:rPr>
              <w:t>响应有效期</w:t>
            </w:r>
          </w:p>
        </w:tc>
        <w:tc>
          <w:tcPr>
            <w:tcW w:w="3839" w:type="pct"/>
            <w:vAlign w:val="center"/>
          </w:tcPr>
          <w:p>
            <w:pPr>
              <w:jc w:val="left"/>
              <w:rPr>
                <w:rFonts w:ascii="宋体" w:cs="宋体"/>
                <w:sz w:val="24"/>
                <w:szCs w:val="24"/>
              </w:rPr>
            </w:pPr>
            <w:r>
              <w:rPr>
                <w:rFonts w:hint="eastAsia" w:ascii="宋体" w:cs="宋体"/>
                <w:sz w:val="24"/>
                <w:szCs w:val="24"/>
              </w:rPr>
              <w:t>自响应文件递交截止之日起90个日历日。</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11" w:hRule="atLeast"/>
          <w:jc w:val="center"/>
        </w:trPr>
        <w:tc>
          <w:tcPr>
            <w:tcW w:w="339" w:type="pct"/>
            <w:vAlign w:val="center"/>
          </w:tcPr>
          <w:p>
            <w:pPr>
              <w:jc w:val="center"/>
              <w:rPr>
                <w:rFonts w:ascii="宋体" w:cs="宋体"/>
                <w:sz w:val="24"/>
                <w:szCs w:val="24"/>
              </w:rPr>
            </w:pPr>
            <w:r>
              <w:rPr>
                <w:rFonts w:hint="eastAsia" w:ascii="宋体" w:cs="宋体"/>
                <w:sz w:val="24"/>
                <w:szCs w:val="24"/>
              </w:rPr>
              <w:t>6</w:t>
            </w:r>
          </w:p>
        </w:tc>
        <w:tc>
          <w:tcPr>
            <w:tcW w:w="821" w:type="pct"/>
            <w:vAlign w:val="center"/>
          </w:tcPr>
          <w:p>
            <w:pPr>
              <w:jc w:val="center"/>
              <w:rPr>
                <w:rFonts w:ascii="宋体" w:cs="宋体"/>
                <w:sz w:val="24"/>
                <w:szCs w:val="24"/>
              </w:rPr>
            </w:pPr>
            <w:r>
              <w:rPr>
                <w:rFonts w:hint="eastAsia" w:ascii="宋体" w:cs="宋体"/>
                <w:sz w:val="24"/>
                <w:szCs w:val="24"/>
              </w:rPr>
              <w:t>评标办法</w:t>
            </w:r>
          </w:p>
        </w:tc>
        <w:tc>
          <w:tcPr>
            <w:tcW w:w="3839" w:type="pct"/>
            <w:vAlign w:val="center"/>
          </w:tcPr>
          <w:p>
            <w:pPr>
              <w:jc w:val="left"/>
              <w:rPr>
                <w:rFonts w:ascii="宋体" w:cs="宋体"/>
                <w:sz w:val="24"/>
                <w:szCs w:val="24"/>
              </w:rPr>
            </w:pPr>
            <w:r>
              <w:rPr>
                <w:rFonts w:hint="eastAsia" w:ascii="宋体" w:cs="宋体"/>
                <w:sz w:val="24"/>
                <w:szCs w:val="24"/>
              </w:rPr>
              <w:t>综合评分法</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65"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7</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服务要求</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服务期限：合同签订后5个日历日内开始提供服务，202</w:t>
            </w:r>
            <w:r>
              <w:rPr>
                <w:rFonts w:hint="eastAsia" w:ascii="宋体" w:cs="宋体"/>
                <w:sz w:val="24"/>
                <w:szCs w:val="24"/>
                <w:lang w:val="en-US" w:eastAsia="zh-CN"/>
              </w:rPr>
              <w:t>6</w:t>
            </w:r>
            <w:r>
              <w:rPr>
                <w:rFonts w:hint="eastAsia" w:ascii="宋体" w:cs="宋体"/>
                <w:sz w:val="24"/>
                <w:szCs w:val="24"/>
              </w:rPr>
              <w:t>年</w:t>
            </w:r>
            <w:r>
              <w:rPr>
                <w:rFonts w:hint="eastAsia" w:ascii="宋体" w:cs="宋体"/>
                <w:sz w:val="24"/>
                <w:szCs w:val="24"/>
                <w:lang w:val="en-US" w:eastAsia="zh-CN"/>
              </w:rPr>
              <w:t>9</w:t>
            </w:r>
            <w:r>
              <w:rPr>
                <w:rFonts w:hint="eastAsia" w:ascii="宋体" w:cs="宋体"/>
                <w:sz w:val="24"/>
                <w:szCs w:val="24"/>
              </w:rPr>
              <w:t>月3</w:t>
            </w:r>
            <w:r>
              <w:rPr>
                <w:rFonts w:hint="eastAsia" w:ascii="宋体" w:cs="宋体"/>
                <w:sz w:val="24"/>
                <w:szCs w:val="24"/>
                <w:lang w:val="en-US" w:eastAsia="zh-CN"/>
              </w:rPr>
              <w:t>0</w:t>
            </w:r>
            <w:r>
              <w:rPr>
                <w:rFonts w:hint="eastAsia" w:ascii="宋体" w:cs="宋体"/>
                <w:sz w:val="24"/>
                <w:szCs w:val="24"/>
              </w:rPr>
              <w:t>日前按照甲方提出的审核意见修改后，提交绩效评价报告正式稿。</w:t>
            </w:r>
          </w:p>
          <w:p>
            <w:pPr>
              <w:jc w:val="left"/>
              <w:rPr>
                <w:rFonts w:ascii="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99" w:hRule="atLeast"/>
          <w:jc w:val="center"/>
        </w:trPr>
        <w:tc>
          <w:tcPr>
            <w:tcW w:w="339" w:type="pct"/>
            <w:vAlign w:val="center"/>
          </w:tcPr>
          <w:p>
            <w:pPr>
              <w:jc w:val="center"/>
              <w:rPr>
                <w:rFonts w:ascii="宋体" w:cs="宋体"/>
                <w:sz w:val="24"/>
                <w:szCs w:val="24"/>
              </w:rPr>
            </w:pPr>
            <w:r>
              <w:rPr>
                <w:rFonts w:hint="eastAsia" w:ascii="宋体" w:cs="宋体"/>
                <w:sz w:val="24"/>
                <w:szCs w:val="24"/>
              </w:rPr>
              <w:t>8</w:t>
            </w:r>
          </w:p>
        </w:tc>
        <w:tc>
          <w:tcPr>
            <w:tcW w:w="821" w:type="pct"/>
            <w:vAlign w:val="center"/>
          </w:tcPr>
          <w:p>
            <w:pPr>
              <w:jc w:val="center"/>
              <w:rPr>
                <w:rFonts w:ascii="宋体" w:cs="宋体"/>
                <w:sz w:val="24"/>
                <w:szCs w:val="24"/>
              </w:rPr>
            </w:pPr>
            <w:r>
              <w:rPr>
                <w:rFonts w:hint="eastAsia" w:ascii="宋体" w:cs="宋体"/>
                <w:sz w:val="24"/>
                <w:szCs w:val="24"/>
              </w:rPr>
              <w:t>报价形式</w:t>
            </w:r>
          </w:p>
        </w:tc>
        <w:tc>
          <w:tcPr>
            <w:tcW w:w="3839" w:type="pct"/>
            <w:vAlign w:val="center"/>
          </w:tcPr>
          <w:p>
            <w:pPr>
              <w:jc w:val="left"/>
              <w:rPr>
                <w:rFonts w:hint="eastAsia" w:ascii="宋体" w:eastAsia="宋体" w:cs="宋体"/>
                <w:sz w:val="24"/>
                <w:szCs w:val="24"/>
                <w:lang w:eastAsia="zh-CN"/>
              </w:rPr>
            </w:pPr>
            <w:r>
              <w:rPr>
                <w:rFonts w:hint="eastAsia" w:ascii="宋体" w:cs="宋体"/>
                <w:sz w:val="24"/>
                <w:szCs w:val="24"/>
              </w:rPr>
              <w:t>1.</w:t>
            </w:r>
            <w:r>
              <w:rPr>
                <w:rFonts w:hint="eastAsia" w:ascii="宋体" w:cs="宋体"/>
                <w:sz w:val="24"/>
                <w:szCs w:val="24"/>
                <w:lang w:eastAsia="zh-CN"/>
              </w:rPr>
              <w:t>一轮报价</w:t>
            </w:r>
          </w:p>
          <w:p>
            <w:pPr>
              <w:jc w:val="left"/>
              <w:rPr>
                <w:rFonts w:ascii="宋体" w:cs="宋体"/>
                <w:sz w:val="24"/>
                <w:szCs w:val="24"/>
              </w:rPr>
            </w:pPr>
            <w:r>
              <w:rPr>
                <w:rFonts w:hint="eastAsia" w:ascii="宋体" w:cs="宋体"/>
                <w:sz w:val="24"/>
                <w:szCs w:val="24"/>
                <w:lang w:val="en-US" w:eastAsia="zh-CN"/>
              </w:rPr>
              <w:t>2.</w:t>
            </w:r>
            <w:r>
              <w:rPr>
                <w:rFonts w:hint="eastAsia" w:ascii="宋体" w:cs="宋体"/>
                <w:sz w:val="24"/>
                <w:szCs w:val="24"/>
              </w:rPr>
              <w:t>以人民币进行报价</w:t>
            </w:r>
          </w:p>
          <w:p>
            <w:pPr>
              <w:jc w:val="left"/>
              <w:rPr>
                <w:rFonts w:ascii="宋体" w:cs="宋体"/>
              </w:rPr>
            </w:pPr>
            <w:r>
              <w:rPr>
                <w:rFonts w:hint="eastAsia" w:ascii="宋体" w:cs="宋体"/>
                <w:sz w:val="24"/>
                <w:szCs w:val="24"/>
                <w:lang w:val="en-US" w:eastAsia="zh-CN"/>
              </w:rPr>
              <w:t>3</w:t>
            </w:r>
            <w:r>
              <w:rPr>
                <w:rFonts w:hint="eastAsia" w:ascii="宋体" w:cs="宋体"/>
                <w:sz w:val="24"/>
                <w:szCs w:val="24"/>
              </w:rPr>
              <w:t>.不得有选择性报价和附有条件的报价</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68"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9</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政府强制采购的节能产品</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无</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563"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10</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样品或演示</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不需要提供样品、不需要提供演示</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582"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11</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响应文件份数</w:t>
            </w:r>
          </w:p>
        </w:tc>
        <w:tc>
          <w:tcPr>
            <w:tcW w:w="3839" w:type="pct"/>
            <w:shd w:val="clear" w:color="auto" w:fill="F6F6F6"/>
            <w:vAlign w:val="center"/>
          </w:tcPr>
          <w:p>
            <w:pPr>
              <w:jc w:val="left"/>
              <w:rPr>
                <w:rFonts w:ascii="宋体" w:cs="宋体"/>
                <w:sz w:val="24"/>
                <w:szCs w:val="24"/>
              </w:rPr>
            </w:pPr>
            <w:r>
              <w:rPr>
                <w:rFonts w:hint="eastAsia" w:ascii="宋体" w:cs="宋体"/>
                <w:sz w:val="24"/>
                <w:szCs w:val="24"/>
                <w:lang w:val="en-US" w:eastAsia="zh-CN"/>
              </w:rPr>
              <w:t>3</w:t>
            </w:r>
            <w:r>
              <w:rPr>
                <w:rFonts w:hint="eastAsia" w:ascii="宋体" w:cs="宋体"/>
                <w:sz w:val="24"/>
                <w:szCs w:val="24"/>
              </w:rPr>
              <w:t>份</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68"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12</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递交响应文件截止时间、地点</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以采购</w:t>
            </w:r>
            <w:r>
              <w:rPr>
                <w:rFonts w:hint="eastAsia" w:ascii="宋体" w:cs="宋体"/>
                <w:sz w:val="24"/>
                <w:szCs w:val="24"/>
                <w:lang w:eastAsia="zh-CN"/>
              </w:rPr>
              <w:t>公共</w:t>
            </w:r>
            <w:r>
              <w:rPr>
                <w:rFonts w:hint="eastAsia" w:ascii="宋体" w:cs="宋体"/>
                <w:sz w:val="24"/>
                <w:szCs w:val="24"/>
              </w:rPr>
              <w:t>时间、地点为准。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68"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13</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磋商会议时间、地点</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以采购</w:t>
            </w:r>
            <w:r>
              <w:rPr>
                <w:rFonts w:hint="eastAsia" w:ascii="宋体" w:cs="宋体"/>
                <w:sz w:val="24"/>
                <w:szCs w:val="24"/>
                <w:lang w:eastAsia="zh-CN"/>
              </w:rPr>
              <w:t>公共</w:t>
            </w:r>
            <w:r>
              <w:rPr>
                <w:rFonts w:hint="eastAsia" w:ascii="宋体" w:cs="宋体"/>
                <w:sz w:val="24"/>
                <w:szCs w:val="24"/>
              </w:rPr>
              <w:t>时间、地点为准。</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435" w:hRule="atLeast"/>
          <w:jc w:val="center"/>
        </w:trPr>
        <w:tc>
          <w:tcPr>
            <w:tcW w:w="339" w:type="pct"/>
            <w:vAlign w:val="center"/>
          </w:tcPr>
          <w:p>
            <w:pPr>
              <w:jc w:val="center"/>
              <w:rPr>
                <w:rFonts w:ascii="宋体" w:cs="宋体"/>
                <w:sz w:val="24"/>
                <w:szCs w:val="24"/>
              </w:rPr>
            </w:pPr>
            <w:r>
              <w:rPr>
                <w:rFonts w:hint="eastAsia" w:ascii="宋体" w:cs="宋体"/>
                <w:sz w:val="24"/>
                <w:szCs w:val="24"/>
              </w:rPr>
              <w:t>14</w:t>
            </w:r>
          </w:p>
        </w:tc>
        <w:tc>
          <w:tcPr>
            <w:tcW w:w="821" w:type="pct"/>
            <w:vAlign w:val="center"/>
          </w:tcPr>
          <w:p>
            <w:pPr>
              <w:jc w:val="center"/>
              <w:rPr>
                <w:rFonts w:ascii="宋体" w:cs="宋体"/>
                <w:sz w:val="24"/>
                <w:szCs w:val="24"/>
              </w:rPr>
            </w:pPr>
            <w:r>
              <w:rPr>
                <w:rFonts w:hint="eastAsia" w:ascii="宋体" w:cs="宋体"/>
                <w:sz w:val="24"/>
                <w:szCs w:val="24"/>
                <w:highlight w:val="none"/>
              </w:rPr>
              <w:t>磋商小组组成</w:t>
            </w:r>
          </w:p>
        </w:tc>
        <w:tc>
          <w:tcPr>
            <w:tcW w:w="3839" w:type="pct"/>
            <w:vAlign w:val="center"/>
          </w:tcPr>
          <w:p>
            <w:pPr>
              <w:jc w:val="left"/>
              <w:rPr>
                <w:rFonts w:ascii="宋体" w:cs="宋体"/>
                <w:sz w:val="24"/>
                <w:szCs w:val="24"/>
              </w:rPr>
            </w:pPr>
            <w:r>
              <w:rPr>
                <w:rFonts w:hint="eastAsia" w:ascii="宋体" w:cs="宋体"/>
                <w:sz w:val="24"/>
                <w:szCs w:val="24"/>
              </w:rPr>
              <w:t>磋商小组由采购人代表1人，评审专家2人组成，共3人。</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09"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15</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成交候选供应商的数量</w:t>
            </w:r>
          </w:p>
        </w:tc>
        <w:tc>
          <w:tcPr>
            <w:tcW w:w="3839" w:type="pct"/>
            <w:shd w:val="clear" w:color="auto" w:fill="F6F6F6"/>
            <w:vAlign w:val="center"/>
          </w:tcPr>
          <w:p>
            <w:pPr>
              <w:jc w:val="left"/>
              <w:rPr>
                <w:rFonts w:ascii="宋体" w:cs="宋体"/>
                <w:sz w:val="24"/>
                <w:szCs w:val="24"/>
              </w:rPr>
            </w:pPr>
            <w:r>
              <w:rPr>
                <w:rFonts w:hint="eastAsia" w:ascii="宋体" w:cs="宋体"/>
                <w:sz w:val="24"/>
                <w:szCs w:val="24"/>
                <w:lang w:eastAsia="zh-CN"/>
              </w:rPr>
              <w:t>不低于</w:t>
            </w:r>
            <w:r>
              <w:rPr>
                <w:rFonts w:hint="eastAsia" w:ascii="宋体" w:cs="宋体"/>
                <w:sz w:val="24"/>
                <w:szCs w:val="24"/>
              </w:rPr>
              <w:t>3家</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241" w:hRule="atLeast"/>
          <w:jc w:val="center"/>
        </w:trPr>
        <w:tc>
          <w:tcPr>
            <w:tcW w:w="339" w:type="pct"/>
            <w:vAlign w:val="center"/>
          </w:tcPr>
          <w:p>
            <w:pPr>
              <w:jc w:val="center"/>
              <w:rPr>
                <w:rFonts w:ascii="宋体" w:cs="宋体"/>
                <w:sz w:val="24"/>
                <w:szCs w:val="24"/>
              </w:rPr>
            </w:pPr>
            <w:r>
              <w:rPr>
                <w:rFonts w:hint="eastAsia" w:ascii="宋体" w:cs="宋体"/>
                <w:sz w:val="24"/>
                <w:szCs w:val="24"/>
              </w:rPr>
              <w:t>16</w:t>
            </w:r>
          </w:p>
        </w:tc>
        <w:tc>
          <w:tcPr>
            <w:tcW w:w="821" w:type="pct"/>
            <w:vAlign w:val="center"/>
          </w:tcPr>
          <w:p>
            <w:pPr>
              <w:jc w:val="center"/>
              <w:rPr>
                <w:rFonts w:ascii="宋体" w:cs="宋体"/>
                <w:sz w:val="24"/>
                <w:szCs w:val="24"/>
              </w:rPr>
            </w:pPr>
            <w:r>
              <w:rPr>
                <w:rFonts w:hint="eastAsia" w:ascii="宋体" w:cs="宋体"/>
                <w:sz w:val="24"/>
                <w:szCs w:val="24"/>
              </w:rPr>
              <w:t>确定成交供应商的方式</w:t>
            </w:r>
          </w:p>
        </w:tc>
        <w:tc>
          <w:tcPr>
            <w:tcW w:w="3839" w:type="pct"/>
            <w:vAlign w:val="center"/>
          </w:tcPr>
          <w:p>
            <w:pPr>
              <w:jc w:val="left"/>
              <w:rPr>
                <w:rFonts w:ascii="宋体" w:cs="宋体"/>
                <w:sz w:val="24"/>
                <w:szCs w:val="24"/>
              </w:rPr>
            </w:pPr>
            <w:r>
              <w:rPr>
                <w:rFonts w:hint="eastAsia" w:ascii="宋体" w:cs="宋体"/>
                <w:sz w:val="24"/>
                <w:szCs w:val="24"/>
              </w:rPr>
              <w:t>成交供应商数量：1家</w:t>
            </w:r>
          </w:p>
          <w:p>
            <w:pPr>
              <w:jc w:val="left"/>
              <w:rPr>
                <w:rFonts w:ascii="宋体" w:cs="宋体"/>
                <w:sz w:val="24"/>
                <w:szCs w:val="24"/>
              </w:rPr>
            </w:pPr>
            <w:r>
              <w:rPr>
                <w:rFonts w:hint="eastAsia" w:ascii="宋体" w:cs="宋体"/>
                <w:sz w:val="24"/>
                <w:szCs w:val="24"/>
              </w:rPr>
              <w:t>采购人按照评审报告中推荐的成交候选人确定中标（成交）人。</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570"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17</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付款方式</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验收合格后结合质量情况支付费用。</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90"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18</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招标代理服务费</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不适用</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83" w:hRule="atLeast"/>
          <w:jc w:val="center"/>
        </w:trPr>
        <w:tc>
          <w:tcPr>
            <w:tcW w:w="339" w:type="pct"/>
            <w:vAlign w:val="center"/>
          </w:tcPr>
          <w:p>
            <w:pPr>
              <w:jc w:val="center"/>
              <w:rPr>
                <w:rFonts w:ascii="宋体" w:cs="宋体"/>
                <w:sz w:val="24"/>
                <w:szCs w:val="24"/>
              </w:rPr>
            </w:pPr>
            <w:r>
              <w:rPr>
                <w:rFonts w:hint="eastAsia" w:ascii="宋体" w:cs="宋体"/>
                <w:sz w:val="24"/>
                <w:szCs w:val="24"/>
              </w:rPr>
              <w:t>19</w:t>
            </w:r>
          </w:p>
        </w:tc>
        <w:tc>
          <w:tcPr>
            <w:tcW w:w="821" w:type="pct"/>
            <w:vAlign w:val="center"/>
          </w:tcPr>
          <w:p>
            <w:pPr>
              <w:jc w:val="center"/>
              <w:rPr>
                <w:rFonts w:ascii="宋体" w:cs="宋体"/>
                <w:sz w:val="24"/>
                <w:szCs w:val="24"/>
              </w:rPr>
            </w:pPr>
            <w:r>
              <w:rPr>
                <w:rFonts w:hint="eastAsia" w:ascii="宋体" w:cs="宋体"/>
                <w:sz w:val="24"/>
                <w:szCs w:val="24"/>
              </w:rPr>
              <w:t>有效响应供应商家数</w:t>
            </w:r>
          </w:p>
        </w:tc>
        <w:tc>
          <w:tcPr>
            <w:tcW w:w="3839" w:type="pct"/>
            <w:vAlign w:val="center"/>
          </w:tcPr>
          <w:p>
            <w:pPr>
              <w:jc w:val="left"/>
              <w:rPr>
                <w:rFonts w:ascii="宋体" w:cs="宋体"/>
                <w:sz w:val="24"/>
                <w:szCs w:val="24"/>
              </w:rPr>
            </w:pPr>
            <w:r>
              <w:rPr>
                <w:rFonts w:hint="eastAsia" w:ascii="宋体" w:cs="宋体"/>
                <w:sz w:val="24"/>
                <w:szCs w:val="24"/>
              </w:rPr>
              <w:t>3家。此数约定了磋商过程中的最低有效供应商家数，当家数不足时项目将不得磋商评标或直接废标。</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37"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20</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质疑</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一、供应商认为自己的权益受到损害的，可以在知道或者应知其权益受到损害之日起七个工作日内，向采购人提出质疑。</w:t>
            </w:r>
          </w:p>
          <w:p>
            <w:pPr>
              <w:jc w:val="left"/>
              <w:rPr>
                <w:rFonts w:ascii="宋体" w:cs="宋体"/>
                <w:sz w:val="24"/>
                <w:szCs w:val="24"/>
              </w:rPr>
            </w:pPr>
            <w:r>
              <w:rPr>
                <w:rFonts w:hint="eastAsia" w:ascii="宋体" w:cs="宋体"/>
                <w:sz w:val="24"/>
                <w:szCs w:val="24"/>
              </w:rPr>
              <w:t>1、接收质疑函的方式：接收加盖单位公章的书面质疑函</w:t>
            </w:r>
          </w:p>
          <w:p>
            <w:pPr>
              <w:jc w:val="left"/>
              <w:rPr>
                <w:rFonts w:ascii="宋体" w:cs="宋体"/>
                <w:sz w:val="24"/>
                <w:szCs w:val="24"/>
              </w:rPr>
            </w:pPr>
            <w:r>
              <w:rPr>
                <w:rFonts w:hint="eastAsia" w:ascii="宋体" w:cs="宋体"/>
                <w:sz w:val="24"/>
                <w:szCs w:val="24"/>
              </w:rPr>
              <w:t>联系单位：赤峰市</w:t>
            </w:r>
            <w:r>
              <w:rPr>
                <w:rFonts w:hint="eastAsia" w:ascii="宋体" w:cs="宋体"/>
                <w:sz w:val="24"/>
                <w:szCs w:val="24"/>
                <w:lang w:eastAsia="zh-CN"/>
              </w:rPr>
              <w:t>财政局</w:t>
            </w:r>
            <w:r>
              <w:rPr>
                <w:rFonts w:hint="eastAsia" w:ascii="宋体" w:cs="宋体"/>
                <w:sz w:val="24"/>
                <w:szCs w:val="24"/>
                <w:lang w:val="en-US" w:eastAsia="zh-CN"/>
              </w:rPr>
              <w:t xml:space="preserve">   </w:t>
            </w:r>
            <w:r>
              <w:rPr>
                <w:rFonts w:hint="eastAsia" w:ascii="宋体" w:cs="宋体"/>
                <w:sz w:val="24"/>
                <w:szCs w:val="24"/>
              </w:rPr>
              <w:t>联系人：陈先生</w:t>
            </w:r>
          </w:p>
          <w:p>
            <w:pPr>
              <w:jc w:val="left"/>
              <w:rPr>
                <w:rFonts w:ascii="宋体" w:cs="宋体"/>
                <w:sz w:val="24"/>
                <w:szCs w:val="24"/>
              </w:rPr>
            </w:pPr>
            <w:r>
              <w:rPr>
                <w:rFonts w:hint="eastAsia" w:ascii="宋体" w:cs="宋体"/>
                <w:sz w:val="24"/>
                <w:szCs w:val="24"/>
              </w:rPr>
              <w:t>联系方式：0476-8366113</w:t>
            </w:r>
          </w:p>
          <w:p>
            <w:pPr>
              <w:jc w:val="left"/>
              <w:rPr>
                <w:rFonts w:ascii="宋体" w:cs="宋体"/>
                <w:sz w:val="24"/>
                <w:szCs w:val="24"/>
              </w:rPr>
            </w:pPr>
            <w:r>
              <w:rPr>
                <w:rFonts w:hint="eastAsia" w:ascii="宋体" w:cs="宋体"/>
                <w:sz w:val="24"/>
                <w:szCs w:val="24"/>
              </w:rPr>
              <w:t>2、质疑函的内容、格式：应符合《政府采购质疑和投诉办法》相关规定和财政部门制定的《政府采购质疑函范本》格式。</w:t>
            </w:r>
          </w:p>
          <w:p>
            <w:pPr>
              <w:jc w:val="left"/>
              <w:rPr>
                <w:rFonts w:ascii="宋体" w:cs="宋体"/>
                <w:sz w:val="24"/>
                <w:szCs w:val="24"/>
              </w:rPr>
            </w:pPr>
            <w:r>
              <w:rPr>
                <w:rFonts w:hint="eastAsia" w:ascii="宋体" w:cs="宋体"/>
                <w:sz w:val="24"/>
                <w:szCs w:val="24"/>
              </w:rPr>
              <w:t>二、供应商应在法定质疑期内一次性针对同一采购程序环节提出质疑，否则针对再次提出质疑将不予接收。（采购程序环节分为：采购邀请、采购文件、采购过程、成交结果）</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37" w:hRule="atLeast"/>
          <w:jc w:val="center"/>
        </w:trPr>
        <w:tc>
          <w:tcPr>
            <w:tcW w:w="339" w:type="pct"/>
            <w:shd w:val="clear" w:color="auto" w:fill="F6F6F6"/>
            <w:vAlign w:val="center"/>
          </w:tcPr>
          <w:p>
            <w:pPr>
              <w:jc w:val="center"/>
              <w:rPr>
                <w:rFonts w:ascii="宋体" w:cs="宋体"/>
                <w:sz w:val="24"/>
                <w:szCs w:val="24"/>
              </w:rPr>
            </w:pPr>
            <w:r>
              <w:rPr>
                <w:rFonts w:hint="eastAsia" w:ascii="宋体" w:cs="宋体"/>
                <w:sz w:val="24"/>
                <w:szCs w:val="24"/>
              </w:rPr>
              <w:t>21</w:t>
            </w:r>
          </w:p>
        </w:tc>
        <w:tc>
          <w:tcPr>
            <w:tcW w:w="821" w:type="pct"/>
            <w:shd w:val="clear" w:color="auto" w:fill="F6F6F6"/>
            <w:vAlign w:val="center"/>
          </w:tcPr>
          <w:p>
            <w:pPr>
              <w:jc w:val="center"/>
              <w:rPr>
                <w:rFonts w:ascii="宋体" w:cs="宋体"/>
                <w:sz w:val="24"/>
                <w:szCs w:val="24"/>
              </w:rPr>
            </w:pPr>
            <w:r>
              <w:rPr>
                <w:rFonts w:hint="eastAsia" w:ascii="宋体" w:cs="宋体"/>
                <w:sz w:val="24"/>
                <w:szCs w:val="24"/>
              </w:rPr>
              <w:t>现场踏勘</w:t>
            </w:r>
          </w:p>
        </w:tc>
        <w:tc>
          <w:tcPr>
            <w:tcW w:w="3839" w:type="pct"/>
            <w:shd w:val="clear" w:color="auto" w:fill="F6F6F6"/>
            <w:vAlign w:val="center"/>
          </w:tcPr>
          <w:p>
            <w:pPr>
              <w:jc w:val="left"/>
              <w:rPr>
                <w:rFonts w:ascii="宋体" w:cs="宋体"/>
                <w:sz w:val="24"/>
                <w:szCs w:val="24"/>
              </w:rPr>
            </w:pPr>
            <w:r>
              <w:rPr>
                <w:rFonts w:hint="eastAsia" w:ascii="宋体" w:cs="宋体"/>
                <w:sz w:val="24"/>
                <w:szCs w:val="24"/>
              </w:rPr>
              <w:t>不踏勘现场</w:t>
            </w:r>
          </w:p>
        </w:tc>
      </w:tr>
    </w:tbl>
    <w:p>
      <w:pPr>
        <w:snapToGrid w:val="0"/>
        <w:textAlignment w:val="baseline"/>
        <w:rPr>
          <w:rFonts w:ascii="宋体" w:cs="宋体"/>
          <w:b/>
          <w:sz w:val="28"/>
          <w:szCs w:val="28"/>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ind w:firstLine="3533" w:firstLineChars="800"/>
        <w:jc w:val="both"/>
        <w:rPr>
          <w:rStyle w:val="35"/>
          <w:rFonts w:hint="eastAsia" w:ascii="宋体" w:cs="宋体"/>
          <w:highlight w:val="none"/>
        </w:rPr>
      </w:pPr>
    </w:p>
    <w:p>
      <w:pPr>
        <w:snapToGrid w:val="0"/>
        <w:spacing w:line="360" w:lineRule="auto"/>
        <w:jc w:val="both"/>
        <w:rPr>
          <w:rStyle w:val="35"/>
          <w:rFonts w:hint="eastAsia" w:ascii="宋体" w:cs="宋体"/>
          <w:highlight w:val="none"/>
        </w:rPr>
      </w:pPr>
    </w:p>
    <w:p>
      <w:pPr>
        <w:snapToGrid w:val="0"/>
        <w:spacing w:line="360" w:lineRule="auto"/>
        <w:ind w:firstLine="3533" w:firstLineChars="800"/>
        <w:jc w:val="both"/>
        <w:rPr>
          <w:rFonts w:ascii="宋体" w:cs="宋体"/>
          <w:highlight w:val="none"/>
        </w:rPr>
      </w:pPr>
      <w:r>
        <w:rPr>
          <w:rStyle w:val="35"/>
          <w:rFonts w:hint="eastAsia" w:ascii="宋体" w:cs="宋体"/>
          <w:highlight w:val="none"/>
        </w:rPr>
        <w:t>第三章</w:t>
      </w:r>
      <w:r>
        <w:rPr>
          <w:rStyle w:val="35"/>
          <w:rFonts w:hint="eastAsia" w:ascii="宋体" w:cs="宋体"/>
          <w:highlight w:val="none"/>
          <w:lang w:val="en-US"/>
        </w:rPr>
        <w:t xml:space="preserve"> 磋</w:t>
      </w:r>
      <w:r>
        <w:rPr>
          <w:rStyle w:val="35"/>
          <w:rFonts w:hint="eastAsia" w:ascii="宋体" w:cs="宋体"/>
          <w:highlight w:val="none"/>
        </w:rPr>
        <w:t>商须知</w:t>
      </w:r>
    </w:p>
    <w:p>
      <w:pPr>
        <w:ind w:firstLine="481" w:firstLineChars="200"/>
        <w:rPr>
          <w:rFonts w:ascii="宋体" w:cs="宋体"/>
          <w:b/>
          <w:bCs/>
          <w:sz w:val="24"/>
          <w:szCs w:val="24"/>
          <w:highlight w:val="none"/>
        </w:rPr>
      </w:pPr>
      <w:r>
        <w:rPr>
          <w:rFonts w:hint="eastAsia" w:ascii="宋体" w:cs="宋体"/>
          <w:b/>
          <w:sz w:val="24"/>
          <w:szCs w:val="24"/>
          <w:highlight w:val="none"/>
          <w:lang w:eastAsia="zh-CN"/>
        </w:rPr>
        <w:t>一</w:t>
      </w:r>
      <w:r>
        <w:rPr>
          <w:rFonts w:hint="eastAsia" w:ascii="宋体" w:cs="宋体"/>
          <w:sz w:val="24"/>
          <w:szCs w:val="24"/>
          <w:highlight w:val="none"/>
        </w:rPr>
        <w:t>、</w:t>
      </w:r>
      <w:r>
        <w:rPr>
          <w:rFonts w:hint="eastAsia" w:ascii="宋体" w:cs="宋体"/>
          <w:b/>
          <w:bCs/>
          <w:sz w:val="24"/>
          <w:szCs w:val="24"/>
          <w:highlight w:val="none"/>
        </w:rPr>
        <w:t>响应文件组成</w:t>
      </w:r>
    </w:p>
    <w:p>
      <w:pPr>
        <w:adjustRightInd w:val="0"/>
        <w:snapToGrid w:val="0"/>
        <w:spacing w:line="360" w:lineRule="auto"/>
        <w:ind w:firstLine="480"/>
        <w:rPr>
          <w:rFonts w:ascii="宋体" w:cs="宋体"/>
          <w:sz w:val="24"/>
          <w:szCs w:val="24"/>
          <w:highlight w:val="none"/>
        </w:rPr>
      </w:pPr>
      <w:r>
        <w:rPr>
          <w:rFonts w:hint="eastAsia" w:ascii="宋体" w:cs="宋体"/>
          <w:sz w:val="24"/>
          <w:szCs w:val="24"/>
          <w:highlight w:val="none"/>
        </w:rPr>
        <w:t>1.投标承诺书；</w:t>
      </w:r>
    </w:p>
    <w:p>
      <w:pPr>
        <w:adjustRightInd w:val="0"/>
        <w:snapToGrid w:val="0"/>
        <w:spacing w:line="360" w:lineRule="auto"/>
        <w:ind w:firstLine="480"/>
        <w:rPr>
          <w:rFonts w:ascii="宋体" w:cs="宋体"/>
          <w:sz w:val="24"/>
          <w:szCs w:val="24"/>
          <w:highlight w:val="none"/>
        </w:rPr>
      </w:pPr>
      <w:r>
        <w:rPr>
          <w:rFonts w:hint="eastAsia" w:ascii="宋体" w:cs="宋体"/>
          <w:sz w:val="24"/>
          <w:szCs w:val="24"/>
          <w:highlight w:val="none"/>
        </w:rPr>
        <w:t>2.报价表；</w:t>
      </w:r>
    </w:p>
    <w:p>
      <w:pPr>
        <w:adjustRightInd w:val="0"/>
        <w:snapToGrid w:val="0"/>
        <w:spacing w:line="360" w:lineRule="auto"/>
        <w:ind w:firstLine="480"/>
        <w:rPr>
          <w:rFonts w:ascii="宋体" w:cs="宋体"/>
          <w:sz w:val="24"/>
          <w:szCs w:val="24"/>
          <w:highlight w:val="none"/>
        </w:rPr>
      </w:pPr>
      <w:r>
        <w:rPr>
          <w:rFonts w:hint="eastAsia" w:ascii="宋体" w:cs="宋体"/>
          <w:sz w:val="24"/>
          <w:szCs w:val="24"/>
          <w:highlight w:val="none"/>
        </w:rPr>
        <w:t>3.供应商</w:t>
      </w:r>
      <w:r>
        <w:rPr>
          <w:rFonts w:hint="eastAsia" w:ascii="宋体" w:cs="宋体"/>
          <w:sz w:val="24"/>
          <w:szCs w:val="24"/>
          <w:highlight w:val="none"/>
          <w:lang w:eastAsia="zh-CN"/>
        </w:rPr>
        <w:t>资质和业绩</w:t>
      </w:r>
      <w:r>
        <w:rPr>
          <w:rFonts w:hint="eastAsia" w:ascii="宋体" w:cs="宋体"/>
          <w:sz w:val="24"/>
          <w:szCs w:val="24"/>
          <w:highlight w:val="none"/>
        </w:rPr>
        <w:t>情况；</w:t>
      </w:r>
    </w:p>
    <w:p>
      <w:pPr>
        <w:adjustRightInd w:val="0"/>
        <w:snapToGrid w:val="0"/>
        <w:spacing w:line="360" w:lineRule="auto"/>
        <w:ind w:firstLine="480"/>
        <w:rPr>
          <w:rFonts w:ascii="宋体" w:cs="宋体"/>
          <w:b w:val="0"/>
          <w:bCs w:val="0"/>
          <w:sz w:val="24"/>
          <w:szCs w:val="24"/>
          <w:highlight w:val="none"/>
        </w:rPr>
      </w:pPr>
      <w:r>
        <w:rPr>
          <w:rFonts w:hint="eastAsia" w:ascii="宋体" w:cs="宋体"/>
          <w:b w:val="0"/>
          <w:bCs w:val="0"/>
          <w:sz w:val="24"/>
          <w:szCs w:val="24"/>
          <w:highlight w:val="none"/>
        </w:rPr>
        <w:t>4.</w:t>
      </w:r>
      <w:r>
        <w:rPr>
          <w:rFonts w:hint="eastAsia" w:ascii="宋体" w:hAnsi="宋体" w:cs="宋体"/>
          <w:b w:val="0"/>
          <w:bCs w:val="0"/>
          <w:sz w:val="24"/>
          <w:szCs w:val="24"/>
          <w:highlight w:val="none"/>
        </w:rPr>
        <w:t xml:space="preserve"> </w:t>
      </w:r>
      <w:r>
        <w:rPr>
          <w:rFonts w:hint="eastAsia" w:ascii="宋体" w:hAnsi="宋体" w:cs="宋体"/>
          <w:b w:val="0"/>
          <w:bCs w:val="0"/>
          <w:sz w:val="24"/>
          <w:szCs w:val="24"/>
          <w:highlight w:val="none"/>
          <w:lang w:eastAsia="zh-CN"/>
        </w:rPr>
        <w:t>实施方案；</w:t>
      </w:r>
    </w:p>
    <w:p>
      <w:pPr>
        <w:adjustRightInd w:val="0"/>
        <w:snapToGrid w:val="0"/>
        <w:spacing w:line="360" w:lineRule="auto"/>
        <w:ind w:firstLine="480"/>
        <w:rPr>
          <w:rFonts w:ascii="宋体" w:cs="宋体"/>
          <w:sz w:val="24"/>
          <w:szCs w:val="24"/>
          <w:highlight w:val="none"/>
        </w:rPr>
      </w:pPr>
      <w:r>
        <w:rPr>
          <w:rFonts w:hint="eastAsia" w:ascii="宋体" w:cs="宋体"/>
          <w:sz w:val="24"/>
          <w:szCs w:val="24"/>
          <w:highlight w:val="none"/>
        </w:rPr>
        <w:t>5.项目组成人员</w:t>
      </w:r>
      <w:r>
        <w:rPr>
          <w:rFonts w:hint="eastAsia" w:ascii="宋体" w:cs="宋体"/>
          <w:sz w:val="24"/>
          <w:szCs w:val="24"/>
          <w:highlight w:val="none"/>
          <w:lang w:eastAsia="zh-CN"/>
        </w:rPr>
        <w:t>情况</w:t>
      </w:r>
      <w:r>
        <w:rPr>
          <w:rFonts w:hint="eastAsia" w:ascii="宋体" w:cs="宋体"/>
          <w:sz w:val="24"/>
          <w:szCs w:val="24"/>
          <w:highlight w:val="none"/>
        </w:rPr>
        <w:t>；</w:t>
      </w:r>
    </w:p>
    <w:p>
      <w:pPr>
        <w:snapToGrid w:val="0"/>
        <w:spacing w:line="360" w:lineRule="auto"/>
        <w:ind w:firstLine="481" w:firstLineChars="200"/>
        <w:jc w:val="left"/>
        <w:rPr>
          <w:rFonts w:ascii="宋体" w:cs="宋体"/>
          <w:sz w:val="24"/>
          <w:szCs w:val="24"/>
        </w:rPr>
      </w:pPr>
      <w:r>
        <w:rPr>
          <w:rFonts w:hint="eastAsia" w:ascii="宋体" w:cs="宋体"/>
          <w:b/>
          <w:bCs/>
          <w:sz w:val="24"/>
          <w:szCs w:val="24"/>
          <w:lang w:eastAsia="zh-CN"/>
        </w:rPr>
        <w:t>二</w:t>
      </w:r>
      <w:r>
        <w:rPr>
          <w:rFonts w:hint="eastAsia" w:ascii="宋体" w:cs="宋体"/>
          <w:b/>
          <w:bCs/>
          <w:sz w:val="24"/>
          <w:szCs w:val="24"/>
        </w:rPr>
        <w:t>、</w:t>
      </w:r>
      <w:r>
        <w:rPr>
          <w:rFonts w:hint="eastAsia" w:ascii="宋体" w:cs="宋体"/>
          <w:b/>
          <w:sz w:val="24"/>
          <w:szCs w:val="24"/>
        </w:rPr>
        <w:t>响应文件的</w:t>
      </w:r>
      <w:r>
        <w:rPr>
          <w:rFonts w:hint="eastAsia" w:ascii="宋体" w:cs="宋体"/>
          <w:b/>
          <w:bCs/>
          <w:sz w:val="24"/>
          <w:szCs w:val="24"/>
        </w:rPr>
        <w:t>式样和</w:t>
      </w:r>
      <w:r>
        <w:rPr>
          <w:rFonts w:hint="eastAsia" w:ascii="宋体" w:cs="宋体"/>
          <w:b/>
          <w:sz w:val="24"/>
          <w:szCs w:val="24"/>
        </w:rPr>
        <w:t>签署等规定：</w:t>
      </w:r>
    </w:p>
    <w:p>
      <w:pPr>
        <w:snapToGrid w:val="0"/>
        <w:spacing w:line="360" w:lineRule="auto"/>
        <w:ind w:firstLine="480" w:firstLineChars="200"/>
        <w:rPr>
          <w:rFonts w:ascii="宋体" w:cs="宋体"/>
          <w:sz w:val="24"/>
        </w:rPr>
      </w:pPr>
      <w:r>
        <w:rPr>
          <w:rFonts w:hint="eastAsia" w:ascii="宋体" w:cs="宋体"/>
          <w:sz w:val="24"/>
        </w:rPr>
        <w:t>（一）供应商应在磋商响应文件中加盖供应商的公章（加盖供应商的财务章或投标专用章或其他业务章视为无效磋商响应文件）。</w:t>
      </w:r>
    </w:p>
    <w:p>
      <w:pPr>
        <w:snapToGrid w:val="0"/>
        <w:spacing w:line="360" w:lineRule="auto"/>
        <w:ind w:firstLine="480" w:firstLineChars="200"/>
        <w:rPr>
          <w:rFonts w:ascii="宋体" w:cs="宋体"/>
          <w:sz w:val="24"/>
        </w:rPr>
      </w:pPr>
      <w:r>
        <w:rPr>
          <w:rFonts w:hint="eastAsia" w:ascii="宋体" w:cs="宋体"/>
          <w:sz w:val="24"/>
        </w:rPr>
        <w:t>（二）响应文件必须由法定代表人（负责人）或其授权代表按竞争性磋商文件要求签署。</w:t>
      </w:r>
    </w:p>
    <w:p>
      <w:pPr>
        <w:snapToGrid w:val="0"/>
        <w:spacing w:line="360" w:lineRule="auto"/>
        <w:ind w:firstLine="480" w:firstLineChars="200"/>
        <w:rPr>
          <w:rFonts w:ascii="宋体" w:cs="宋体"/>
          <w:sz w:val="24"/>
        </w:rPr>
      </w:pPr>
      <w:r>
        <w:rPr>
          <w:rFonts w:hint="eastAsia" w:ascii="宋体" w:cs="宋体"/>
          <w:sz w:val="24"/>
        </w:rPr>
        <w:t>（三）响应文件一式三份</w:t>
      </w:r>
    </w:p>
    <w:p>
      <w:pPr>
        <w:adjustRightInd w:val="0"/>
        <w:snapToGrid w:val="0"/>
        <w:spacing w:line="360" w:lineRule="auto"/>
        <w:ind w:firstLine="602" w:firstLineChars="250"/>
        <w:rPr>
          <w:rFonts w:ascii="宋体" w:cs="宋体"/>
          <w:b/>
          <w:bCs/>
          <w:sz w:val="24"/>
        </w:rPr>
      </w:pPr>
      <w:r>
        <w:rPr>
          <w:rFonts w:hint="eastAsia" w:ascii="宋体" w:cs="宋体"/>
          <w:b/>
          <w:sz w:val="24"/>
          <w:lang w:eastAsia="zh-CN"/>
        </w:rPr>
        <w:t>三</w:t>
      </w:r>
      <w:r>
        <w:rPr>
          <w:rFonts w:hint="eastAsia" w:ascii="宋体" w:cs="宋体"/>
          <w:b/>
          <w:sz w:val="24"/>
        </w:rPr>
        <w:t>、</w:t>
      </w:r>
      <w:r>
        <w:rPr>
          <w:rFonts w:hint="eastAsia" w:ascii="宋体" w:cs="宋体"/>
          <w:b/>
          <w:bCs/>
          <w:sz w:val="24"/>
        </w:rPr>
        <w:t>磋商响应报价：</w:t>
      </w:r>
    </w:p>
    <w:p>
      <w:pPr>
        <w:snapToGrid w:val="0"/>
        <w:spacing w:line="360" w:lineRule="auto"/>
        <w:ind w:left="420" w:leftChars="200"/>
        <w:rPr>
          <w:rFonts w:ascii="宋体" w:cs="宋体"/>
          <w:sz w:val="24"/>
        </w:rPr>
      </w:pPr>
      <w:r>
        <w:rPr>
          <w:rFonts w:hint="eastAsia" w:ascii="宋体" w:cs="宋体"/>
          <w:sz w:val="24"/>
        </w:rPr>
        <w:t>1.报价方式</w:t>
      </w:r>
      <w:r>
        <w:rPr>
          <w:rFonts w:hint="eastAsia" w:ascii="宋体" w:cs="宋体"/>
          <w:sz w:val="24"/>
          <w:lang w:eastAsia="zh-TW"/>
        </w:rPr>
        <w:t>：</w:t>
      </w:r>
      <w:r>
        <w:rPr>
          <w:rFonts w:hint="eastAsia" w:ascii="宋体" w:cs="宋体"/>
          <w:sz w:val="24"/>
          <w:lang w:eastAsia="zh-CN"/>
        </w:rPr>
        <w:t>一轮报价，</w:t>
      </w:r>
      <w:r>
        <w:rPr>
          <w:rFonts w:hint="eastAsia" w:ascii="宋体" w:cs="宋体"/>
          <w:sz w:val="24"/>
          <w:lang w:eastAsia="zh-TW"/>
        </w:rPr>
        <w:t>采购报价采用</w:t>
      </w:r>
      <w:r>
        <w:rPr>
          <w:rFonts w:hint="eastAsia" w:ascii="宋体" w:cs="宋体"/>
          <w:sz w:val="24"/>
        </w:rPr>
        <w:t>人民币“元”</w:t>
      </w:r>
      <w:r>
        <w:rPr>
          <w:rFonts w:hint="eastAsia" w:ascii="宋体" w:cs="宋体"/>
          <w:sz w:val="24"/>
          <w:lang w:eastAsia="zh-TW"/>
        </w:rPr>
        <w:t>报价</w:t>
      </w:r>
      <w:r>
        <w:rPr>
          <w:rFonts w:hint="eastAsia" w:ascii="宋体" w:cs="宋体"/>
          <w:sz w:val="24"/>
        </w:rPr>
        <w:t>。</w:t>
      </w:r>
    </w:p>
    <w:p>
      <w:pPr>
        <w:snapToGrid w:val="0"/>
        <w:spacing w:line="360" w:lineRule="auto"/>
        <w:ind w:left="420" w:leftChars="200"/>
        <w:rPr>
          <w:rFonts w:ascii="宋体" w:cs="宋体"/>
          <w:sz w:val="24"/>
        </w:rPr>
      </w:pPr>
      <w:r>
        <w:rPr>
          <w:rFonts w:hint="eastAsia" w:ascii="宋体" w:cs="宋体"/>
          <w:sz w:val="24"/>
        </w:rPr>
        <w:t>2.报价要求：</w:t>
      </w:r>
    </w:p>
    <w:p>
      <w:pPr>
        <w:snapToGrid w:val="0"/>
        <w:spacing w:line="360" w:lineRule="auto"/>
        <w:ind w:firstLine="480" w:firstLineChars="200"/>
        <w:rPr>
          <w:rFonts w:ascii="宋体" w:cs="宋体"/>
          <w:sz w:val="24"/>
          <w:lang w:eastAsia="zh-TW"/>
        </w:rPr>
      </w:pPr>
      <w:r>
        <w:rPr>
          <w:rFonts w:hint="eastAsia" w:ascii="宋体" w:cs="宋体"/>
          <w:sz w:val="24"/>
          <w:lang w:eastAsia="zh-TW"/>
        </w:rPr>
        <w:t>（一）供应商的响应文件中只允许有一个报价，任何有选择的报价和附有条件的报价将不予接受。</w:t>
      </w:r>
    </w:p>
    <w:p>
      <w:pPr>
        <w:adjustRightInd w:val="0"/>
        <w:snapToGrid w:val="0"/>
        <w:spacing w:line="360" w:lineRule="auto"/>
        <w:ind w:firstLine="480" w:firstLineChars="200"/>
        <w:rPr>
          <w:rFonts w:ascii="宋体" w:cs="宋体"/>
          <w:sz w:val="24"/>
        </w:rPr>
      </w:pPr>
      <w:r>
        <w:rPr>
          <w:rFonts w:hint="eastAsia" w:ascii="宋体" w:cs="宋体"/>
          <w:sz w:val="24"/>
        </w:rPr>
        <w:t>（二）投标报价表中标明的价格在合同履行过程中是固定不变的，不得以任何理由予以变更。供应商在报价时应充分考虑本项目招标的各种风险（包括漏项风险），在合同履行期间中标价不再进行调整。</w:t>
      </w:r>
    </w:p>
    <w:p>
      <w:pPr>
        <w:adjustRightInd w:val="0"/>
        <w:snapToGrid w:val="0"/>
        <w:spacing w:line="360" w:lineRule="auto"/>
        <w:ind w:firstLine="480" w:firstLineChars="200"/>
        <w:rPr>
          <w:rFonts w:ascii="宋体" w:cs="宋体"/>
          <w:sz w:val="24"/>
        </w:rPr>
      </w:pPr>
      <w:r>
        <w:rPr>
          <w:rFonts w:hint="eastAsia" w:ascii="宋体" w:cs="宋体"/>
          <w:sz w:val="24"/>
        </w:rPr>
        <w:t>（三）供应商不得以低于成本的报价竞标等恶意竞争</w:t>
      </w:r>
      <w:r>
        <w:rPr>
          <w:rFonts w:hint="eastAsia" w:ascii="宋体" w:cs="宋体"/>
          <w:sz w:val="24"/>
          <w:lang w:val="en-US" w:eastAsia="zh-CN"/>
        </w:rPr>
        <w:t>,过低报价或由磋商小组问询，或直接废除此投标供应商报价</w:t>
      </w:r>
      <w:r>
        <w:rPr>
          <w:rFonts w:hint="eastAsia" w:ascii="宋体" w:cs="宋体"/>
          <w:sz w:val="24"/>
        </w:rPr>
        <w:t>。</w:t>
      </w:r>
    </w:p>
    <w:p>
      <w:pPr>
        <w:adjustRightInd w:val="0"/>
        <w:snapToGrid w:val="0"/>
        <w:spacing w:line="360" w:lineRule="auto"/>
        <w:ind w:firstLine="481" w:firstLineChars="200"/>
        <w:rPr>
          <w:rFonts w:ascii="宋体" w:cs="宋体"/>
          <w:b/>
          <w:bCs/>
          <w:sz w:val="24"/>
        </w:rPr>
      </w:pPr>
      <w:r>
        <w:rPr>
          <w:rFonts w:hint="eastAsia" w:ascii="宋体" w:cs="宋体"/>
          <w:b/>
          <w:sz w:val="24"/>
          <w:lang w:eastAsia="zh-CN"/>
        </w:rPr>
        <w:t>四</w:t>
      </w:r>
      <w:r>
        <w:rPr>
          <w:rFonts w:hint="eastAsia" w:ascii="宋体" w:cs="宋体"/>
          <w:b/>
          <w:sz w:val="24"/>
        </w:rPr>
        <w:t>、</w:t>
      </w:r>
      <w:r>
        <w:rPr>
          <w:rFonts w:hint="eastAsia" w:ascii="宋体" w:cs="宋体"/>
          <w:b/>
          <w:bCs/>
          <w:sz w:val="24"/>
        </w:rPr>
        <w:t>证明供应商资格合格的文件</w:t>
      </w:r>
    </w:p>
    <w:p>
      <w:pPr>
        <w:adjustRightInd w:val="0"/>
        <w:snapToGrid w:val="0"/>
        <w:spacing w:line="360" w:lineRule="auto"/>
        <w:ind w:firstLine="480" w:firstLineChars="200"/>
        <w:rPr>
          <w:rFonts w:ascii="宋体" w:cs="宋体"/>
          <w:sz w:val="24"/>
        </w:rPr>
      </w:pPr>
      <w:r>
        <w:rPr>
          <w:rFonts w:hint="eastAsia" w:ascii="宋体" w:cs="宋体"/>
          <w:sz w:val="24"/>
        </w:rPr>
        <w:t>供应商应提交证明其有资格参加投标和中标后有能力履行合同的相关文件，并作为其响应文件的一部分，所有文件必须真实可靠、不得伪造，否则将按相关规定予以处罚。</w:t>
      </w:r>
    </w:p>
    <w:p>
      <w:pPr>
        <w:adjustRightInd w:val="0"/>
        <w:snapToGrid w:val="0"/>
        <w:spacing w:line="360" w:lineRule="auto"/>
        <w:ind w:firstLine="480" w:firstLineChars="200"/>
        <w:rPr>
          <w:rFonts w:ascii="宋体" w:cs="宋体"/>
          <w:sz w:val="24"/>
        </w:rPr>
      </w:pPr>
      <w:r>
        <w:rPr>
          <w:rFonts w:hint="eastAsia" w:ascii="宋体" w:cs="宋体"/>
          <w:sz w:val="24"/>
        </w:rPr>
        <w:t>供应商参加政府采购前三年内在经营活动中没有重大违法记录书面声明函。</w:t>
      </w:r>
    </w:p>
    <w:p>
      <w:pPr>
        <w:adjustRightInd w:val="0"/>
        <w:snapToGrid w:val="0"/>
        <w:spacing w:line="360" w:lineRule="auto"/>
        <w:ind w:firstLine="480" w:firstLineChars="200"/>
        <w:rPr>
          <w:rFonts w:ascii="宋体" w:cs="宋体"/>
          <w:sz w:val="24"/>
        </w:rPr>
      </w:pPr>
      <w:r>
        <w:rPr>
          <w:rFonts w:hint="eastAsia" w:ascii="宋体" w:cs="宋体"/>
          <w:sz w:val="24"/>
        </w:rPr>
        <w:t>信用记录查询</w:t>
      </w:r>
    </w:p>
    <w:p>
      <w:pPr>
        <w:adjustRightInd w:val="0"/>
        <w:snapToGrid w:val="0"/>
        <w:spacing w:line="360" w:lineRule="auto"/>
        <w:ind w:firstLine="480" w:firstLineChars="200"/>
        <w:rPr>
          <w:rFonts w:ascii="宋体" w:cs="宋体"/>
          <w:sz w:val="24"/>
        </w:rPr>
      </w:pPr>
      <w:r>
        <w:rPr>
          <w:rFonts w:hint="eastAsia" w:ascii="宋体" w:cs="宋体"/>
          <w:sz w:val="24"/>
        </w:rPr>
        <w:t>查询渠道：通过“信用中国”网站(www.creditchina.gov.cn)和“中国政府采购网”（</w:t>
      </w:r>
      <w:r>
        <w:fldChar w:fldCharType="begin"/>
      </w:r>
      <w:r>
        <w:instrText xml:space="preserve"> HYPERLINK "http://www.ccgp.gov.cn/" </w:instrText>
      </w:r>
      <w:r>
        <w:fldChar w:fldCharType="separate"/>
      </w:r>
      <w:r>
        <w:rPr>
          <w:rFonts w:hint="eastAsia" w:ascii="宋体" w:cs="宋体"/>
          <w:sz w:val="24"/>
        </w:rPr>
        <w:t>www.ccgp.gov.cn</w:t>
      </w:r>
      <w:r>
        <w:rPr>
          <w:rFonts w:hint="eastAsia" w:ascii="宋体" w:cs="宋体"/>
          <w:sz w:val="24"/>
        </w:rPr>
        <w:fldChar w:fldCharType="end"/>
      </w:r>
      <w:r>
        <w:rPr>
          <w:rFonts w:hint="eastAsia" w:ascii="宋体" w:cs="宋体"/>
          <w:sz w:val="24"/>
        </w:rPr>
        <w:t>）进行查询；</w:t>
      </w:r>
    </w:p>
    <w:p>
      <w:pPr>
        <w:adjustRightInd w:val="0"/>
        <w:snapToGrid w:val="0"/>
        <w:spacing w:line="360" w:lineRule="auto"/>
        <w:ind w:firstLine="480" w:firstLineChars="200"/>
        <w:rPr>
          <w:rFonts w:ascii="宋体" w:cs="宋体"/>
          <w:sz w:val="24"/>
        </w:rPr>
      </w:pPr>
      <w:r>
        <w:rPr>
          <w:rFonts w:hint="eastAsia" w:ascii="宋体" w:cs="宋体"/>
          <w:sz w:val="24"/>
        </w:rPr>
        <w:t>查询截止时点：本项目资格审查时查询；</w:t>
      </w:r>
    </w:p>
    <w:p>
      <w:pPr>
        <w:tabs>
          <w:tab w:val="left" w:pos="2749"/>
        </w:tabs>
        <w:snapToGrid w:val="0"/>
        <w:spacing w:line="360" w:lineRule="auto"/>
        <w:ind w:firstLine="481" w:firstLineChars="200"/>
        <w:rPr>
          <w:rFonts w:ascii="宋体" w:cs="宋体"/>
          <w:b/>
          <w:sz w:val="24"/>
          <w:szCs w:val="24"/>
        </w:rPr>
      </w:pPr>
      <w:r>
        <w:rPr>
          <w:rFonts w:hint="eastAsia" w:ascii="宋体" w:cs="宋体"/>
          <w:b/>
          <w:sz w:val="24"/>
          <w:szCs w:val="24"/>
        </w:rPr>
        <w:t>五、磋商程序：</w:t>
      </w:r>
    </w:p>
    <w:p>
      <w:pPr>
        <w:adjustRightInd w:val="0"/>
        <w:snapToGrid w:val="0"/>
        <w:spacing w:line="360" w:lineRule="auto"/>
        <w:ind w:firstLine="480" w:firstLineChars="200"/>
        <w:outlineLvl w:val="0"/>
        <w:rPr>
          <w:rFonts w:ascii="宋体" w:cs="宋体"/>
          <w:sz w:val="24"/>
          <w:szCs w:val="24"/>
        </w:rPr>
      </w:pPr>
      <w:bookmarkStart w:id="4" w:name="_Toc25507"/>
      <w:r>
        <w:rPr>
          <w:rFonts w:hint="eastAsia" w:ascii="宋体" w:cs="宋体"/>
          <w:sz w:val="24"/>
          <w:szCs w:val="24"/>
        </w:rPr>
        <w:t>第一步：磋商小组成员应当按照客观、公正、审慎的原则，根据磋商文件规定的评审程序、评审方法和评审标准进行独立评审。磋商小组对响应文件资格性和符合性审查，未实质性响应磋商文件的响应文件按无效响应处理，磋商小组应当告知提交响应文件的供应商。磋商文件内容违反国家有关强制性规定的，磋商小组应当停止评审并向采购人说明情况。</w:t>
      </w:r>
      <w:bookmarkEnd w:id="4"/>
    </w:p>
    <w:p>
      <w:pPr>
        <w:spacing w:line="360" w:lineRule="auto"/>
        <w:ind w:firstLine="480" w:firstLineChars="200"/>
        <w:rPr>
          <w:rFonts w:ascii="宋体" w:cs="宋体"/>
          <w:sz w:val="24"/>
          <w:szCs w:val="24"/>
        </w:rPr>
      </w:pPr>
      <w:r>
        <w:rPr>
          <w:rFonts w:hint="eastAsia" w:ascii="宋体" w:cs="宋体"/>
          <w:sz w:val="24"/>
          <w:szCs w:val="24"/>
        </w:rPr>
        <w:t>1.有下列情形之一的，视为供应商串通投标：</w:t>
      </w:r>
    </w:p>
    <w:p>
      <w:pPr>
        <w:spacing w:line="360" w:lineRule="auto"/>
        <w:ind w:firstLine="480" w:firstLineChars="200"/>
        <w:rPr>
          <w:rFonts w:ascii="宋体" w:cs="宋体"/>
          <w:sz w:val="24"/>
          <w:szCs w:val="24"/>
        </w:rPr>
      </w:pPr>
      <w:r>
        <w:rPr>
          <w:rFonts w:hint="eastAsia" w:ascii="宋体" w:cs="宋体"/>
          <w:sz w:val="24"/>
          <w:szCs w:val="24"/>
        </w:rPr>
        <w:t>不同供应商的响应文件由同一单位或者个人编制；</w:t>
      </w:r>
    </w:p>
    <w:p>
      <w:pPr>
        <w:spacing w:line="360" w:lineRule="auto"/>
        <w:ind w:firstLine="480" w:firstLineChars="200"/>
        <w:rPr>
          <w:rFonts w:ascii="宋体" w:cs="宋体"/>
          <w:sz w:val="24"/>
          <w:szCs w:val="24"/>
        </w:rPr>
      </w:pPr>
      <w:r>
        <w:rPr>
          <w:rFonts w:hint="eastAsia" w:ascii="宋体" w:cs="宋体"/>
          <w:sz w:val="24"/>
          <w:szCs w:val="24"/>
        </w:rPr>
        <w:t>不同供应商委托同一单位或者个人办理投标事宜；</w:t>
      </w:r>
    </w:p>
    <w:p>
      <w:pPr>
        <w:spacing w:line="360" w:lineRule="auto"/>
        <w:ind w:firstLine="480" w:firstLineChars="200"/>
        <w:rPr>
          <w:rFonts w:ascii="宋体" w:cs="宋体"/>
          <w:sz w:val="24"/>
          <w:szCs w:val="24"/>
        </w:rPr>
      </w:pPr>
      <w:r>
        <w:rPr>
          <w:rFonts w:hint="eastAsia" w:ascii="宋体" w:cs="宋体"/>
          <w:sz w:val="24"/>
          <w:szCs w:val="24"/>
        </w:rPr>
        <w:t>不同供应商的响应文件载明的项目管理成员或者联系人员为同一人；</w:t>
      </w:r>
    </w:p>
    <w:p>
      <w:pPr>
        <w:spacing w:line="360" w:lineRule="auto"/>
        <w:ind w:firstLine="480" w:firstLineChars="200"/>
        <w:rPr>
          <w:rFonts w:ascii="宋体" w:cs="宋体"/>
          <w:sz w:val="24"/>
          <w:szCs w:val="24"/>
        </w:rPr>
      </w:pPr>
      <w:r>
        <w:rPr>
          <w:rFonts w:hint="eastAsia" w:ascii="宋体" w:cs="宋体"/>
          <w:sz w:val="24"/>
          <w:szCs w:val="24"/>
        </w:rPr>
        <w:t>不同供应商的响应文件异常一致或者投标报价呈规律性差异；</w:t>
      </w:r>
    </w:p>
    <w:p>
      <w:pPr>
        <w:spacing w:line="360" w:lineRule="auto"/>
        <w:ind w:firstLine="480" w:firstLineChars="200"/>
        <w:rPr>
          <w:rFonts w:ascii="宋体" w:cs="宋体"/>
          <w:sz w:val="24"/>
          <w:szCs w:val="24"/>
        </w:rPr>
      </w:pPr>
      <w:r>
        <w:rPr>
          <w:rFonts w:hint="eastAsia" w:ascii="宋体" w:cs="宋体"/>
          <w:sz w:val="24"/>
          <w:szCs w:val="24"/>
        </w:rPr>
        <w:t>不同供应商的响应文件相互混装；</w:t>
      </w:r>
    </w:p>
    <w:p>
      <w:pPr>
        <w:spacing w:line="360" w:lineRule="auto"/>
        <w:ind w:firstLine="480" w:firstLineChars="200"/>
        <w:rPr>
          <w:rFonts w:ascii="宋体" w:cs="宋体"/>
          <w:sz w:val="24"/>
          <w:szCs w:val="24"/>
        </w:rPr>
      </w:pPr>
      <w:r>
        <w:rPr>
          <w:rFonts w:hint="eastAsia" w:ascii="宋体" w:cs="宋体"/>
          <w:sz w:val="24"/>
          <w:szCs w:val="24"/>
        </w:rPr>
        <w:t>不同供应商的投标保证金为从同一单位或个人的账户转出；</w:t>
      </w:r>
    </w:p>
    <w:p>
      <w:pPr>
        <w:spacing w:line="360" w:lineRule="auto"/>
        <w:ind w:firstLine="480" w:firstLineChars="200"/>
        <w:rPr>
          <w:rFonts w:ascii="宋体" w:cs="宋体"/>
          <w:sz w:val="24"/>
          <w:szCs w:val="24"/>
        </w:rPr>
      </w:pPr>
      <w:r>
        <w:rPr>
          <w:rFonts w:hint="eastAsia" w:ascii="宋体" w:cs="宋体"/>
          <w:sz w:val="24"/>
          <w:szCs w:val="24"/>
        </w:rPr>
        <w:t>说明：在项目评审时被认定为串通投标的供应商不得参加该合同项下的采购活动</w:t>
      </w:r>
    </w:p>
    <w:p>
      <w:pPr>
        <w:spacing w:line="360" w:lineRule="auto"/>
        <w:ind w:firstLine="480" w:firstLineChars="200"/>
        <w:rPr>
          <w:rFonts w:ascii="宋体" w:cs="宋体"/>
          <w:sz w:val="24"/>
          <w:szCs w:val="24"/>
        </w:rPr>
      </w:pPr>
      <w:r>
        <w:rPr>
          <w:rFonts w:hint="eastAsia" w:ascii="宋体" w:cs="宋体"/>
          <w:sz w:val="24"/>
          <w:szCs w:val="24"/>
        </w:rPr>
        <w:t>2.有下列情形之一的，属于恶意串通投标：</w:t>
      </w:r>
    </w:p>
    <w:p>
      <w:pPr>
        <w:spacing w:line="360" w:lineRule="auto"/>
        <w:ind w:firstLine="480" w:firstLineChars="200"/>
        <w:rPr>
          <w:rFonts w:ascii="宋体" w:cs="宋体"/>
          <w:sz w:val="24"/>
          <w:szCs w:val="24"/>
        </w:rPr>
      </w:pPr>
      <w:r>
        <w:rPr>
          <w:rFonts w:hint="eastAsia" w:ascii="宋体" w:cs="宋体"/>
          <w:sz w:val="24"/>
          <w:szCs w:val="24"/>
        </w:rPr>
        <w:t>供应商直接或者间接从采购人处获得其他供应商的相关情况并修改其投标文件或者响应文件；</w:t>
      </w:r>
    </w:p>
    <w:p>
      <w:pPr>
        <w:spacing w:line="360" w:lineRule="auto"/>
        <w:ind w:firstLine="480" w:firstLineChars="200"/>
        <w:rPr>
          <w:rFonts w:ascii="宋体" w:cs="宋体"/>
          <w:sz w:val="24"/>
          <w:szCs w:val="24"/>
        </w:rPr>
      </w:pPr>
      <w:r>
        <w:rPr>
          <w:rFonts w:hint="eastAsia" w:ascii="宋体" w:cs="宋体"/>
          <w:sz w:val="24"/>
          <w:szCs w:val="24"/>
        </w:rPr>
        <w:t>供应商按照采购人的授意撤换、修改投标文件或者响应文件；</w:t>
      </w:r>
    </w:p>
    <w:p>
      <w:pPr>
        <w:spacing w:line="360" w:lineRule="auto"/>
        <w:ind w:firstLine="480" w:firstLineChars="200"/>
        <w:rPr>
          <w:rFonts w:ascii="宋体" w:cs="宋体"/>
          <w:sz w:val="24"/>
          <w:szCs w:val="24"/>
        </w:rPr>
      </w:pPr>
      <w:r>
        <w:rPr>
          <w:rFonts w:hint="eastAsia" w:ascii="宋体" w:cs="宋体"/>
          <w:sz w:val="24"/>
          <w:szCs w:val="24"/>
        </w:rPr>
        <w:t>供应商之间协商报价、技术方案等投标文件或者响应文件的实质性内容；</w:t>
      </w:r>
    </w:p>
    <w:p>
      <w:pPr>
        <w:spacing w:line="360" w:lineRule="auto"/>
        <w:ind w:firstLine="480" w:firstLineChars="200"/>
        <w:rPr>
          <w:rFonts w:ascii="宋体" w:cs="宋体"/>
          <w:sz w:val="24"/>
          <w:szCs w:val="24"/>
        </w:rPr>
      </w:pPr>
      <w:r>
        <w:rPr>
          <w:rFonts w:hint="eastAsia" w:ascii="宋体" w:cs="宋体"/>
          <w:sz w:val="24"/>
          <w:szCs w:val="24"/>
        </w:rPr>
        <w:t>属于同一集团、协会、商会等组织成员的供应商按照该组织要求协同参加政府采购活动；</w:t>
      </w:r>
    </w:p>
    <w:p>
      <w:pPr>
        <w:spacing w:line="360" w:lineRule="auto"/>
        <w:ind w:firstLine="480" w:firstLineChars="200"/>
        <w:rPr>
          <w:rFonts w:ascii="宋体" w:cs="宋体"/>
          <w:sz w:val="24"/>
          <w:szCs w:val="24"/>
        </w:rPr>
      </w:pPr>
      <w:r>
        <w:rPr>
          <w:rFonts w:hint="eastAsia" w:ascii="宋体" w:cs="宋体"/>
          <w:sz w:val="24"/>
          <w:szCs w:val="24"/>
        </w:rPr>
        <w:t>供应商之间事先约定由某一特定供应商成交、成交；</w:t>
      </w:r>
    </w:p>
    <w:p>
      <w:pPr>
        <w:spacing w:line="360" w:lineRule="auto"/>
        <w:ind w:firstLine="480" w:firstLineChars="200"/>
        <w:rPr>
          <w:rFonts w:ascii="宋体" w:cs="宋体"/>
          <w:sz w:val="24"/>
          <w:szCs w:val="24"/>
        </w:rPr>
      </w:pPr>
      <w:r>
        <w:rPr>
          <w:rFonts w:hint="eastAsia" w:ascii="宋体" w:cs="宋体"/>
          <w:sz w:val="24"/>
          <w:szCs w:val="24"/>
        </w:rPr>
        <w:t>供应商之间商定部分供应商放弃参加政府采购活动或者放弃成交、成交；</w:t>
      </w:r>
    </w:p>
    <w:p>
      <w:pPr>
        <w:spacing w:line="360" w:lineRule="auto"/>
        <w:ind w:firstLine="480" w:firstLineChars="200"/>
        <w:rPr>
          <w:rFonts w:ascii="宋体" w:cs="宋体"/>
          <w:sz w:val="24"/>
          <w:szCs w:val="24"/>
        </w:rPr>
      </w:pPr>
      <w:r>
        <w:rPr>
          <w:rFonts w:hint="eastAsia" w:ascii="宋体" w:cs="宋体"/>
          <w:sz w:val="24"/>
          <w:szCs w:val="24"/>
        </w:rPr>
        <w:t>供应商与采购人之间、供应商相互之间，为谋求特定供应商成交、成交或者排斥其他供应商的其他串通行为。</w:t>
      </w:r>
    </w:p>
    <w:p>
      <w:pPr>
        <w:spacing w:line="360" w:lineRule="auto"/>
        <w:ind w:firstLine="480" w:firstLineChars="200"/>
        <w:rPr>
          <w:rFonts w:ascii="宋体" w:cs="宋体"/>
          <w:sz w:val="24"/>
          <w:szCs w:val="24"/>
        </w:rPr>
      </w:pPr>
      <w:r>
        <w:rPr>
          <w:rFonts w:hint="eastAsia" w:ascii="宋体" w:cs="宋体"/>
          <w:sz w:val="24"/>
          <w:szCs w:val="24"/>
        </w:rPr>
        <w:t>3.若发现下列情况之一的，供应商的响应文件按无效响应处理：</w:t>
      </w:r>
    </w:p>
    <w:p>
      <w:pPr>
        <w:snapToGrid w:val="0"/>
        <w:spacing w:line="360" w:lineRule="auto"/>
        <w:ind w:firstLine="480" w:firstLineChars="200"/>
        <w:rPr>
          <w:rFonts w:ascii="宋体" w:cs="宋体"/>
          <w:sz w:val="24"/>
          <w:szCs w:val="24"/>
        </w:rPr>
      </w:pPr>
      <w:r>
        <w:rPr>
          <w:rFonts w:hint="eastAsia" w:ascii="宋体" w:cs="宋体"/>
          <w:sz w:val="24"/>
          <w:szCs w:val="24"/>
        </w:rPr>
        <w:t>3.1没有提供资格证明文件或资格证明文件不全的，经</w:t>
      </w:r>
      <w:r>
        <w:rPr>
          <w:rFonts w:hint="eastAsia" w:ascii="宋体" w:cs="宋体"/>
          <w:bCs/>
          <w:sz w:val="24"/>
          <w:szCs w:val="24"/>
        </w:rPr>
        <w:t>竞争性磋商</w:t>
      </w:r>
      <w:r>
        <w:rPr>
          <w:rFonts w:hint="eastAsia" w:ascii="宋体" w:cs="宋体"/>
          <w:sz w:val="24"/>
          <w:szCs w:val="24"/>
        </w:rPr>
        <w:t>小组确认以后仍不能满足</w:t>
      </w:r>
      <w:r>
        <w:rPr>
          <w:rFonts w:hint="eastAsia" w:ascii="宋体" w:cs="宋体"/>
          <w:bCs/>
          <w:sz w:val="24"/>
          <w:szCs w:val="24"/>
        </w:rPr>
        <w:t>竞争性磋商</w:t>
      </w:r>
      <w:r>
        <w:rPr>
          <w:rFonts w:hint="eastAsia" w:ascii="宋体" w:cs="宋体"/>
          <w:sz w:val="24"/>
          <w:szCs w:val="24"/>
        </w:rPr>
        <w:t>文件要求的；</w:t>
      </w:r>
    </w:p>
    <w:p>
      <w:pPr>
        <w:spacing w:line="360" w:lineRule="auto"/>
        <w:ind w:firstLine="480" w:firstLineChars="200"/>
        <w:rPr>
          <w:rFonts w:ascii="宋体" w:cs="宋体"/>
          <w:sz w:val="24"/>
          <w:szCs w:val="24"/>
        </w:rPr>
      </w:pPr>
      <w:r>
        <w:rPr>
          <w:rFonts w:hint="eastAsia" w:ascii="宋体" w:cs="宋体"/>
          <w:sz w:val="24"/>
          <w:szCs w:val="24"/>
        </w:rPr>
        <w:t>3.2法定代表人（负责人）或者授权代表未按时参加磋商会议；</w:t>
      </w:r>
    </w:p>
    <w:p>
      <w:pPr>
        <w:snapToGrid w:val="0"/>
        <w:spacing w:line="360" w:lineRule="auto"/>
        <w:ind w:firstLine="480" w:firstLineChars="200"/>
        <w:rPr>
          <w:rFonts w:ascii="宋体" w:cs="宋体"/>
          <w:sz w:val="24"/>
          <w:szCs w:val="24"/>
        </w:rPr>
      </w:pPr>
      <w:r>
        <w:rPr>
          <w:rFonts w:hint="eastAsia" w:ascii="宋体" w:cs="宋体"/>
          <w:sz w:val="24"/>
          <w:szCs w:val="24"/>
        </w:rPr>
        <w:t>3.3磋商有效期不符合</w:t>
      </w:r>
      <w:r>
        <w:rPr>
          <w:rFonts w:hint="eastAsia" w:ascii="宋体" w:cs="宋体"/>
          <w:bCs/>
          <w:sz w:val="24"/>
          <w:szCs w:val="24"/>
        </w:rPr>
        <w:t>竞争性磋商</w:t>
      </w:r>
      <w:r>
        <w:rPr>
          <w:rFonts w:hint="eastAsia" w:ascii="宋体" w:cs="宋体"/>
          <w:sz w:val="24"/>
          <w:szCs w:val="24"/>
        </w:rPr>
        <w:t>文件规定；</w:t>
      </w:r>
    </w:p>
    <w:p>
      <w:pPr>
        <w:snapToGrid w:val="0"/>
        <w:spacing w:line="360" w:lineRule="auto"/>
        <w:ind w:firstLine="480" w:firstLineChars="200"/>
        <w:rPr>
          <w:rFonts w:ascii="宋体" w:cs="宋体"/>
          <w:sz w:val="24"/>
          <w:szCs w:val="24"/>
        </w:rPr>
      </w:pPr>
      <w:r>
        <w:rPr>
          <w:rFonts w:hint="eastAsia" w:ascii="宋体" w:cs="宋体"/>
          <w:sz w:val="24"/>
          <w:szCs w:val="24"/>
        </w:rPr>
        <w:t>3.4响应文件未按要求进行装订、密封；响应文件的签署、盖章、涂改、删除、插字、公章使用等不符合磋商文件要求；响应文件文件的格式、文字、目录等不符合磋商文件要求或对投标有实质性影响；</w:t>
      </w:r>
    </w:p>
    <w:p>
      <w:pPr>
        <w:snapToGrid w:val="0"/>
        <w:spacing w:line="360" w:lineRule="auto"/>
        <w:ind w:firstLine="480" w:firstLineChars="200"/>
        <w:rPr>
          <w:rFonts w:ascii="宋体" w:cs="宋体"/>
          <w:sz w:val="24"/>
          <w:szCs w:val="24"/>
        </w:rPr>
      </w:pPr>
      <w:r>
        <w:rPr>
          <w:rFonts w:hint="eastAsia" w:ascii="宋体" w:cs="宋体"/>
          <w:sz w:val="24"/>
          <w:szCs w:val="24"/>
        </w:rPr>
        <w:t>3.</w:t>
      </w:r>
      <w:r>
        <w:rPr>
          <w:rFonts w:hint="eastAsia" w:ascii="宋体" w:cs="宋体"/>
          <w:sz w:val="24"/>
          <w:szCs w:val="24"/>
          <w:lang w:val="en-US" w:eastAsia="zh-CN"/>
        </w:rPr>
        <w:t>5</w:t>
      </w:r>
      <w:r>
        <w:rPr>
          <w:rFonts w:hint="eastAsia" w:ascii="宋体" w:cs="宋体"/>
          <w:sz w:val="24"/>
          <w:szCs w:val="24"/>
        </w:rPr>
        <w:t>发现有竞争性磋商文件规定的其它响应文件无效情形；</w:t>
      </w:r>
    </w:p>
    <w:p>
      <w:pPr>
        <w:snapToGrid w:val="0"/>
        <w:spacing w:line="360" w:lineRule="auto"/>
        <w:ind w:firstLine="480" w:firstLineChars="200"/>
        <w:rPr>
          <w:rFonts w:ascii="宋体" w:cs="宋体"/>
          <w:sz w:val="24"/>
          <w:szCs w:val="24"/>
        </w:rPr>
      </w:pPr>
      <w:r>
        <w:rPr>
          <w:rFonts w:hint="eastAsia" w:ascii="宋体" w:cs="宋体"/>
          <w:sz w:val="24"/>
          <w:szCs w:val="24"/>
        </w:rPr>
        <w:t>3.</w:t>
      </w:r>
      <w:r>
        <w:rPr>
          <w:rFonts w:hint="eastAsia" w:ascii="宋体" w:cs="宋体"/>
          <w:sz w:val="24"/>
          <w:szCs w:val="24"/>
          <w:lang w:val="en-US" w:eastAsia="zh-CN"/>
        </w:rPr>
        <w:t>6</w:t>
      </w:r>
      <w:r>
        <w:rPr>
          <w:rFonts w:hint="eastAsia" w:ascii="宋体" w:cs="宋体"/>
          <w:sz w:val="24"/>
          <w:szCs w:val="24"/>
        </w:rPr>
        <w:t>发现围标、串标和其他不符合法律法规规定的实质性要求。</w:t>
      </w:r>
    </w:p>
    <w:p>
      <w:pPr>
        <w:snapToGrid w:val="0"/>
        <w:spacing w:line="360" w:lineRule="auto"/>
        <w:ind w:firstLine="480" w:firstLineChars="200"/>
        <w:rPr>
          <w:rFonts w:ascii="宋体" w:cs="宋体"/>
          <w:sz w:val="24"/>
          <w:szCs w:val="24"/>
        </w:rPr>
      </w:pPr>
      <w:r>
        <w:rPr>
          <w:rFonts w:hint="eastAsia" w:ascii="宋体" w:cs="宋体"/>
          <w:sz w:val="24"/>
          <w:szCs w:val="24"/>
        </w:rPr>
        <w:t>第二步：磋商小组对响应文件的有效性、完整性和响应程度进行审查。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磋商小组要求供应商澄清、说明或者更正响应文件应当以书面形式做出。供应商的澄清、说明或者更正的文件应当由法定代表人（负责人）或其授权代表签字或者加盖公章。由授权代表签字的，应当附法定代表人（负责人）授权书。</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第三步：磋商小组所有成员集中与单一供应商分别进行磋商。在磋商过程中，磋商小组可以根据磋商文件和磋商情况实质性变动采购需求中的技术、服务要求以及合同草案条款，但不得变动磋商文件中的其他内容。实质性变动的内容，须经采购人代表确认。</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对磋商文件做出的实质性变动是磋商文件的有效组成部分，磋商小组应当及时以书面形式同时通知所有参加磋商的供应商。</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供应商应当按照磋商文件的变动情况和磋商小组的要求重新提交响应文件，并由其法定代表人（负责人）或授权代表签字或者加盖公章。由授权代表签字的，应当附法定代表人（负责人）授权书。</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未实质性响应磋商文件的响应文件按无效响应处理，磋商小组应当告知提交响应文件的供应商。</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第</w:t>
      </w:r>
      <w:r>
        <w:rPr>
          <w:rFonts w:hint="eastAsia" w:ascii="宋体" w:cs="宋体"/>
          <w:sz w:val="24"/>
          <w:szCs w:val="24"/>
          <w:lang w:eastAsia="zh-CN"/>
        </w:rPr>
        <w:t>四</w:t>
      </w:r>
      <w:r>
        <w:rPr>
          <w:rFonts w:hint="eastAsia" w:ascii="宋体" w:cs="宋体"/>
          <w:sz w:val="24"/>
          <w:szCs w:val="24"/>
        </w:rPr>
        <w:t>步：经磋商确定最终供应商后，由磋商小组采用综合评分法对提交最后报价的供应商的响应文件和报价进行综合评分。</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第</w:t>
      </w:r>
      <w:r>
        <w:rPr>
          <w:rFonts w:hint="eastAsia" w:ascii="宋体" w:cs="宋体"/>
          <w:sz w:val="24"/>
          <w:szCs w:val="24"/>
          <w:lang w:eastAsia="zh-CN"/>
        </w:rPr>
        <w:t>五</w:t>
      </w:r>
      <w:r>
        <w:rPr>
          <w:rFonts w:hint="eastAsia" w:ascii="宋体" w:cs="宋体"/>
          <w:sz w:val="24"/>
          <w:szCs w:val="24"/>
        </w:rPr>
        <w:t>步：磋商小组应当根据综合评分情况，按照评审得分由高到低顺序推荐成交候选供应商，并编写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tabs>
          <w:tab w:val="left" w:pos="2749"/>
        </w:tabs>
        <w:snapToGrid w:val="0"/>
        <w:spacing w:line="360" w:lineRule="auto"/>
        <w:ind w:firstLine="481" w:firstLineChars="200"/>
        <w:rPr>
          <w:rFonts w:ascii="宋体" w:cs="宋体"/>
          <w:b/>
          <w:bCs/>
          <w:sz w:val="24"/>
          <w:szCs w:val="24"/>
        </w:rPr>
      </w:pPr>
      <w:r>
        <w:rPr>
          <w:rFonts w:hint="eastAsia" w:ascii="宋体" w:cs="宋体"/>
          <w:b/>
          <w:bCs/>
          <w:sz w:val="24"/>
          <w:szCs w:val="24"/>
        </w:rPr>
        <w:t>六、废标（终止）的情形</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出现下列情形之一的，采购人应当终止竞争性磋商采购活动，发布项目终止通知并说明原因，重新开展采购活动：</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因情况变化，不再符合规定的竞争性磋商采购方式适用情形的；</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出现影响采购公正的违法、违规行为的；</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在采购过程中符合磋商要求的供应商或者报价未超过采购预算的供应商不足3家的，但经财政部门批准的情形除外；</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法律、法规以及磋商文件规定其他情形。</w:t>
      </w:r>
    </w:p>
    <w:p>
      <w:pPr>
        <w:tabs>
          <w:tab w:val="left" w:pos="2749"/>
        </w:tabs>
        <w:snapToGrid w:val="0"/>
        <w:spacing w:line="360" w:lineRule="auto"/>
        <w:ind w:firstLine="481" w:firstLineChars="200"/>
        <w:rPr>
          <w:rFonts w:ascii="宋体" w:cs="宋体"/>
          <w:sz w:val="24"/>
          <w:szCs w:val="24"/>
        </w:rPr>
      </w:pPr>
      <w:r>
        <w:rPr>
          <w:rFonts w:hint="eastAsia" w:ascii="宋体" w:cs="宋体"/>
          <w:b/>
          <w:sz w:val="24"/>
          <w:szCs w:val="24"/>
        </w:rPr>
        <w:t>七、评审方法及标准</w:t>
      </w:r>
      <w:r>
        <w:rPr>
          <w:rFonts w:hint="eastAsia" w:ascii="宋体" w:cs="宋体"/>
          <w:sz w:val="24"/>
          <w:szCs w:val="24"/>
        </w:rPr>
        <w:t>（最低报价不是中标的唯一依据）</w:t>
      </w:r>
    </w:p>
    <w:p>
      <w:pPr>
        <w:tabs>
          <w:tab w:val="left" w:pos="2749"/>
        </w:tabs>
        <w:snapToGrid w:val="0"/>
        <w:spacing w:line="360" w:lineRule="auto"/>
        <w:ind w:firstLine="480" w:firstLineChars="200"/>
        <w:rPr>
          <w:rFonts w:ascii="宋体" w:cs="宋体"/>
          <w:sz w:val="24"/>
          <w:szCs w:val="24"/>
        </w:rPr>
      </w:pPr>
      <w:r>
        <w:rPr>
          <w:rFonts w:hint="eastAsia" w:ascii="宋体" w:cs="宋体"/>
          <w:sz w:val="24"/>
          <w:szCs w:val="24"/>
        </w:rPr>
        <w:t>（一）采用“综合评分法”的评审方法。评审采用百分制，磋商小组各成员分别独立对实质上响应磋商文件的供应商进行逐项评价打分，对磋商小组各成员每一因素的打分汇总后取平均分，该平均分为供应商的得分。磋商小组对经过初步评审为合格有效的各供应商的磋商响应文件进行评审后，由各评委独立打分。供应商的综合得分为磋商小组全体成员评分的算术平均值。</w:t>
      </w:r>
    </w:p>
    <w:p>
      <w:pPr>
        <w:tabs>
          <w:tab w:val="left" w:pos="2749"/>
        </w:tabs>
        <w:snapToGrid w:val="0"/>
        <w:spacing w:line="360" w:lineRule="auto"/>
        <w:ind w:firstLine="475" w:firstLineChars="198"/>
        <w:rPr>
          <w:rFonts w:ascii="宋体" w:cs="宋体"/>
          <w:sz w:val="24"/>
          <w:szCs w:val="24"/>
        </w:rPr>
      </w:pPr>
      <w:r>
        <w:rPr>
          <w:rFonts w:hint="eastAsia" w:ascii="宋体" w:cs="宋体"/>
          <w:sz w:val="24"/>
          <w:szCs w:val="24"/>
        </w:rPr>
        <w:t>（二）磋商文件内容违反国家有关强制性规定的，磋商小组应当停止评审并向采购人说明情况。</w:t>
      </w:r>
    </w:p>
    <w:p>
      <w:pPr>
        <w:tabs>
          <w:tab w:val="left" w:pos="2749"/>
        </w:tabs>
        <w:snapToGrid w:val="0"/>
        <w:spacing w:line="360" w:lineRule="auto"/>
        <w:ind w:firstLine="475" w:firstLineChars="198"/>
        <w:rPr>
          <w:rFonts w:ascii="宋体" w:cs="宋体"/>
          <w:sz w:val="24"/>
          <w:szCs w:val="24"/>
        </w:rPr>
      </w:pPr>
      <w:r>
        <w:rPr>
          <w:rFonts w:hint="eastAsia" w:ascii="宋体" w:cs="宋体"/>
          <w:sz w:val="24"/>
          <w:szCs w:val="24"/>
        </w:rPr>
        <w:t>（三）成交候选供应商产生办法：响应文件满足磋商文件全部实质性要求且按评审因素的量化指标评审得分最高的确定为成交候选人。评审得分相同的，按照最后报价由低到高的顺序推荐。评审得分且最后报价相同的，按照技术指标优劣顺序推荐（即按技术因素得分由高到低的顺序推荐）。</w:t>
      </w:r>
    </w:p>
    <w:p>
      <w:pPr>
        <w:snapToGrid w:val="0"/>
        <w:spacing w:line="360" w:lineRule="auto"/>
        <w:ind w:firstLine="481" w:firstLineChars="200"/>
        <w:rPr>
          <w:rFonts w:ascii="宋体" w:cs="宋体"/>
          <w:b/>
          <w:bCs/>
          <w:sz w:val="24"/>
          <w:szCs w:val="24"/>
        </w:rPr>
      </w:pPr>
      <w:r>
        <w:rPr>
          <w:rFonts w:hint="eastAsia" w:ascii="宋体" w:cs="宋体"/>
          <w:b/>
          <w:bCs/>
          <w:sz w:val="24"/>
          <w:szCs w:val="24"/>
        </w:rPr>
        <w:t>八、磋商过程的保密及其他要求：</w:t>
      </w:r>
    </w:p>
    <w:p>
      <w:pPr>
        <w:snapToGrid w:val="0"/>
        <w:spacing w:line="360" w:lineRule="auto"/>
        <w:ind w:firstLine="475" w:firstLineChars="198"/>
        <w:rPr>
          <w:rFonts w:ascii="宋体" w:cs="宋体"/>
          <w:b/>
          <w:bCs/>
          <w:sz w:val="24"/>
          <w:szCs w:val="24"/>
        </w:rPr>
      </w:pPr>
      <w:r>
        <w:rPr>
          <w:rFonts w:hint="eastAsia" w:ascii="宋体" w:cs="宋体"/>
          <w:sz w:val="24"/>
          <w:szCs w:val="24"/>
        </w:rPr>
        <w:t>（一）凡与审查、澄清、评估和比较的有关资料以及推荐意见等，竞争性磋商小组及参加磋商会议的工作人员均不得向供应商及与磋商无关的其他人透露；</w:t>
      </w:r>
    </w:p>
    <w:p>
      <w:pPr>
        <w:snapToGrid w:val="0"/>
        <w:spacing w:line="360" w:lineRule="auto"/>
        <w:ind w:firstLine="480" w:firstLineChars="200"/>
        <w:rPr>
          <w:rFonts w:ascii="宋体" w:cs="宋体"/>
          <w:sz w:val="24"/>
          <w:szCs w:val="24"/>
        </w:rPr>
      </w:pPr>
      <w:r>
        <w:rPr>
          <w:rFonts w:hint="eastAsia" w:ascii="宋体" w:cs="宋体"/>
          <w:sz w:val="24"/>
          <w:szCs w:val="24"/>
        </w:rPr>
        <w:t>（二）在评审过程中，如果供应商试图在竞争性磋商文件的审查、澄清、比较及授予合同方面向磋商小组施加任何影响，其响应文件将被拒绝；</w:t>
      </w:r>
    </w:p>
    <w:p>
      <w:pPr>
        <w:snapToGrid w:val="0"/>
        <w:spacing w:line="360" w:lineRule="auto"/>
        <w:ind w:firstLine="480" w:firstLineChars="200"/>
        <w:rPr>
          <w:rFonts w:ascii="宋体" w:cs="宋体"/>
          <w:sz w:val="24"/>
          <w:szCs w:val="24"/>
        </w:rPr>
      </w:pPr>
      <w:r>
        <w:rPr>
          <w:rFonts w:hint="eastAsia" w:ascii="宋体" w:cs="宋体"/>
          <w:sz w:val="24"/>
          <w:szCs w:val="24"/>
        </w:rPr>
        <w:t>（三）响应文件是磋商工作的重要依据。响应文件必须满足竞争性磋商文件的各项实质性要求：包括响应文件的有效性、完整性和与竞争性磋商文件的一致性。如果供应商的响应文件不满足上述要求，磋商小组有权拒绝供应商的响应文件。经磋商小组评审，供应商递交的响应文件属于无效响应文件的，无资格进入下轮磋商。</w:t>
      </w:r>
    </w:p>
    <w:p>
      <w:pPr>
        <w:snapToGrid w:val="0"/>
        <w:spacing w:line="360" w:lineRule="auto"/>
        <w:ind w:firstLine="480" w:firstLineChars="200"/>
        <w:rPr>
          <w:rFonts w:ascii="宋体" w:cs="宋体"/>
          <w:sz w:val="24"/>
          <w:szCs w:val="24"/>
        </w:rPr>
      </w:pPr>
      <w:r>
        <w:rPr>
          <w:rFonts w:hint="eastAsia" w:ascii="宋体" w:cs="宋体"/>
          <w:sz w:val="24"/>
          <w:szCs w:val="24"/>
        </w:rPr>
        <w:t>（四）定标</w:t>
      </w:r>
    </w:p>
    <w:p>
      <w:pPr>
        <w:snapToGrid w:val="0"/>
        <w:spacing w:line="360" w:lineRule="auto"/>
        <w:ind w:firstLine="480" w:firstLineChars="200"/>
        <w:rPr>
          <w:rFonts w:ascii="宋体" w:cs="宋体"/>
          <w:sz w:val="24"/>
          <w:szCs w:val="24"/>
        </w:rPr>
      </w:pPr>
      <w:r>
        <w:rPr>
          <w:rFonts w:hint="eastAsia" w:ascii="宋体" w:cs="宋体"/>
          <w:sz w:val="24"/>
          <w:szCs w:val="24"/>
        </w:rPr>
        <w:t>磋商小组按照磋商文件确定的评审方法、步骤、标准，对响应文件进行评审。评审结束后，对供应商的评审名次进行排序，确定供应商或者推荐成交候选人。</w:t>
      </w:r>
    </w:p>
    <w:p>
      <w:pPr>
        <w:snapToGrid w:val="0"/>
        <w:spacing w:line="360" w:lineRule="auto"/>
        <w:ind w:firstLine="477" w:firstLineChars="198"/>
        <w:rPr>
          <w:rFonts w:ascii="宋体" w:cs="宋体"/>
          <w:b/>
          <w:bCs/>
          <w:sz w:val="24"/>
          <w:szCs w:val="24"/>
        </w:rPr>
      </w:pPr>
      <w:r>
        <w:rPr>
          <w:rFonts w:hint="eastAsia" w:ascii="宋体" w:cs="宋体"/>
          <w:b/>
          <w:bCs/>
          <w:sz w:val="24"/>
          <w:szCs w:val="24"/>
        </w:rPr>
        <w:t>九、成交候选人的推荐</w:t>
      </w:r>
    </w:p>
    <w:p>
      <w:pPr>
        <w:snapToGrid w:val="0"/>
        <w:spacing w:line="360" w:lineRule="auto"/>
        <w:ind w:firstLine="480" w:firstLineChars="200"/>
        <w:rPr>
          <w:rFonts w:ascii="宋体" w:cs="宋体"/>
          <w:sz w:val="24"/>
          <w:szCs w:val="24"/>
        </w:rPr>
      </w:pPr>
      <w:r>
        <w:rPr>
          <w:rFonts w:hint="eastAsia" w:ascii="宋体" w:cs="宋体"/>
          <w:sz w:val="24"/>
          <w:szCs w:val="24"/>
        </w:rPr>
        <w:t>1、磋商小组根据评审结果，写出评审报告，确定成交候选人。</w:t>
      </w:r>
    </w:p>
    <w:p>
      <w:pPr>
        <w:snapToGrid w:val="0"/>
        <w:spacing w:line="360" w:lineRule="auto"/>
        <w:ind w:firstLine="480" w:firstLineChars="200"/>
        <w:rPr>
          <w:rFonts w:ascii="宋体" w:cs="宋体"/>
          <w:sz w:val="24"/>
          <w:szCs w:val="24"/>
        </w:rPr>
      </w:pPr>
      <w:r>
        <w:rPr>
          <w:rFonts w:hint="eastAsia" w:ascii="宋体" w:cs="宋体"/>
          <w:sz w:val="24"/>
          <w:szCs w:val="24"/>
        </w:rPr>
        <w:t>2、采购人有权对成交候选人履行合同的能力进行审查确认（包括资质、业绩等），如发现舞弊行为，即依法取消其成交候选人资格。</w:t>
      </w:r>
    </w:p>
    <w:p>
      <w:pPr>
        <w:snapToGrid w:val="0"/>
        <w:spacing w:line="360" w:lineRule="auto"/>
        <w:ind w:firstLine="480" w:firstLineChars="200"/>
        <w:rPr>
          <w:rFonts w:ascii="宋体" w:cs="宋体"/>
          <w:sz w:val="24"/>
          <w:szCs w:val="24"/>
        </w:rPr>
      </w:pPr>
      <w:r>
        <w:rPr>
          <w:rFonts w:hint="eastAsia" w:ascii="宋体" w:cs="宋体"/>
          <w:sz w:val="24"/>
          <w:szCs w:val="24"/>
        </w:rPr>
        <w:t>3将评审情况形成书面评审报告，送至采购管理部门审查。</w:t>
      </w:r>
    </w:p>
    <w:p>
      <w:pPr>
        <w:snapToGrid w:val="0"/>
        <w:spacing w:line="360" w:lineRule="auto"/>
        <w:ind w:firstLine="481" w:firstLineChars="200"/>
        <w:rPr>
          <w:rFonts w:ascii="宋体" w:cs="宋体"/>
          <w:b/>
          <w:bCs/>
          <w:sz w:val="24"/>
          <w:szCs w:val="24"/>
        </w:rPr>
      </w:pPr>
      <w:r>
        <w:rPr>
          <w:rFonts w:hint="eastAsia" w:ascii="宋体" w:cs="宋体"/>
          <w:b/>
          <w:bCs/>
          <w:sz w:val="24"/>
          <w:szCs w:val="24"/>
        </w:rPr>
        <w:t>十、确定成交供应商</w:t>
      </w:r>
    </w:p>
    <w:p>
      <w:pPr>
        <w:snapToGrid w:val="0"/>
        <w:spacing w:line="360" w:lineRule="auto"/>
        <w:ind w:firstLine="480" w:firstLineChars="200"/>
        <w:rPr>
          <w:rFonts w:ascii="宋体" w:cs="宋体"/>
          <w:sz w:val="24"/>
          <w:szCs w:val="24"/>
        </w:rPr>
      </w:pPr>
      <w:r>
        <w:rPr>
          <w:rFonts w:hint="eastAsia" w:ascii="宋体" w:cs="宋体"/>
          <w:sz w:val="24"/>
          <w:szCs w:val="24"/>
        </w:rPr>
        <w:t>成交的标准</w:t>
      </w:r>
    </w:p>
    <w:p>
      <w:pPr>
        <w:snapToGrid w:val="0"/>
        <w:spacing w:line="360" w:lineRule="auto"/>
        <w:ind w:firstLine="480" w:firstLineChars="200"/>
        <w:rPr>
          <w:rFonts w:ascii="宋体" w:cs="宋体"/>
          <w:sz w:val="24"/>
          <w:szCs w:val="24"/>
        </w:rPr>
      </w:pPr>
      <w:r>
        <w:rPr>
          <w:rFonts w:hint="eastAsia" w:ascii="宋体" w:cs="宋体"/>
          <w:sz w:val="24"/>
          <w:szCs w:val="24"/>
        </w:rPr>
        <w:t>1、磋商小组将推荐得分最高的供应商为成交候选人，采购人将依据磋商小组评审意见确定成交供应商；</w:t>
      </w:r>
    </w:p>
    <w:p>
      <w:pPr>
        <w:snapToGrid w:val="0"/>
        <w:spacing w:line="360" w:lineRule="auto"/>
        <w:ind w:firstLine="480" w:firstLineChars="200"/>
        <w:rPr>
          <w:rFonts w:ascii="宋体" w:cs="宋体"/>
          <w:sz w:val="24"/>
          <w:szCs w:val="24"/>
        </w:rPr>
      </w:pPr>
      <w:r>
        <w:rPr>
          <w:rFonts w:hint="eastAsia" w:ascii="宋体" w:cs="宋体"/>
          <w:sz w:val="24"/>
          <w:szCs w:val="24"/>
        </w:rPr>
        <w:t>2、具有良好的履行合同的能力和条件；</w:t>
      </w:r>
    </w:p>
    <w:p>
      <w:pPr>
        <w:snapToGrid w:val="0"/>
        <w:spacing w:line="360" w:lineRule="auto"/>
        <w:ind w:firstLine="480" w:firstLineChars="200"/>
        <w:rPr>
          <w:rFonts w:ascii="宋体" w:cs="宋体"/>
          <w:sz w:val="24"/>
          <w:szCs w:val="24"/>
        </w:rPr>
      </w:pPr>
      <w:r>
        <w:rPr>
          <w:rFonts w:hint="eastAsia" w:ascii="宋体" w:cs="宋体"/>
          <w:sz w:val="24"/>
          <w:szCs w:val="24"/>
        </w:rPr>
        <w:t>3、保证质量、保证项目供货期限，按照磋商采购文件要求提供相关货物及服务。</w:t>
      </w:r>
    </w:p>
    <w:p>
      <w:pPr>
        <w:snapToGrid w:val="0"/>
        <w:spacing w:line="360" w:lineRule="auto"/>
        <w:ind w:firstLine="481" w:firstLineChars="200"/>
        <w:rPr>
          <w:rFonts w:ascii="宋体" w:cs="宋体"/>
          <w:b/>
          <w:bCs/>
          <w:sz w:val="24"/>
          <w:szCs w:val="24"/>
        </w:rPr>
      </w:pPr>
      <w:r>
        <w:rPr>
          <w:rFonts w:hint="eastAsia" w:ascii="宋体" w:cs="宋体"/>
          <w:b/>
          <w:bCs/>
          <w:sz w:val="24"/>
          <w:szCs w:val="24"/>
        </w:rPr>
        <w:t>十一、合同授予标准</w:t>
      </w:r>
    </w:p>
    <w:p>
      <w:pPr>
        <w:snapToGrid w:val="0"/>
        <w:spacing w:line="360" w:lineRule="auto"/>
        <w:ind w:firstLine="480" w:firstLineChars="200"/>
        <w:rPr>
          <w:rFonts w:ascii="宋体" w:cs="宋体"/>
          <w:sz w:val="24"/>
          <w:szCs w:val="24"/>
        </w:rPr>
      </w:pPr>
      <w:r>
        <w:rPr>
          <w:rFonts w:hint="eastAsia" w:ascii="宋体" w:cs="宋体"/>
          <w:sz w:val="24"/>
          <w:szCs w:val="24"/>
        </w:rPr>
        <w:t>采购人应将合同授予被确定为实质上响应磋商采购文件要求的，能够圆满地履行合同义务的成交候选人。</w:t>
      </w:r>
    </w:p>
    <w:p>
      <w:pPr>
        <w:snapToGrid w:val="0"/>
        <w:spacing w:line="360" w:lineRule="auto"/>
        <w:ind w:firstLine="477" w:firstLineChars="198"/>
        <w:rPr>
          <w:rFonts w:ascii="宋体" w:cs="宋体"/>
          <w:b/>
          <w:bCs/>
          <w:sz w:val="24"/>
          <w:szCs w:val="24"/>
        </w:rPr>
      </w:pPr>
      <w:r>
        <w:rPr>
          <w:rFonts w:hint="eastAsia" w:ascii="宋体" w:cs="宋体"/>
          <w:b/>
          <w:bCs/>
          <w:sz w:val="24"/>
          <w:szCs w:val="24"/>
        </w:rPr>
        <w:t>十</w:t>
      </w:r>
      <w:r>
        <w:rPr>
          <w:rFonts w:hint="eastAsia" w:ascii="宋体" w:cs="宋体"/>
          <w:b/>
          <w:bCs/>
          <w:sz w:val="24"/>
          <w:szCs w:val="24"/>
          <w:lang w:eastAsia="zh-CN"/>
        </w:rPr>
        <w:t>二</w:t>
      </w:r>
      <w:r>
        <w:rPr>
          <w:rFonts w:hint="eastAsia" w:ascii="宋体" w:cs="宋体"/>
          <w:b/>
          <w:bCs/>
          <w:sz w:val="24"/>
          <w:szCs w:val="24"/>
        </w:rPr>
        <w:t>、成交通知书：</w:t>
      </w:r>
    </w:p>
    <w:p>
      <w:pPr>
        <w:adjustRightInd w:val="0"/>
        <w:snapToGrid w:val="0"/>
        <w:spacing w:line="360" w:lineRule="auto"/>
        <w:ind w:firstLine="480" w:firstLineChars="200"/>
        <w:rPr>
          <w:rFonts w:ascii="宋体" w:cs="宋体"/>
          <w:sz w:val="24"/>
          <w:szCs w:val="24"/>
        </w:rPr>
      </w:pPr>
      <w:r>
        <w:rPr>
          <w:rFonts w:hint="eastAsia" w:ascii="宋体" w:cs="宋体"/>
          <w:sz w:val="24"/>
          <w:szCs w:val="24"/>
        </w:rPr>
        <w:t>1、采购代理人应当在规定时间内向采购管理部门提交磋商采购、评审、确定成交供应商过程有关文件资料、评审报告、成交供应商的磋商响应文件等备案资料，经采购管理部门审查通过后，方可发放“成交通知书”。</w:t>
      </w:r>
    </w:p>
    <w:p>
      <w:pPr>
        <w:adjustRightInd w:val="0"/>
        <w:snapToGrid w:val="0"/>
        <w:spacing w:line="360" w:lineRule="auto"/>
        <w:ind w:firstLine="480" w:firstLineChars="200"/>
        <w:rPr>
          <w:rFonts w:ascii="宋体" w:cs="宋体"/>
          <w:sz w:val="24"/>
          <w:szCs w:val="24"/>
        </w:rPr>
      </w:pPr>
      <w:r>
        <w:rPr>
          <w:rFonts w:hint="eastAsia" w:ascii="宋体" w:cs="宋体"/>
          <w:sz w:val="24"/>
          <w:szCs w:val="24"/>
        </w:rPr>
        <w:t>2、成交通知书经备案后，采购代理人应当在2个工作日内向成交供应商发出成交通知书。成交通知书对采购人和成交供应商具有法律效力。成交通知书发出后，采购人改变成交结果的，或者成交供应商放弃成交的，应当依法承担法律责任。</w:t>
      </w:r>
    </w:p>
    <w:p>
      <w:pPr>
        <w:adjustRightInd w:val="0"/>
        <w:snapToGrid w:val="0"/>
        <w:spacing w:line="360" w:lineRule="auto"/>
        <w:ind w:firstLine="480" w:firstLineChars="200"/>
        <w:rPr>
          <w:rFonts w:ascii="宋体" w:cs="宋体"/>
          <w:sz w:val="24"/>
          <w:szCs w:val="24"/>
        </w:rPr>
      </w:pPr>
      <w:r>
        <w:rPr>
          <w:rFonts w:hint="eastAsia" w:ascii="宋体" w:cs="宋体"/>
          <w:sz w:val="24"/>
          <w:szCs w:val="24"/>
        </w:rPr>
        <w:t>3、成交通知书将是合同的一个组成部分。</w:t>
      </w:r>
    </w:p>
    <w:p>
      <w:pPr>
        <w:adjustRightInd w:val="0"/>
        <w:snapToGrid w:val="0"/>
        <w:spacing w:line="360" w:lineRule="auto"/>
        <w:ind w:firstLine="481" w:firstLineChars="200"/>
        <w:rPr>
          <w:rFonts w:ascii="宋体" w:cs="宋体"/>
          <w:b/>
          <w:bCs/>
          <w:sz w:val="24"/>
          <w:szCs w:val="24"/>
        </w:rPr>
      </w:pPr>
      <w:r>
        <w:rPr>
          <w:rFonts w:hint="eastAsia" w:ascii="宋体" w:cs="宋体"/>
          <w:b/>
          <w:bCs/>
          <w:sz w:val="24"/>
          <w:szCs w:val="24"/>
        </w:rPr>
        <w:t>十</w:t>
      </w:r>
      <w:r>
        <w:rPr>
          <w:rFonts w:hint="eastAsia" w:ascii="宋体" w:cs="宋体"/>
          <w:b/>
          <w:bCs/>
          <w:sz w:val="24"/>
          <w:szCs w:val="24"/>
          <w:lang w:eastAsia="zh-CN"/>
        </w:rPr>
        <w:t>三</w:t>
      </w:r>
      <w:r>
        <w:rPr>
          <w:rFonts w:hint="eastAsia" w:ascii="宋体" w:cs="宋体"/>
          <w:b/>
          <w:bCs/>
          <w:sz w:val="24"/>
          <w:szCs w:val="24"/>
        </w:rPr>
        <w:t>、签订合同</w:t>
      </w:r>
    </w:p>
    <w:p>
      <w:pPr>
        <w:adjustRightInd w:val="0"/>
        <w:snapToGrid w:val="0"/>
        <w:spacing w:line="360" w:lineRule="auto"/>
        <w:ind w:firstLine="480" w:firstLineChars="200"/>
        <w:rPr>
          <w:rFonts w:ascii="宋体" w:cs="宋体"/>
          <w:sz w:val="24"/>
          <w:szCs w:val="24"/>
        </w:rPr>
      </w:pPr>
      <w:r>
        <w:rPr>
          <w:rFonts w:hint="eastAsia" w:ascii="宋体" w:cs="宋体"/>
          <w:sz w:val="24"/>
          <w:szCs w:val="24"/>
        </w:rPr>
        <w:t>1、成交供应商在收到成交通知书后应当按有关规定与采购人签订书面合同。磋商采购文件、成交供应商的磋商响应文件及评审过程中有关澄清、承诺等文件均为该书面合同的有效组成部分。</w:t>
      </w:r>
    </w:p>
    <w:p>
      <w:pPr>
        <w:snapToGrid w:val="0"/>
        <w:spacing w:line="360" w:lineRule="auto"/>
        <w:ind w:firstLine="481" w:firstLineChars="200"/>
        <w:rPr>
          <w:rFonts w:ascii="宋体" w:cs="宋体"/>
          <w:b/>
          <w:bCs/>
          <w:sz w:val="24"/>
          <w:szCs w:val="24"/>
        </w:rPr>
      </w:pPr>
      <w:r>
        <w:rPr>
          <w:rFonts w:hint="eastAsia" w:ascii="宋体" w:cs="宋体"/>
          <w:b/>
          <w:bCs/>
          <w:sz w:val="24"/>
          <w:szCs w:val="24"/>
          <w:lang w:eastAsia="zh-CN"/>
        </w:rPr>
        <w:t>十四</w:t>
      </w:r>
      <w:r>
        <w:rPr>
          <w:rFonts w:hint="eastAsia" w:ascii="宋体" w:cs="宋体"/>
          <w:b/>
          <w:bCs/>
          <w:sz w:val="24"/>
          <w:szCs w:val="24"/>
        </w:rPr>
        <w:t>、询问、质疑与投诉</w:t>
      </w:r>
    </w:p>
    <w:p>
      <w:pPr>
        <w:snapToGrid w:val="0"/>
        <w:spacing w:line="360" w:lineRule="auto"/>
        <w:ind w:firstLine="480" w:firstLineChars="200"/>
        <w:rPr>
          <w:rFonts w:ascii="宋体" w:cs="宋体"/>
          <w:sz w:val="24"/>
          <w:szCs w:val="24"/>
        </w:rPr>
      </w:pPr>
      <w:r>
        <w:rPr>
          <w:rFonts w:hint="eastAsia" w:ascii="宋体" w:cs="宋体"/>
          <w:sz w:val="24"/>
          <w:szCs w:val="24"/>
        </w:rPr>
        <w:t>询问</w:t>
      </w:r>
    </w:p>
    <w:p>
      <w:pPr>
        <w:snapToGrid w:val="0"/>
        <w:spacing w:line="360" w:lineRule="auto"/>
        <w:ind w:firstLine="480" w:firstLineChars="200"/>
        <w:rPr>
          <w:rFonts w:ascii="宋体" w:cs="宋体"/>
          <w:sz w:val="24"/>
          <w:szCs w:val="24"/>
        </w:rPr>
      </w:pPr>
      <w:r>
        <w:rPr>
          <w:rFonts w:hint="eastAsia" w:ascii="宋体" w:cs="宋体"/>
          <w:sz w:val="24"/>
          <w:szCs w:val="24"/>
        </w:rPr>
        <w:t>供应商对政府采购活动事项有疑问的，可以向采购人提出询问，采购人或采购应当在3个工作日内做出答复，但答复的内容不得涉及商业秘密。</w:t>
      </w:r>
    </w:p>
    <w:p>
      <w:pPr>
        <w:snapToGrid w:val="0"/>
        <w:spacing w:line="360" w:lineRule="auto"/>
        <w:ind w:firstLine="480" w:firstLineChars="200"/>
        <w:rPr>
          <w:rFonts w:ascii="宋体" w:cs="宋体"/>
          <w:sz w:val="24"/>
          <w:szCs w:val="24"/>
        </w:rPr>
      </w:pPr>
      <w:r>
        <w:rPr>
          <w:rFonts w:hint="eastAsia" w:ascii="宋体" w:cs="宋体"/>
          <w:sz w:val="24"/>
          <w:szCs w:val="24"/>
        </w:rPr>
        <w:t>为了使提出的询问事项在规定时间内得到有效回复，询问采用实名制，询问内容以书面材料的形式亲自递交到采购人，正式受理后方可生效，否则，为无效询问。</w:t>
      </w:r>
    </w:p>
    <w:p>
      <w:pPr>
        <w:snapToGrid w:val="0"/>
        <w:spacing w:line="360" w:lineRule="auto"/>
        <w:ind w:firstLine="480" w:firstLineChars="200"/>
        <w:rPr>
          <w:rFonts w:ascii="宋体" w:cs="宋体"/>
          <w:sz w:val="24"/>
          <w:szCs w:val="24"/>
        </w:rPr>
      </w:pPr>
      <w:r>
        <w:rPr>
          <w:rFonts w:hint="eastAsia" w:ascii="宋体" w:cs="宋体"/>
          <w:sz w:val="24"/>
          <w:szCs w:val="24"/>
        </w:rPr>
        <w:t>质疑</w:t>
      </w:r>
    </w:p>
    <w:p>
      <w:pPr>
        <w:snapToGrid w:val="0"/>
        <w:spacing w:line="360" w:lineRule="auto"/>
        <w:ind w:firstLine="480" w:firstLineChars="200"/>
        <w:rPr>
          <w:rFonts w:ascii="宋体" w:cs="宋体"/>
          <w:sz w:val="24"/>
          <w:szCs w:val="24"/>
        </w:rPr>
      </w:pPr>
      <w:r>
        <w:rPr>
          <w:rFonts w:hint="eastAsia" w:ascii="宋体" w:cs="宋体"/>
          <w:sz w:val="24"/>
          <w:szCs w:val="24"/>
        </w:rPr>
        <w:t>供应商认为采购文件、采购过程和成交、成交结果使自己的权益受到损害的，可以在知道或者应知其权益受到损害之日起七个工作日内，以书面形式向采购人提出质疑。</w:t>
      </w:r>
    </w:p>
    <w:p>
      <w:pPr>
        <w:snapToGrid w:val="0"/>
        <w:spacing w:line="360" w:lineRule="auto"/>
        <w:ind w:firstLine="480" w:firstLineChars="200"/>
        <w:rPr>
          <w:rFonts w:ascii="宋体" w:cs="宋体"/>
          <w:sz w:val="24"/>
          <w:szCs w:val="24"/>
        </w:rPr>
      </w:pPr>
      <w:r>
        <w:rPr>
          <w:rFonts w:hint="eastAsia" w:ascii="宋体" w:cs="宋体"/>
          <w:sz w:val="24"/>
          <w:szCs w:val="24"/>
        </w:rPr>
        <w:t>供应商在法定质疑期内应当一次性提出针对同一采购程序环节的质疑。提出质疑的供应商应当是参与所质疑项目采购活动的供应商。</w:t>
      </w:r>
    </w:p>
    <w:p>
      <w:pPr>
        <w:snapToGrid w:val="0"/>
        <w:spacing w:line="360" w:lineRule="auto"/>
        <w:ind w:firstLine="480" w:firstLineChars="200"/>
        <w:rPr>
          <w:rFonts w:ascii="宋体" w:cs="宋体"/>
          <w:sz w:val="24"/>
          <w:szCs w:val="24"/>
        </w:rPr>
      </w:pPr>
      <w:r>
        <w:rPr>
          <w:rFonts w:hint="eastAsia" w:ascii="宋体" w:cs="宋体"/>
          <w:sz w:val="24"/>
          <w:szCs w:val="24"/>
        </w:rPr>
        <w:t>潜在供应商已依法获取其可质疑的采购文件的，可以对该文件提出质疑。对采购文件提出质疑的，应当在获取采购文件或者采购文件邀请函期限届满之日起7个工作日内提出。</w:t>
      </w:r>
    </w:p>
    <w:p>
      <w:pPr>
        <w:snapToGrid w:val="0"/>
        <w:spacing w:line="360" w:lineRule="auto"/>
        <w:ind w:firstLine="480" w:firstLineChars="200"/>
        <w:rPr>
          <w:rFonts w:ascii="宋体" w:cs="宋体"/>
          <w:sz w:val="24"/>
          <w:szCs w:val="24"/>
        </w:rPr>
      </w:pPr>
      <w:r>
        <w:rPr>
          <w:rFonts w:hint="eastAsia" w:ascii="宋体" w:cs="宋体"/>
          <w:sz w:val="24"/>
          <w:szCs w:val="24"/>
        </w:rPr>
        <w:t>采购人应当在收到供应商的书面质疑后七个工作日内作出答复，并以书面形式通知质疑供应商和其他有关供应商，但答复的内容不得涉及商业秘密。</w:t>
      </w:r>
    </w:p>
    <w:p>
      <w:pPr>
        <w:snapToGrid w:val="0"/>
        <w:spacing w:line="360" w:lineRule="auto"/>
        <w:ind w:firstLine="480" w:firstLineChars="200"/>
        <w:rPr>
          <w:rFonts w:ascii="宋体" w:cs="宋体"/>
          <w:sz w:val="24"/>
          <w:szCs w:val="24"/>
        </w:rPr>
      </w:pPr>
      <w:r>
        <w:rPr>
          <w:rFonts w:hint="eastAsia" w:ascii="宋体" w:cs="宋体"/>
          <w:sz w:val="24"/>
          <w:szCs w:val="24"/>
        </w:rPr>
        <w:t>询问或者质疑事项可能影响成交结果的，采购人应当暂停签订合同，已经签订合同的，应当中止履行合同。</w:t>
      </w:r>
    </w:p>
    <w:p>
      <w:pPr>
        <w:snapToGrid w:val="0"/>
        <w:spacing w:line="360" w:lineRule="auto"/>
        <w:ind w:firstLine="480" w:firstLineChars="200"/>
        <w:rPr>
          <w:rFonts w:ascii="宋体" w:cs="宋体"/>
          <w:sz w:val="24"/>
          <w:szCs w:val="24"/>
        </w:rPr>
      </w:pPr>
      <w:r>
        <w:rPr>
          <w:rFonts w:hint="eastAsia" w:ascii="宋体" w:cs="宋体"/>
          <w:sz w:val="24"/>
          <w:szCs w:val="24"/>
        </w:rPr>
        <w:t>供应商提出质疑应当提交质疑函和必要的证明材料。质疑函应当包括下列内容：</w:t>
      </w:r>
    </w:p>
    <w:p>
      <w:pPr>
        <w:snapToGrid w:val="0"/>
        <w:spacing w:line="360" w:lineRule="auto"/>
        <w:ind w:firstLine="480" w:firstLineChars="200"/>
        <w:rPr>
          <w:rFonts w:ascii="宋体" w:cs="宋体"/>
          <w:sz w:val="24"/>
          <w:szCs w:val="24"/>
        </w:rPr>
      </w:pPr>
      <w:r>
        <w:rPr>
          <w:rFonts w:hint="eastAsia" w:ascii="宋体" w:cs="宋体"/>
          <w:sz w:val="24"/>
          <w:szCs w:val="24"/>
        </w:rPr>
        <w:t>（一）供应商的姓名或者名称、地址、邮编、联系人及联系电话；</w:t>
      </w:r>
    </w:p>
    <w:p>
      <w:pPr>
        <w:snapToGrid w:val="0"/>
        <w:spacing w:line="360" w:lineRule="auto"/>
        <w:ind w:firstLine="480" w:firstLineChars="200"/>
        <w:rPr>
          <w:rFonts w:ascii="宋体" w:cs="宋体"/>
          <w:sz w:val="24"/>
          <w:szCs w:val="24"/>
        </w:rPr>
      </w:pPr>
      <w:r>
        <w:rPr>
          <w:rFonts w:hint="eastAsia" w:ascii="宋体" w:cs="宋体"/>
          <w:sz w:val="24"/>
          <w:szCs w:val="24"/>
        </w:rPr>
        <w:t>（二）质疑项目的名称、编号；</w:t>
      </w:r>
    </w:p>
    <w:p>
      <w:pPr>
        <w:snapToGrid w:val="0"/>
        <w:spacing w:line="360" w:lineRule="auto"/>
        <w:ind w:firstLine="480" w:firstLineChars="200"/>
        <w:rPr>
          <w:rFonts w:ascii="宋体" w:cs="宋体"/>
          <w:sz w:val="24"/>
          <w:szCs w:val="24"/>
        </w:rPr>
      </w:pPr>
      <w:r>
        <w:rPr>
          <w:rFonts w:hint="eastAsia" w:ascii="宋体" w:cs="宋体"/>
          <w:sz w:val="24"/>
          <w:szCs w:val="24"/>
        </w:rPr>
        <w:t>（三）具体、明确的质疑事项和与质疑事项相关的请求；</w:t>
      </w:r>
    </w:p>
    <w:p>
      <w:pPr>
        <w:snapToGrid w:val="0"/>
        <w:spacing w:line="360" w:lineRule="auto"/>
        <w:ind w:firstLine="480" w:firstLineChars="200"/>
        <w:rPr>
          <w:rFonts w:ascii="宋体" w:cs="宋体"/>
          <w:sz w:val="24"/>
          <w:szCs w:val="24"/>
        </w:rPr>
      </w:pPr>
      <w:r>
        <w:rPr>
          <w:rFonts w:hint="eastAsia" w:ascii="宋体" w:cs="宋体"/>
          <w:sz w:val="24"/>
          <w:szCs w:val="24"/>
        </w:rPr>
        <w:t>（四）事实依据；</w:t>
      </w:r>
    </w:p>
    <w:p>
      <w:pPr>
        <w:snapToGrid w:val="0"/>
        <w:spacing w:line="360" w:lineRule="auto"/>
        <w:ind w:firstLine="480" w:firstLineChars="200"/>
        <w:rPr>
          <w:rFonts w:ascii="宋体" w:cs="宋体"/>
          <w:sz w:val="24"/>
          <w:szCs w:val="24"/>
        </w:rPr>
      </w:pPr>
      <w:r>
        <w:rPr>
          <w:rFonts w:hint="eastAsia" w:ascii="宋体" w:cs="宋体"/>
          <w:sz w:val="24"/>
          <w:szCs w:val="24"/>
        </w:rPr>
        <w:t>（五）必要的法律依据；</w:t>
      </w:r>
    </w:p>
    <w:p>
      <w:pPr>
        <w:snapToGrid w:val="0"/>
        <w:spacing w:line="360" w:lineRule="auto"/>
        <w:ind w:firstLine="480" w:firstLineChars="200"/>
        <w:rPr>
          <w:rFonts w:ascii="宋体" w:cs="宋体"/>
          <w:sz w:val="24"/>
          <w:szCs w:val="24"/>
        </w:rPr>
      </w:pPr>
      <w:r>
        <w:rPr>
          <w:rFonts w:hint="eastAsia" w:ascii="宋体" w:cs="宋体"/>
          <w:sz w:val="24"/>
          <w:szCs w:val="24"/>
        </w:rPr>
        <w:t>（六）提出质疑的日期。</w:t>
      </w:r>
    </w:p>
    <w:p>
      <w:pPr>
        <w:snapToGrid w:val="0"/>
        <w:spacing w:line="360" w:lineRule="auto"/>
        <w:ind w:firstLine="480" w:firstLineChars="200"/>
        <w:rPr>
          <w:rFonts w:ascii="宋体" w:cs="宋体"/>
          <w:sz w:val="24"/>
          <w:szCs w:val="24"/>
        </w:rPr>
      </w:pPr>
      <w:r>
        <w:rPr>
          <w:rFonts w:hint="eastAsia" w:ascii="宋体" w:cs="宋体"/>
          <w:sz w:val="24"/>
          <w:szCs w:val="24"/>
        </w:rPr>
        <w:t>注：对磋商文件质疑的，还需提供已依法获取其可质疑的采购文件的证明材料（在供应商系统中自行截图）。</w:t>
      </w:r>
    </w:p>
    <w:p>
      <w:pPr>
        <w:snapToGrid w:val="0"/>
        <w:spacing w:line="360" w:lineRule="auto"/>
        <w:ind w:firstLine="480" w:firstLineChars="200"/>
        <w:rPr>
          <w:rFonts w:ascii="宋体" w:cs="宋体"/>
          <w:sz w:val="24"/>
          <w:szCs w:val="24"/>
        </w:rPr>
      </w:pPr>
      <w:r>
        <w:rPr>
          <w:rFonts w:hint="eastAsia" w:ascii="宋体" w:cs="宋体"/>
          <w:sz w:val="24"/>
          <w:szCs w:val="24"/>
        </w:rPr>
        <w:t>供应商为自然人的，应当由本人签字；供应商为法人或者其他组织的，应当由法定代表人、主要负责人，或者其授权代表签字或者盖章，并加盖公章。</w:t>
      </w:r>
    </w:p>
    <w:p>
      <w:pPr>
        <w:snapToGrid w:val="0"/>
        <w:spacing w:line="360" w:lineRule="auto"/>
        <w:ind w:firstLine="480" w:firstLineChars="200"/>
        <w:rPr>
          <w:rFonts w:ascii="宋体" w:cs="宋体"/>
          <w:sz w:val="24"/>
          <w:szCs w:val="24"/>
        </w:rPr>
      </w:pPr>
      <w:r>
        <w:rPr>
          <w:rFonts w:hint="eastAsia" w:ascii="宋体" w:cs="宋体"/>
          <w:sz w:val="24"/>
          <w:szCs w:val="24"/>
        </w:rPr>
        <w:t>供应商可以授权代表进行质疑，且应当提交供应商签署的授权委托书。其授权委托书应当载明代理人的姓名或者名称、代理事项、具体权限、期限和相关事项。</w:t>
      </w:r>
    </w:p>
    <w:p>
      <w:pPr>
        <w:snapToGrid w:val="0"/>
        <w:spacing w:line="360" w:lineRule="auto"/>
        <w:ind w:firstLine="480" w:firstLineChars="200"/>
        <w:rPr>
          <w:rFonts w:ascii="宋体" w:cs="宋体"/>
          <w:sz w:val="24"/>
          <w:szCs w:val="24"/>
        </w:rPr>
      </w:pPr>
      <w:r>
        <w:rPr>
          <w:rFonts w:hint="eastAsia" w:ascii="宋体" w:cs="宋体"/>
          <w:sz w:val="24"/>
          <w:szCs w:val="24"/>
        </w:rPr>
        <w:t>供应商在提出质疑时，请严格按照相关法律法规及质疑函范本要求提出和制作，否则，自行承担相关不利后果。</w:t>
      </w:r>
    </w:p>
    <w:p>
      <w:pPr>
        <w:snapToGrid w:val="0"/>
        <w:spacing w:line="360" w:lineRule="auto"/>
        <w:ind w:firstLine="480" w:firstLineChars="200"/>
        <w:rPr>
          <w:rFonts w:ascii="宋体" w:cs="宋体"/>
          <w:sz w:val="24"/>
          <w:szCs w:val="24"/>
        </w:rPr>
      </w:pPr>
      <w:r>
        <w:rPr>
          <w:rFonts w:hint="eastAsia" w:ascii="宋体" w:cs="宋体"/>
          <w:sz w:val="24"/>
          <w:szCs w:val="24"/>
        </w:rPr>
        <w:t>对捏造事实，提供虚假材料或者以非法手段取得证明材料进行恶意质疑的，一经查实，将上报监督部门，并给以相应处罚。</w:t>
      </w:r>
    </w:p>
    <w:p>
      <w:pPr>
        <w:snapToGrid w:val="0"/>
        <w:spacing w:line="360" w:lineRule="auto"/>
        <w:ind w:firstLine="480" w:firstLineChars="200"/>
        <w:rPr>
          <w:rFonts w:ascii="宋体" w:cs="宋体"/>
          <w:sz w:val="24"/>
          <w:szCs w:val="24"/>
        </w:rPr>
      </w:pPr>
      <w:r>
        <w:rPr>
          <w:rFonts w:hint="eastAsia" w:ascii="宋体" w:cs="宋体"/>
          <w:sz w:val="24"/>
          <w:szCs w:val="24"/>
        </w:rPr>
        <w:t>接收质疑函的方式：为了使提出的质疑事项在规定时间内得到有效答复、处理，质疑采用实名制，且由法定代表人或授权代表亲自递交至采购人，正式受理后方可生效。联系部门：采购人（详见第一章磋商邀请）。联系电话：采购人（详见第一章磋商邀请）。通讯地址：采购人（详见第一章磋商邀请）。</w:t>
      </w:r>
    </w:p>
    <w:p>
      <w:pPr>
        <w:snapToGrid w:val="0"/>
        <w:spacing w:line="360" w:lineRule="auto"/>
        <w:ind w:firstLine="480" w:firstLineChars="200"/>
        <w:rPr>
          <w:rFonts w:ascii="宋体" w:cs="宋体"/>
          <w:sz w:val="24"/>
          <w:szCs w:val="24"/>
        </w:rPr>
      </w:pPr>
      <w:r>
        <w:rPr>
          <w:rFonts w:hint="eastAsia" w:ascii="宋体" w:cs="宋体"/>
          <w:sz w:val="24"/>
          <w:szCs w:val="24"/>
        </w:rPr>
        <w:t>投诉</w:t>
      </w:r>
    </w:p>
    <w:p>
      <w:pPr>
        <w:snapToGrid w:val="0"/>
        <w:spacing w:line="360" w:lineRule="auto"/>
        <w:ind w:firstLine="480" w:firstLineChars="200"/>
        <w:rPr>
          <w:rFonts w:ascii="宋体" w:cs="宋体"/>
        </w:rPr>
      </w:pPr>
      <w:r>
        <w:rPr>
          <w:rFonts w:hint="eastAsia" w:ascii="宋体" w:cs="宋体"/>
          <w:sz w:val="24"/>
          <w:szCs w:val="24"/>
        </w:rPr>
        <w:t>质疑人对采购人的答复不满意或者采购人未在规定的时间内做出书面答复的，可以在答复期满后十五个工作日内向有关监督部门进行投诉。投诉程序按《政府采购法》及相关规定执行。供应商投诉的事项不得超出已质疑事项的范围</w:t>
      </w:r>
      <w:r>
        <w:rPr>
          <w:rFonts w:hint="eastAsia" w:ascii="宋体" w:cs="宋体"/>
          <w:sz w:val="24"/>
        </w:rPr>
        <w:t>。</w:t>
      </w:r>
      <w:bookmarkStart w:id="5" w:name="_Toc5184"/>
      <w:bookmarkStart w:id="6" w:name="_Toc19182625"/>
      <w:bookmarkStart w:id="7" w:name="_Toc17829126"/>
      <w:r>
        <w:rPr>
          <w:rFonts w:hint="eastAsia" w:ascii="宋体" w:cs="宋体"/>
          <w:lang w:val="en-US" w:eastAsia="zh-CN"/>
        </w:rPr>
        <w:t xml:space="preserve"> </w:t>
      </w:r>
      <w:r>
        <w:rPr>
          <w:rFonts w:hint="eastAsia" w:ascii="宋体" w:cs="宋体"/>
        </w:rPr>
        <w:br w:type="page"/>
      </w:r>
    </w:p>
    <w:p>
      <w:pPr>
        <w:pStyle w:val="2"/>
        <w:rPr>
          <w:rFonts w:ascii="宋体" w:cs="宋体"/>
          <w:b w:val="0"/>
          <w:bCs w:val="0"/>
        </w:rPr>
      </w:pPr>
      <w:r>
        <w:rPr>
          <w:rFonts w:hint="eastAsia" w:ascii="宋体" w:cs="宋体"/>
          <w:b w:val="0"/>
          <w:bCs w:val="0"/>
        </w:rPr>
        <w:t>第</w:t>
      </w:r>
      <w:r>
        <w:rPr>
          <w:rFonts w:hint="eastAsia" w:ascii="宋体" w:cs="宋体"/>
          <w:b w:val="0"/>
          <w:bCs w:val="0"/>
          <w:lang w:eastAsia="zh-CN"/>
        </w:rPr>
        <w:t>四</w:t>
      </w:r>
      <w:r>
        <w:rPr>
          <w:rFonts w:hint="eastAsia" w:ascii="宋体" w:cs="宋体"/>
          <w:b w:val="0"/>
          <w:bCs w:val="0"/>
        </w:rPr>
        <w:t>章</w:t>
      </w:r>
      <w:r>
        <w:rPr>
          <w:rFonts w:hint="eastAsia" w:ascii="宋体" w:cs="宋体"/>
          <w:b w:val="0"/>
          <w:bCs w:val="0"/>
          <w:lang w:val="en-US" w:eastAsia="zh-CN"/>
        </w:rPr>
        <w:t xml:space="preserve"> </w:t>
      </w:r>
      <w:r>
        <w:rPr>
          <w:rFonts w:hint="eastAsia" w:ascii="宋体" w:cs="宋体"/>
          <w:b w:val="0"/>
          <w:bCs w:val="0"/>
        </w:rPr>
        <w:t>评审</w:t>
      </w:r>
      <w:bookmarkEnd w:id="5"/>
    </w:p>
    <w:p>
      <w:pPr>
        <w:rPr>
          <w:rFonts w:ascii="宋体" w:cs="宋体"/>
        </w:rPr>
      </w:pPr>
    </w:p>
    <w:p>
      <w:pPr>
        <w:adjustRightInd w:val="0"/>
        <w:spacing w:line="360" w:lineRule="auto"/>
        <w:ind w:firstLine="480" w:firstLineChars="200"/>
        <w:jc w:val="left"/>
        <w:rPr>
          <w:rFonts w:ascii="宋体" w:cs="宋体"/>
          <w:sz w:val="24"/>
          <w:szCs w:val="24"/>
        </w:rPr>
      </w:pPr>
      <w:r>
        <w:rPr>
          <w:rFonts w:hint="eastAsia" w:ascii="宋体" w:cs="宋体"/>
          <w:sz w:val="24"/>
          <w:szCs w:val="24"/>
        </w:rPr>
        <w:t>一、评审要求</w:t>
      </w:r>
    </w:p>
    <w:p>
      <w:pPr>
        <w:adjustRightInd w:val="0"/>
        <w:spacing w:line="360" w:lineRule="auto"/>
        <w:ind w:firstLine="480" w:firstLineChars="200"/>
        <w:jc w:val="left"/>
        <w:rPr>
          <w:rFonts w:ascii="宋体" w:cs="宋体"/>
          <w:sz w:val="24"/>
          <w:szCs w:val="24"/>
        </w:rPr>
      </w:pPr>
      <w:r>
        <w:rPr>
          <w:rFonts w:hint="eastAsia" w:ascii="宋体" w:cs="宋体"/>
          <w:sz w:val="24"/>
          <w:szCs w:val="24"/>
        </w:rPr>
        <w:t>1.评标方法</w:t>
      </w:r>
    </w:p>
    <w:p>
      <w:pPr>
        <w:adjustRightInd w:val="0"/>
        <w:spacing w:line="360" w:lineRule="auto"/>
        <w:ind w:firstLine="480" w:firstLineChars="200"/>
        <w:jc w:val="left"/>
        <w:rPr>
          <w:rFonts w:ascii="宋体" w:cs="宋体"/>
          <w:sz w:val="24"/>
          <w:szCs w:val="24"/>
        </w:rPr>
      </w:pPr>
      <w:r>
        <w:rPr>
          <w:rFonts w:hint="eastAsia" w:ascii="宋体" w:cs="宋体"/>
          <w:sz w:val="24"/>
          <w:szCs w:val="24"/>
        </w:rPr>
        <w:t>综合评分法：是指响应文件满足磋商文件全部实质性要求，且按照评审因素的量化指标评审得分最高的投标供应商为中标候选人的评标方法。</w:t>
      </w:r>
    </w:p>
    <w:p>
      <w:pPr>
        <w:adjustRightInd w:val="0"/>
        <w:spacing w:line="360" w:lineRule="auto"/>
        <w:ind w:firstLine="480" w:firstLineChars="200"/>
        <w:jc w:val="left"/>
        <w:rPr>
          <w:rFonts w:ascii="宋体" w:cs="宋体"/>
          <w:sz w:val="24"/>
          <w:szCs w:val="24"/>
        </w:rPr>
      </w:pPr>
      <w:r>
        <w:rPr>
          <w:rFonts w:hint="eastAsia" w:ascii="宋体" w:cs="宋体"/>
          <w:sz w:val="24"/>
          <w:szCs w:val="24"/>
        </w:rPr>
        <w:t>2.评审原则</w:t>
      </w:r>
    </w:p>
    <w:p>
      <w:pPr>
        <w:adjustRightInd w:val="0"/>
        <w:spacing w:line="360" w:lineRule="auto"/>
        <w:ind w:firstLine="480" w:firstLineChars="200"/>
        <w:jc w:val="left"/>
        <w:rPr>
          <w:rFonts w:ascii="宋体" w:cs="宋体"/>
          <w:sz w:val="24"/>
          <w:szCs w:val="24"/>
        </w:rPr>
      </w:pPr>
      <w:r>
        <w:rPr>
          <w:rFonts w:hint="eastAsia" w:ascii="宋体" w:cs="宋体"/>
          <w:sz w:val="24"/>
          <w:szCs w:val="24"/>
        </w:rPr>
        <w:t>2.1评审活动遵循公平、公正、科学和择优的原则，以磋商文件和响应文件为评审的基本依据，并按照磋商文件规定的评审方法和评审标准进行评审。</w:t>
      </w:r>
    </w:p>
    <w:p>
      <w:pPr>
        <w:adjustRightInd w:val="0"/>
        <w:spacing w:line="360" w:lineRule="auto"/>
        <w:ind w:firstLine="480" w:firstLineChars="200"/>
        <w:jc w:val="left"/>
        <w:rPr>
          <w:rFonts w:ascii="宋体" w:cs="宋体"/>
          <w:sz w:val="24"/>
          <w:szCs w:val="24"/>
        </w:rPr>
      </w:pPr>
      <w:r>
        <w:rPr>
          <w:rFonts w:hint="eastAsia" w:ascii="宋体" w:cs="宋体"/>
          <w:sz w:val="24"/>
          <w:szCs w:val="24"/>
        </w:rPr>
        <w:t>2.2具体评审事项由磋商小组负责，并按磋商文件的规定办法进行评审。</w:t>
      </w:r>
    </w:p>
    <w:p>
      <w:pPr>
        <w:adjustRightInd w:val="0"/>
        <w:spacing w:line="360" w:lineRule="auto"/>
        <w:ind w:firstLine="480" w:firstLineChars="200"/>
        <w:jc w:val="left"/>
        <w:rPr>
          <w:rFonts w:ascii="宋体" w:cs="宋体"/>
          <w:sz w:val="24"/>
          <w:szCs w:val="24"/>
          <w:lang w:val="zh-CN"/>
        </w:rPr>
      </w:pPr>
      <w:r>
        <w:rPr>
          <w:rFonts w:hint="eastAsia" w:ascii="宋体" w:cs="宋体"/>
          <w:sz w:val="24"/>
          <w:szCs w:val="24"/>
        </w:rPr>
        <w:t>二、</w:t>
      </w:r>
      <w:r>
        <w:rPr>
          <w:rFonts w:hint="eastAsia" w:ascii="宋体" w:cs="宋体"/>
          <w:sz w:val="24"/>
          <w:szCs w:val="24"/>
          <w:lang w:val="zh-CN"/>
        </w:rPr>
        <w:t>评审纪律</w:t>
      </w:r>
    </w:p>
    <w:p>
      <w:pPr>
        <w:adjustRightInd w:val="0"/>
        <w:spacing w:line="360" w:lineRule="auto"/>
        <w:ind w:firstLine="480" w:firstLineChars="200"/>
        <w:jc w:val="left"/>
        <w:rPr>
          <w:rFonts w:ascii="宋体" w:cs="宋体"/>
          <w:sz w:val="24"/>
          <w:szCs w:val="24"/>
          <w:lang w:val="zh-CN"/>
        </w:rPr>
      </w:pPr>
      <w:r>
        <w:rPr>
          <w:rFonts w:hint="eastAsia" w:ascii="宋体" w:cs="宋体"/>
          <w:sz w:val="24"/>
          <w:szCs w:val="24"/>
        </w:rPr>
        <w:t>1、磋商小组成员</w:t>
      </w:r>
      <w:r>
        <w:rPr>
          <w:rFonts w:hint="eastAsia" w:ascii="宋体" w:cs="宋体"/>
          <w:sz w:val="24"/>
          <w:szCs w:val="24"/>
          <w:lang w:val="zh-CN"/>
        </w:rPr>
        <w:t>内部讨论的情况和意见必须保密，任何人不得以任何形式透露给供应商或与供应商有关的单位或个人；</w:t>
      </w:r>
    </w:p>
    <w:p>
      <w:pPr>
        <w:adjustRightInd w:val="0"/>
        <w:spacing w:line="360" w:lineRule="auto"/>
        <w:ind w:firstLine="480" w:firstLineChars="200"/>
        <w:jc w:val="left"/>
        <w:rPr>
          <w:rFonts w:ascii="宋体" w:cs="宋体"/>
          <w:sz w:val="24"/>
          <w:szCs w:val="24"/>
          <w:lang w:val="zh-CN"/>
        </w:rPr>
      </w:pPr>
      <w:r>
        <w:rPr>
          <w:rFonts w:hint="eastAsia" w:ascii="宋体" w:cs="宋体"/>
          <w:sz w:val="24"/>
          <w:szCs w:val="24"/>
        </w:rPr>
        <w:t>2、</w:t>
      </w:r>
      <w:r>
        <w:rPr>
          <w:rFonts w:hint="eastAsia" w:ascii="宋体" w:cs="宋体"/>
          <w:sz w:val="24"/>
          <w:szCs w:val="24"/>
          <w:lang w:val="zh-CN"/>
        </w:rPr>
        <w:t>在磋商过程中，供应商不得以任何形式对磋商小组成员进行旨在影响磋商结果的私下接触，否则取消其磋商资格；</w:t>
      </w:r>
    </w:p>
    <w:p>
      <w:pPr>
        <w:adjustRightInd w:val="0"/>
        <w:spacing w:line="360" w:lineRule="auto"/>
        <w:ind w:firstLine="480" w:firstLineChars="200"/>
        <w:jc w:val="left"/>
        <w:rPr>
          <w:rFonts w:ascii="宋体" w:cs="宋体"/>
          <w:sz w:val="24"/>
          <w:szCs w:val="24"/>
          <w:lang w:val="zh-CN"/>
        </w:rPr>
      </w:pPr>
      <w:r>
        <w:rPr>
          <w:rFonts w:hint="eastAsia" w:ascii="宋体" w:cs="宋体"/>
          <w:sz w:val="24"/>
          <w:szCs w:val="24"/>
        </w:rPr>
        <w:t>3、</w:t>
      </w:r>
      <w:r>
        <w:rPr>
          <w:rFonts w:hint="eastAsia" w:ascii="宋体" w:cs="宋体"/>
          <w:sz w:val="24"/>
          <w:szCs w:val="24"/>
          <w:lang w:val="zh-CN"/>
        </w:rPr>
        <w:t>磋商小组采用以及与磋商有关的人员应当对评审情况和评审过程中获悉的国家秘密、商业秘密予以保密。</w:t>
      </w:r>
    </w:p>
    <w:p>
      <w:pPr>
        <w:pStyle w:val="3"/>
        <w:spacing w:after="120"/>
      </w:pPr>
    </w:p>
    <w:p>
      <w:pPr>
        <w:rPr>
          <w:rFonts w:ascii="宋体" w:cs="宋体"/>
          <w:sz w:val="24"/>
          <w:szCs w:val="24"/>
        </w:rPr>
      </w:pPr>
      <w:r>
        <w:rPr>
          <w:rFonts w:hint="eastAsia" w:ascii="宋体" w:cs="宋体"/>
          <w:sz w:val="24"/>
          <w:szCs w:val="24"/>
        </w:rPr>
        <w:br w:type="page"/>
      </w:r>
    </w:p>
    <w:p>
      <w:pPr>
        <w:pStyle w:val="2"/>
        <w:rPr>
          <w:b w:val="0"/>
          <w:bCs w:val="0"/>
          <w:sz w:val="32"/>
          <w:szCs w:val="32"/>
        </w:rPr>
      </w:pPr>
      <w:r>
        <w:rPr>
          <w:rFonts w:hint="eastAsia"/>
          <w:b w:val="0"/>
          <w:bCs w:val="0"/>
          <w:sz w:val="32"/>
          <w:szCs w:val="32"/>
        </w:rPr>
        <w:t>资格性审查表</w:t>
      </w:r>
    </w:p>
    <w:p>
      <w:pPr>
        <w:rPr>
          <w:rFonts w:ascii="宋体" w:cs="宋体"/>
        </w:rPr>
      </w:pPr>
    </w:p>
    <w:p>
      <w:pPr>
        <w:rPr>
          <w:rFonts w:ascii="宋体" w:cs="宋体"/>
        </w:rPr>
      </w:pPr>
    </w:p>
    <w:tbl>
      <w:tblPr>
        <w:tblStyle w:val="27"/>
        <w:tblW w:w="50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53"/>
        <w:gridCol w:w="7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1200" w:type="pct"/>
          </w:tcPr>
          <w:p>
            <w:pPr>
              <w:pStyle w:val="40"/>
              <w:spacing w:before="48" w:line="355" w:lineRule="auto"/>
              <w:ind w:left="112" w:right="98"/>
              <w:jc w:val="center"/>
              <w:rPr>
                <w:rFonts w:ascii="宋体" w:eastAsia="宋体" w:cs="宋体"/>
                <w:b/>
                <w:bCs/>
                <w:sz w:val="24"/>
                <w:szCs w:val="24"/>
              </w:rPr>
            </w:pPr>
            <w:r>
              <w:rPr>
                <w:rFonts w:hint="eastAsia" w:ascii="宋体" w:eastAsia="宋体" w:cs="宋体"/>
                <w:b/>
                <w:bCs/>
                <w:sz w:val="24"/>
                <w:szCs w:val="24"/>
              </w:rPr>
              <w:t>具有独立承担民事责任的能力</w:t>
            </w:r>
          </w:p>
        </w:tc>
        <w:tc>
          <w:tcPr>
            <w:tcW w:w="3800" w:type="pct"/>
          </w:tcPr>
          <w:p>
            <w:pPr>
              <w:pStyle w:val="40"/>
              <w:spacing w:line="360" w:lineRule="auto"/>
              <w:ind w:firstLine="480" w:firstLineChars="200"/>
              <w:rPr>
                <w:rFonts w:ascii="宋体" w:eastAsia="宋体" w:cs="宋体"/>
                <w:sz w:val="24"/>
                <w:szCs w:val="24"/>
              </w:rPr>
            </w:pPr>
            <w:r>
              <w:rPr>
                <w:rFonts w:hint="eastAsia" w:ascii="宋体" w:eastAsia="宋体" w:cs="宋体"/>
                <w:sz w:val="24"/>
                <w:szCs w:val="24"/>
              </w:rPr>
              <w:t>审查供应商有效的营业执照或事业单位法人证书或执业许可证或自然人的身份证明。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rPr>
        <w:tc>
          <w:tcPr>
            <w:tcW w:w="1200" w:type="pct"/>
          </w:tcPr>
          <w:p>
            <w:pPr>
              <w:pStyle w:val="40"/>
              <w:spacing w:before="48" w:line="355" w:lineRule="auto"/>
              <w:ind w:left="112" w:right="98"/>
              <w:jc w:val="center"/>
              <w:rPr>
                <w:rFonts w:ascii="宋体" w:eastAsia="宋体" w:cs="宋体"/>
                <w:b/>
                <w:bCs/>
                <w:sz w:val="24"/>
                <w:szCs w:val="24"/>
              </w:rPr>
            </w:pPr>
            <w:r>
              <w:rPr>
                <w:rFonts w:hint="eastAsia" w:ascii="宋体" w:eastAsia="宋体" w:cs="宋体"/>
                <w:b/>
                <w:bCs/>
                <w:sz w:val="24"/>
                <w:szCs w:val="24"/>
              </w:rPr>
              <w:t>具有良好的商业信誉和健全的财务会计制度</w:t>
            </w:r>
          </w:p>
        </w:tc>
        <w:tc>
          <w:tcPr>
            <w:tcW w:w="7452" w:type="dxa"/>
          </w:tcPr>
          <w:p>
            <w:pPr>
              <w:spacing w:line="360" w:lineRule="auto"/>
              <w:ind w:firstLine="480" w:firstLineChars="200"/>
              <w:rPr>
                <w:rFonts w:ascii="宋体" w:cs="宋体"/>
                <w:sz w:val="24"/>
                <w:szCs w:val="24"/>
                <w:lang w:val="zh-CN" w:bidi="zh-CN"/>
              </w:rPr>
            </w:pPr>
            <w:r>
              <w:rPr>
                <w:rFonts w:hint="eastAsia" w:ascii="宋体" w:cs="宋体"/>
                <w:sz w:val="24"/>
                <w:szCs w:val="24"/>
                <w:lang w:val="zh-CN" w:bidi="zh-CN"/>
              </w:rPr>
              <w:t>审查供应商提供的（1）或（2）或（3）的资料，任选其一:</w:t>
            </w:r>
          </w:p>
          <w:p>
            <w:pPr>
              <w:spacing w:line="360" w:lineRule="auto"/>
              <w:rPr>
                <w:rFonts w:ascii="宋体" w:cs="宋体"/>
                <w:sz w:val="24"/>
                <w:szCs w:val="24"/>
                <w:lang w:val="zh-CN" w:bidi="zh-CN"/>
              </w:rPr>
            </w:pPr>
            <w:r>
              <w:rPr>
                <w:rFonts w:hint="eastAsia" w:ascii="宋体" w:cs="宋体"/>
                <w:sz w:val="24"/>
                <w:szCs w:val="24"/>
                <w:lang w:val="zh-CN" w:bidi="zh-CN"/>
              </w:rPr>
              <w:t>（1）供应商年度经会计师事务所出具的财务审计报告；</w:t>
            </w:r>
          </w:p>
          <w:p>
            <w:pPr>
              <w:spacing w:line="360" w:lineRule="auto"/>
              <w:rPr>
                <w:rFonts w:ascii="宋体" w:cs="宋体"/>
                <w:sz w:val="24"/>
                <w:szCs w:val="24"/>
                <w:lang w:val="zh-CN" w:bidi="zh-CN"/>
              </w:rPr>
            </w:pPr>
            <w:r>
              <w:rPr>
                <w:rFonts w:hint="eastAsia" w:ascii="宋体" w:cs="宋体"/>
                <w:sz w:val="24"/>
                <w:szCs w:val="24"/>
                <w:lang w:val="zh-CN" w:bidi="zh-CN"/>
              </w:rPr>
              <w:t>（2）供应商基本开户银行近一年内出具的银行资信证明；</w:t>
            </w:r>
          </w:p>
          <w:p>
            <w:pPr>
              <w:spacing w:line="360" w:lineRule="auto"/>
              <w:rPr>
                <w:rFonts w:ascii="宋体" w:cs="宋体"/>
                <w:sz w:val="24"/>
                <w:szCs w:val="24"/>
                <w:lang w:val="zh-CN" w:bidi="zh-CN"/>
              </w:rPr>
            </w:pPr>
            <w:r>
              <w:rPr>
                <w:rFonts w:hint="eastAsia" w:ascii="宋体" w:cs="宋体"/>
                <w:sz w:val="24"/>
                <w:szCs w:val="24"/>
                <w:lang w:val="zh-CN" w:bidi="zh-CN"/>
              </w:rPr>
              <w:t>（3）供应商出具的“具有良好的商业信誉和健全的财务会计制度"承诺书。(格式自拟)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8" w:hRule="atLeast"/>
        </w:trPr>
        <w:tc>
          <w:tcPr>
            <w:tcW w:w="1200" w:type="pct"/>
          </w:tcPr>
          <w:p>
            <w:pPr>
              <w:pStyle w:val="40"/>
              <w:spacing w:before="48" w:line="355" w:lineRule="auto"/>
              <w:ind w:left="112" w:right="98"/>
              <w:jc w:val="center"/>
              <w:rPr>
                <w:rFonts w:ascii="宋体" w:eastAsia="宋体" w:cs="宋体"/>
                <w:b/>
                <w:bCs/>
                <w:sz w:val="24"/>
                <w:szCs w:val="24"/>
              </w:rPr>
            </w:pPr>
            <w:r>
              <w:rPr>
                <w:rFonts w:hint="eastAsia" w:ascii="宋体" w:eastAsia="宋体" w:cs="宋体"/>
                <w:b/>
                <w:bCs/>
                <w:sz w:val="24"/>
                <w:szCs w:val="24"/>
              </w:rPr>
              <w:t>具有依法缴纳税收和社会保障资金的良好记录</w:t>
            </w:r>
          </w:p>
        </w:tc>
        <w:tc>
          <w:tcPr>
            <w:tcW w:w="7452" w:type="dxa"/>
          </w:tcPr>
          <w:p>
            <w:pPr>
              <w:spacing w:line="360" w:lineRule="auto"/>
              <w:ind w:firstLine="480" w:firstLineChars="200"/>
              <w:rPr>
                <w:rFonts w:ascii="宋体" w:cs="宋体"/>
                <w:sz w:val="24"/>
                <w:szCs w:val="24"/>
                <w:lang w:val="zh-CN" w:bidi="zh-CN"/>
              </w:rPr>
            </w:pPr>
            <w:r>
              <w:rPr>
                <w:rFonts w:hint="eastAsia" w:ascii="宋体" w:cs="宋体"/>
                <w:sz w:val="24"/>
                <w:szCs w:val="24"/>
                <w:lang w:val="zh-CN" w:bidi="zh-CN"/>
              </w:rPr>
              <w:t>审查供应商提供的（1）或（2）项资料，任选其一:</w:t>
            </w:r>
          </w:p>
          <w:p>
            <w:pPr>
              <w:spacing w:line="360" w:lineRule="auto"/>
              <w:rPr>
                <w:rFonts w:ascii="宋体" w:cs="宋体"/>
                <w:sz w:val="24"/>
                <w:szCs w:val="24"/>
                <w:lang w:val="zh-CN" w:bidi="zh-CN"/>
              </w:rPr>
            </w:pPr>
            <w:r>
              <w:rPr>
                <w:rFonts w:hint="eastAsia" w:ascii="宋体" w:cs="宋体"/>
                <w:sz w:val="24"/>
                <w:szCs w:val="24"/>
                <w:lang w:val="zh-CN" w:bidi="zh-CN"/>
              </w:rPr>
              <w:t>（1）须同时提供递交投标文件截止之日前一年内至少一个月的：①缴纳税收的相关凭据（税务机关提供的纳税凭据或银行入账单或其它缴纳凭证）；②缴纳社会保险的凭证(专用收据或社会保险缴纳清单或其它缴纳凭证)；</w:t>
            </w:r>
          </w:p>
          <w:p>
            <w:pPr>
              <w:spacing w:line="360" w:lineRule="auto"/>
              <w:rPr>
                <w:rFonts w:ascii="宋体" w:cs="宋体"/>
                <w:sz w:val="24"/>
                <w:szCs w:val="24"/>
                <w:lang w:val="zh-CN" w:bidi="zh-CN"/>
              </w:rPr>
            </w:pPr>
            <w:r>
              <w:rPr>
                <w:rFonts w:hint="eastAsia" w:ascii="宋体" w:cs="宋体"/>
                <w:sz w:val="24"/>
                <w:szCs w:val="24"/>
                <w:lang w:val="zh-CN" w:bidi="zh-CN"/>
              </w:rPr>
              <w:t>（2）供应商出具的“具有依法缴纳税收和社会保障资金的良好记录”承诺书。（格式自拟）</w:t>
            </w:r>
          </w:p>
          <w:p>
            <w:pPr>
              <w:spacing w:line="360" w:lineRule="auto"/>
              <w:rPr>
                <w:rFonts w:ascii="宋体" w:cs="宋体"/>
                <w:sz w:val="24"/>
                <w:szCs w:val="24"/>
                <w:lang w:val="zh-CN" w:bidi="zh-CN"/>
              </w:rPr>
            </w:pPr>
            <w:r>
              <w:rPr>
                <w:rFonts w:hint="eastAsia" w:ascii="宋体" w:cs="宋体"/>
                <w:sz w:val="24"/>
                <w:szCs w:val="24"/>
                <w:lang w:val="zh-CN" w:bidi="zh-CN"/>
              </w:rPr>
              <w:t>注:a、其他组织和自然人也需要提供上述（1）或（2）的证明材料。</w:t>
            </w:r>
          </w:p>
          <w:p>
            <w:pPr>
              <w:spacing w:line="360" w:lineRule="auto"/>
              <w:ind w:firstLine="240" w:firstLineChars="100"/>
              <w:rPr>
                <w:rFonts w:ascii="宋体" w:cs="宋体"/>
                <w:sz w:val="24"/>
                <w:szCs w:val="24"/>
                <w:lang w:val="zh-CN" w:bidi="zh-CN"/>
              </w:rPr>
            </w:pPr>
            <w:r>
              <w:rPr>
                <w:rFonts w:hint="eastAsia" w:ascii="宋体" w:cs="宋体"/>
                <w:sz w:val="24"/>
                <w:szCs w:val="24"/>
                <w:lang w:val="zh-CN" w:bidi="zh-CN"/>
              </w:rPr>
              <w:t>b、依法免税或不需要缴纳社会保障资金的供应商，提供相应证明材料或说明材料，无需提供上述（1）和（2）的证明材料。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00" w:type="pct"/>
            <w:shd w:val="clear" w:color="auto" w:fill="F6F6F6"/>
          </w:tcPr>
          <w:p>
            <w:pPr>
              <w:pStyle w:val="40"/>
              <w:spacing w:before="48" w:line="355" w:lineRule="auto"/>
              <w:ind w:left="112" w:right="98"/>
              <w:jc w:val="center"/>
              <w:rPr>
                <w:rFonts w:ascii="宋体" w:eastAsia="宋体" w:cs="宋体"/>
                <w:b/>
                <w:bCs/>
                <w:sz w:val="24"/>
                <w:szCs w:val="24"/>
              </w:rPr>
            </w:pPr>
            <w:r>
              <w:rPr>
                <w:rFonts w:hint="eastAsia" w:ascii="宋体" w:eastAsia="宋体" w:cs="宋体"/>
                <w:b/>
                <w:bCs/>
                <w:sz w:val="24"/>
                <w:szCs w:val="24"/>
              </w:rPr>
              <w:t>具有履行合同所必须的设备和专业技术能力</w:t>
            </w:r>
          </w:p>
        </w:tc>
        <w:tc>
          <w:tcPr>
            <w:tcW w:w="3800" w:type="pct"/>
            <w:shd w:val="clear" w:color="auto" w:fill="F6F6F6"/>
          </w:tcPr>
          <w:p>
            <w:pPr>
              <w:pStyle w:val="40"/>
              <w:spacing w:before="48" w:line="360" w:lineRule="auto"/>
              <w:ind w:right="98" w:firstLine="480" w:firstLineChars="200"/>
              <w:rPr>
                <w:rFonts w:ascii="宋体" w:eastAsia="宋体" w:cs="宋体"/>
                <w:sz w:val="24"/>
                <w:szCs w:val="24"/>
              </w:rPr>
            </w:pPr>
            <w:r>
              <w:rPr>
                <w:rFonts w:hint="eastAsia" w:ascii="宋体" w:eastAsia="宋体" w:cs="宋体"/>
                <w:sz w:val="24"/>
                <w:szCs w:val="24"/>
              </w:rPr>
              <w:t>审查供应商出具的“具有履行合同所必须的设备和专业技术能力”声明。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00" w:type="pct"/>
          </w:tcPr>
          <w:p>
            <w:pPr>
              <w:pStyle w:val="40"/>
              <w:spacing w:before="48" w:line="355" w:lineRule="auto"/>
              <w:ind w:left="112" w:right="98"/>
              <w:jc w:val="center"/>
              <w:rPr>
                <w:rFonts w:ascii="宋体" w:eastAsia="宋体" w:cs="宋体"/>
                <w:b/>
                <w:bCs/>
                <w:sz w:val="24"/>
                <w:szCs w:val="24"/>
              </w:rPr>
            </w:pPr>
            <w:r>
              <w:rPr>
                <w:rFonts w:hint="eastAsia" w:ascii="宋体" w:eastAsia="宋体" w:cs="宋体"/>
                <w:b/>
                <w:bCs/>
                <w:sz w:val="24"/>
                <w:szCs w:val="24"/>
              </w:rPr>
              <w:t>参加采购活动前3年内，在经营活动中没有重大违法记录</w:t>
            </w:r>
          </w:p>
        </w:tc>
        <w:tc>
          <w:tcPr>
            <w:tcW w:w="3800" w:type="pct"/>
          </w:tcPr>
          <w:p>
            <w:pPr>
              <w:pStyle w:val="40"/>
              <w:spacing w:before="48" w:line="360" w:lineRule="auto"/>
              <w:ind w:right="98" w:firstLine="480" w:firstLineChars="200"/>
              <w:rPr>
                <w:rFonts w:ascii="宋体" w:eastAsia="宋体" w:cs="宋体"/>
                <w:sz w:val="24"/>
                <w:szCs w:val="24"/>
              </w:rPr>
            </w:pPr>
            <w:r>
              <w:rPr>
                <w:rFonts w:hint="eastAsia" w:ascii="宋体" w:eastAsia="宋体" w:cs="宋体"/>
                <w:sz w:val="24"/>
                <w:szCs w:val="24"/>
              </w:rPr>
              <w:t>审查供应商出具的“参加政府采购前三年内在经营活动中没有重大违法记录”的书面声明函；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1200" w:type="pct"/>
            <w:shd w:val="clear" w:color="auto" w:fill="F6F6F6"/>
          </w:tcPr>
          <w:p>
            <w:pPr>
              <w:pStyle w:val="40"/>
              <w:spacing w:before="48"/>
              <w:ind w:left="64"/>
              <w:jc w:val="center"/>
              <w:rPr>
                <w:rFonts w:ascii="宋体" w:eastAsia="宋体" w:cs="宋体"/>
                <w:b/>
                <w:bCs/>
                <w:w w:val="101"/>
                <w:sz w:val="24"/>
                <w:szCs w:val="24"/>
              </w:rPr>
            </w:pPr>
            <w:r>
              <w:rPr>
                <w:rFonts w:hint="eastAsia" w:ascii="宋体" w:eastAsia="宋体" w:cs="宋体"/>
                <w:b/>
                <w:bCs/>
                <w:w w:val="101"/>
                <w:sz w:val="24"/>
                <w:szCs w:val="24"/>
              </w:rPr>
              <w:t>信用记录</w:t>
            </w:r>
          </w:p>
        </w:tc>
        <w:tc>
          <w:tcPr>
            <w:tcW w:w="3800" w:type="pct"/>
            <w:shd w:val="clear" w:color="auto" w:fill="F6F6F6"/>
          </w:tcPr>
          <w:p>
            <w:pPr>
              <w:pStyle w:val="40"/>
              <w:spacing w:before="48" w:line="360" w:lineRule="auto"/>
              <w:ind w:right="98" w:firstLine="480" w:firstLineChars="200"/>
              <w:rPr>
                <w:rFonts w:ascii="宋体" w:eastAsia="宋体" w:cs="宋体"/>
                <w:sz w:val="24"/>
                <w:szCs w:val="24"/>
              </w:rPr>
            </w:pPr>
            <w:r>
              <w:rPr>
                <w:rFonts w:hint="eastAsia" w:ascii="宋体" w:eastAsia="宋体" w:cs="宋体"/>
                <w:sz w:val="24"/>
                <w:szCs w:val="24"/>
              </w:rPr>
              <w:t>到提交响应文件的截止时间，供应商未被列入失信被执行人、重大税收违法案件当事人名单、政府采购严重违法失信行为记录名单网站截图。</w:t>
            </w:r>
          </w:p>
        </w:tc>
      </w:tr>
    </w:tbl>
    <w:p>
      <w:r>
        <w:rPr>
          <w:rFonts w:hint="eastAsia"/>
        </w:rPr>
        <w:br w:type="page"/>
      </w:r>
    </w:p>
    <w:p>
      <w:pPr>
        <w:pStyle w:val="2"/>
        <w:rPr>
          <w:b w:val="0"/>
          <w:bCs w:val="0"/>
          <w:sz w:val="32"/>
          <w:szCs w:val="32"/>
        </w:rPr>
      </w:pPr>
      <w:r>
        <w:rPr>
          <w:rFonts w:hint="eastAsia"/>
          <w:b w:val="0"/>
          <w:bCs w:val="0"/>
          <w:sz w:val="32"/>
          <w:szCs w:val="32"/>
        </w:rPr>
        <w:t>符合性审查表</w:t>
      </w:r>
    </w:p>
    <w:p>
      <w:pPr>
        <w:pStyle w:val="3"/>
        <w:spacing w:after="120"/>
        <w:rPr>
          <w:rFonts w:ascii="宋体" w:cs="宋体"/>
        </w:rPr>
      </w:pPr>
    </w:p>
    <w:tbl>
      <w:tblPr>
        <w:tblStyle w:val="27"/>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05"/>
        <w:gridCol w:w="7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00" w:type="pct"/>
            <w:shd w:val="clear" w:color="auto" w:fill="F6F6F6"/>
          </w:tcPr>
          <w:p>
            <w:pPr>
              <w:pStyle w:val="40"/>
              <w:spacing w:before="1"/>
              <w:jc w:val="center"/>
              <w:rPr>
                <w:rFonts w:ascii="宋体" w:eastAsia="宋体" w:cs="宋体"/>
                <w:b/>
                <w:bCs/>
                <w:sz w:val="24"/>
                <w:szCs w:val="24"/>
              </w:rPr>
            </w:pPr>
            <w:r>
              <w:rPr>
                <w:rFonts w:hint="eastAsia" w:ascii="宋体" w:eastAsia="宋体" w:cs="宋体"/>
                <w:b/>
                <w:bCs/>
                <w:sz w:val="24"/>
                <w:szCs w:val="24"/>
              </w:rPr>
              <w:t>投标报价</w:t>
            </w:r>
          </w:p>
        </w:tc>
        <w:tc>
          <w:tcPr>
            <w:tcW w:w="3799" w:type="pct"/>
            <w:shd w:val="clear" w:color="auto" w:fill="F6F6F6"/>
          </w:tcPr>
          <w:p>
            <w:pPr>
              <w:pStyle w:val="40"/>
              <w:spacing w:line="360" w:lineRule="auto"/>
              <w:rPr>
                <w:rFonts w:ascii="宋体" w:eastAsia="宋体" w:cs="宋体"/>
                <w:sz w:val="24"/>
                <w:szCs w:val="24"/>
              </w:rPr>
            </w:pPr>
            <w:r>
              <w:rPr>
                <w:rFonts w:hint="eastAsia" w:ascii="宋体" w:eastAsia="宋体" w:cs="宋体"/>
                <w:sz w:val="24"/>
                <w:szCs w:val="24"/>
                <w:lang w:val="en-US"/>
              </w:rPr>
              <w:t>响应</w:t>
            </w:r>
            <w:r>
              <w:rPr>
                <w:rFonts w:hint="eastAsia" w:ascii="宋体" w:eastAsia="宋体" w:cs="宋体"/>
                <w:sz w:val="24"/>
                <w:szCs w:val="24"/>
              </w:rPr>
              <w:t>报价（包括分项报价，</w:t>
            </w:r>
            <w:r>
              <w:rPr>
                <w:rFonts w:hint="eastAsia" w:ascii="宋体" w:eastAsia="宋体" w:cs="宋体"/>
                <w:sz w:val="24"/>
                <w:szCs w:val="24"/>
                <w:lang w:val="en-US"/>
              </w:rPr>
              <w:t>响应</w:t>
            </w:r>
            <w:r>
              <w:rPr>
                <w:rFonts w:hint="eastAsia" w:ascii="宋体" w:eastAsia="宋体" w:cs="宋体"/>
                <w:sz w:val="24"/>
                <w:szCs w:val="24"/>
              </w:rPr>
              <w:t>总报价）只能有一个有效报价且不超过采购预算或最高限价，投标报价不得缺项、漏项。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00" w:type="pct"/>
            <w:vMerge w:val="restart"/>
          </w:tcPr>
          <w:p>
            <w:pPr>
              <w:pStyle w:val="40"/>
              <w:spacing w:before="1"/>
              <w:jc w:val="center"/>
              <w:rPr>
                <w:rFonts w:ascii="宋体" w:eastAsia="宋体" w:cs="宋体"/>
                <w:b/>
                <w:bCs/>
                <w:sz w:val="24"/>
                <w:szCs w:val="24"/>
              </w:rPr>
            </w:pPr>
            <w:r>
              <w:rPr>
                <w:rFonts w:hint="eastAsia" w:ascii="宋体" w:eastAsia="宋体" w:cs="宋体"/>
                <w:b/>
                <w:bCs/>
                <w:sz w:val="24"/>
                <w:szCs w:val="24"/>
              </w:rPr>
              <w:t>投标文件规范性、符合性</w:t>
            </w:r>
          </w:p>
        </w:tc>
        <w:tc>
          <w:tcPr>
            <w:tcW w:w="3799" w:type="pct"/>
          </w:tcPr>
          <w:p>
            <w:pPr>
              <w:pStyle w:val="40"/>
              <w:spacing w:line="360" w:lineRule="auto"/>
              <w:rPr>
                <w:rFonts w:ascii="宋体" w:eastAsia="宋体" w:cs="宋体"/>
                <w:sz w:val="24"/>
                <w:szCs w:val="24"/>
              </w:rPr>
            </w:pPr>
            <w:r>
              <w:rPr>
                <w:rFonts w:hint="eastAsia" w:ascii="宋体" w:eastAsia="宋体" w:cs="宋体"/>
                <w:sz w:val="24"/>
                <w:szCs w:val="24"/>
              </w:rPr>
              <w:t>响应文件的签署、盖章、涂改、删除、插字、公章使用等符合磋商文件要求；响应文件文件的格式、文字、目录等符合磋商文件要求或对投标无实质性影响。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00" w:type="pct"/>
            <w:vMerge w:val="continue"/>
          </w:tcPr>
          <w:p>
            <w:pPr>
              <w:jc w:val="center"/>
              <w:rPr>
                <w:b/>
                <w:bCs/>
                <w:sz w:val="24"/>
                <w:szCs w:val="24"/>
              </w:rPr>
            </w:pPr>
          </w:p>
        </w:tc>
        <w:tc>
          <w:tcPr>
            <w:tcW w:w="3799" w:type="pct"/>
          </w:tcPr>
          <w:p>
            <w:pPr>
              <w:pStyle w:val="40"/>
              <w:spacing w:line="360" w:lineRule="auto"/>
              <w:rPr>
                <w:rFonts w:ascii="宋体" w:eastAsia="宋体" w:cs="宋体"/>
                <w:sz w:val="24"/>
                <w:szCs w:val="24"/>
              </w:rPr>
            </w:pPr>
            <w:r>
              <w:rPr>
                <w:rFonts w:hint="eastAsia" w:ascii="宋体" w:eastAsia="宋体" w:cs="宋体"/>
                <w:sz w:val="24"/>
                <w:szCs w:val="24"/>
              </w:rPr>
              <w:t>响应文件按要求进行装订、密封。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00" w:type="pct"/>
            <w:vMerge w:val="continue"/>
          </w:tcPr>
          <w:p>
            <w:pPr>
              <w:jc w:val="center"/>
              <w:rPr>
                <w:b/>
                <w:bCs/>
                <w:sz w:val="24"/>
                <w:szCs w:val="24"/>
              </w:rPr>
            </w:pPr>
          </w:p>
        </w:tc>
        <w:tc>
          <w:tcPr>
            <w:tcW w:w="3799" w:type="pct"/>
          </w:tcPr>
          <w:p>
            <w:pPr>
              <w:pStyle w:val="40"/>
              <w:spacing w:line="360" w:lineRule="auto"/>
              <w:rPr>
                <w:rFonts w:ascii="宋体" w:eastAsia="宋体" w:cs="宋体"/>
                <w:sz w:val="24"/>
                <w:szCs w:val="24"/>
              </w:rPr>
            </w:pPr>
            <w:r>
              <w:rPr>
                <w:rFonts w:hint="eastAsia" w:ascii="宋体" w:eastAsia="宋体" w:cs="宋体"/>
                <w:sz w:val="24"/>
                <w:szCs w:val="24"/>
              </w:rPr>
              <w:t>法定代表人（负责人）授权书符合要求，响应文件完整性符合磋商文件实质性要求。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200" w:type="pct"/>
            <w:shd w:val="clear" w:color="auto" w:fill="F6F6F6"/>
          </w:tcPr>
          <w:p>
            <w:pPr>
              <w:pStyle w:val="40"/>
              <w:spacing w:before="48"/>
              <w:jc w:val="center"/>
              <w:rPr>
                <w:rFonts w:ascii="宋体" w:eastAsia="宋体" w:cs="宋体"/>
                <w:b/>
                <w:bCs/>
                <w:sz w:val="24"/>
                <w:szCs w:val="24"/>
              </w:rPr>
            </w:pPr>
            <w:r>
              <w:rPr>
                <w:rFonts w:hint="eastAsia" w:ascii="宋体" w:eastAsia="宋体" w:cs="宋体"/>
                <w:b/>
                <w:bCs/>
                <w:sz w:val="24"/>
                <w:szCs w:val="24"/>
              </w:rPr>
              <w:t>商务条款</w:t>
            </w:r>
          </w:p>
        </w:tc>
        <w:tc>
          <w:tcPr>
            <w:tcW w:w="3799" w:type="pct"/>
            <w:shd w:val="clear" w:color="auto" w:fill="F6F6F6"/>
          </w:tcPr>
          <w:p>
            <w:pPr>
              <w:pStyle w:val="40"/>
              <w:spacing w:line="360" w:lineRule="auto"/>
              <w:rPr>
                <w:rFonts w:ascii="宋体" w:eastAsia="宋体" w:cs="宋体"/>
                <w:sz w:val="24"/>
                <w:szCs w:val="24"/>
              </w:rPr>
            </w:pPr>
            <w:r>
              <w:rPr>
                <w:rFonts w:hint="eastAsia" w:ascii="宋体" w:eastAsia="宋体" w:cs="宋体"/>
                <w:sz w:val="24"/>
                <w:szCs w:val="24"/>
              </w:rPr>
              <w:t>审查供应商出具的“满足主要商务条款的承诺书”，且进行签署、盖章。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2" w:hRule="atLeast"/>
        </w:trPr>
        <w:tc>
          <w:tcPr>
            <w:tcW w:w="1200" w:type="pct"/>
            <w:shd w:val="clear" w:color="auto" w:fill="F6F6F6"/>
          </w:tcPr>
          <w:p>
            <w:pPr>
              <w:pStyle w:val="40"/>
              <w:spacing w:before="1"/>
              <w:jc w:val="center"/>
              <w:rPr>
                <w:rFonts w:ascii="宋体" w:eastAsia="宋体" w:cs="宋体"/>
                <w:b/>
                <w:bCs/>
                <w:sz w:val="24"/>
                <w:szCs w:val="24"/>
              </w:rPr>
            </w:pPr>
            <w:r>
              <w:rPr>
                <w:rFonts w:hint="eastAsia" w:ascii="宋体" w:eastAsia="宋体" w:cs="宋体"/>
                <w:b/>
                <w:bCs/>
                <w:sz w:val="24"/>
                <w:szCs w:val="24"/>
              </w:rPr>
              <w:t>技术部分实质性内容</w:t>
            </w:r>
          </w:p>
        </w:tc>
        <w:tc>
          <w:tcPr>
            <w:tcW w:w="3799" w:type="pct"/>
            <w:shd w:val="clear" w:color="auto" w:fill="F6F6F6"/>
          </w:tcPr>
          <w:p>
            <w:pPr>
              <w:pStyle w:val="40"/>
              <w:spacing w:line="360" w:lineRule="auto"/>
              <w:rPr>
                <w:rFonts w:ascii="宋体" w:eastAsia="宋体" w:cs="宋体"/>
                <w:sz w:val="24"/>
                <w:szCs w:val="24"/>
              </w:rPr>
            </w:pPr>
            <w:r>
              <w:rPr>
                <w:rFonts w:hint="eastAsia" w:ascii="宋体" w:eastAsia="宋体" w:cs="宋体"/>
                <w:sz w:val="24"/>
                <w:szCs w:val="24"/>
              </w:rPr>
              <w:t>响应文件应当对磋商文件提出的要求和条件作出明确响应并满足磋商文件全部实质性要求。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200" w:type="pct"/>
            <w:vMerge w:val="restart"/>
          </w:tcPr>
          <w:p>
            <w:pPr>
              <w:pStyle w:val="40"/>
              <w:spacing w:before="48"/>
              <w:ind w:left="64"/>
              <w:jc w:val="center"/>
              <w:rPr>
                <w:rFonts w:ascii="宋体" w:eastAsia="宋体" w:cs="宋体"/>
                <w:b/>
                <w:bCs/>
                <w:sz w:val="24"/>
                <w:szCs w:val="24"/>
              </w:rPr>
            </w:pPr>
            <w:r>
              <w:rPr>
                <w:rFonts w:hint="eastAsia" w:ascii="宋体" w:eastAsia="宋体" w:cs="宋体"/>
                <w:b/>
                <w:bCs/>
                <w:sz w:val="24"/>
                <w:szCs w:val="24"/>
              </w:rPr>
              <w:t>其他要求</w:t>
            </w:r>
          </w:p>
        </w:tc>
        <w:tc>
          <w:tcPr>
            <w:tcW w:w="3799" w:type="pct"/>
          </w:tcPr>
          <w:p>
            <w:pPr>
              <w:pStyle w:val="40"/>
              <w:spacing w:line="360" w:lineRule="auto"/>
              <w:rPr>
                <w:rFonts w:ascii="宋体" w:eastAsia="宋体" w:cs="宋体"/>
                <w:sz w:val="24"/>
                <w:szCs w:val="24"/>
              </w:rPr>
            </w:pPr>
            <w:r>
              <w:rPr>
                <w:rFonts w:hint="eastAsia" w:ascii="宋体" w:eastAsia="宋体" w:cs="宋体"/>
                <w:sz w:val="24"/>
                <w:szCs w:val="24"/>
              </w:rPr>
              <w:t>响应文件</w:t>
            </w:r>
            <w:r>
              <w:rPr>
                <w:rFonts w:hint="eastAsia" w:ascii="宋体" w:eastAsia="宋体" w:cs="宋体"/>
                <w:sz w:val="24"/>
                <w:szCs w:val="24"/>
                <w:lang w:val="en-US"/>
              </w:rPr>
              <w:t>未</w:t>
            </w:r>
            <w:r>
              <w:rPr>
                <w:rFonts w:hint="eastAsia" w:ascii="宋体" w:eastAsia="宋体" w:cs="宋体"/>
                <w:sz w:val="24"/>
                <w:szCs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200" w:type="pct"/>
            <w:vMerge w:val="continue"/>
          </w:tcPr>
          <w:p>
            <w:pPr>
              <w:rPr>
                <w:sz w:val="24"/>
                <w:szCs w:val="24"/>
              </w:rPr>
            </w:pPr>
          </w:p>
        </w:tc>
        <w:tc>
          <w:tcPr>
            <w:tcW w:w="3799" w:type="pct"/>
          </w:tcPr>
          <w:p>
            <w:pPr>
              <w:pStyle w:val="40"/>
              <w:spacing w:line="360" w:lineRule="auto"/>
              <w:rPr>
                <w:rFonts w:ascii="宋体" w:eastAsia="宋体" w:cs="宋体"/>
                <w:sz w:val="24"/>
                <w:szCs w:val="24"/>
              </w:rPr>
            </w:pPr>
            <w:r>
              <w:rPr>
                <w:rFonts w:hint="eastAsia" w:ascii="宋体" w:eastAsia="宋体" w:cs="宋体"/>
                <w:sz w:val="24"/>
                <w:szCs w:val="24"/>
                <w:lang w:val="en-US"/>
              </w:rPr>
              <w:t>未</w:t>
            </w:r>
            <w:r>
              <w:rPr>
                <w:rFonts w:hint="eastAsia" w:ascii="宋体" w:eastAsia="宋体" w:cs="宋体"/>
                <w:sz w:val="24"/>
                <w:szCs w:val="24"/>
              </w:rPr>
              <w:t>发现供应商涂改证明材料或者提供虚假材料。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200" w:type="pct"/>
            <w:vMerge w:val="continue"/>
          </w:tcPr>
          <w:p>
            <w:pPr>
              <w:rPr>
                <w:sz w:val="24"/>
                <w:szCs w:val="24"/>
              </w:rPr>
            </w:pPr>
          </w:p>
        </w:tc>
        <w:tc>
          <w:tcPr>
            <w:tcW w:w="3799" w:type="pct"/>
          </w:tcPr>
          <w:p>
            <w:pPr>
              <w:pStyle w:val="40"/>
              <w:spacing w:line="360" w:lineRule="auto"/>
              <w:rPr>
                <w:rFonts w:ascii="宋体" w:eastAsia="宋体" w:cs="宋体"/>
                <w:sz w:val="24"/>
                <w:szCs w:val="24"/>
              </w:rPr>
            </w:pPr>
            <w:r>
              <w:rPr>
                <w:rFonts w:hint="eastAsia" w:ascii="宋体" w:eastAsia="宋体" w:cs="宋体"/>
                <w:sz w:val="24"/>
                <w:szCs w:val="24"/>
                <w:lang w:val="en-US"/>
              </w:rPr>
              <w:t>未发现磋商</w:t>
            </w:r>
            <w:r>
              <w:rPr>
                <w:rFonts w:hint="eastAsia" w:ascii="宋体" w:eastAsia="宋体" w:cs="宋体"/>
                <w:sz w:val="24"/>
                <w:szCs w:val="24"/>
              </w:rPr>
              <w:t>文件要求的其他无效投标情形；</w:t>
            </w:r>
            <w:r>
              <w:rPr>
                <w:rFonts w:hint="eastAsia" w:ascii="宋体" w:eastAsia="宋体" w:cs="宋体"/>
                <w:sz w:val="24"/>
                <w:szCs w:val="24"/>
                <w:lang w:val="en-US"/>
              </w:rPr>
              <w:t>未发现</w:t>
            </w:r>
            <w:r>
              <w:rPr>
                <w:rFonts w:hint="eastAsia" w:ascii="宋体" w:eastAsia="宋体" w:cs="宋体"/>
                <w:sz w:val="24"/>
                <w:szCs w:val="24"/>
              </w:rPr>
              <w:t>围标、串标和其他法律法规规定的其它无效投标条款。</w:t>
            </w:r>
          </w:p>
        </w:tc>
      </w:tr>
    </w:tbl>
    <w:p>
      <w:pPr>
        <w:rPr>
          <w:rFonts w:ascii="宋体" w:cs="宋体"/>
        </w:rPr>
      </w:pPr>
    </w:p>
    <w:p>
      <w:pPr>
        <w:pStyle w:val="3"/>
        <w:spacing w:after="120"/>
        <w:rPr>
          <w:rFonts w:ascii="宋体" w:cs="宋体"/>
        </w:rPr>
      </w:pPr>
    </w:p>
    <w:p>
      <w:pPr>
        <w:rPr>
          <w:rFonts w:ascii="宋体" w:cs="宋体"/>
        </w:rPr>
      </w:pPr>
    </w:p>
    <w:p>
      <w:pPr>
        <w:pStyle w:val="3"/>
        <w:spacing w:after="120"/>
        <w:rPr>
          <w:rFonts w:ascii="宋体" w:cs="宋体"/>
        </w:rPr>
      </w:pPr>
    </w:p>
    <w:p>
      <w:pPr>
        <w:rPr>
          <w:rFonts w:ascii="宋体" w:cs="宋体"/>
        </w:rPr>
      </w:pPr>
    </w:p>
    <w:p>
      <w:pPr>
        <w:pStyle w:val="3"/>
        <w:spacing w:after="120"/>
        <w:rPr>
          <w:rFonts w:ascii="宋体" w:cs="宋体"/>
        </w:rPr>
      </w:pPr>
    </w:p>
    <w:p>
      <w:pPr>
        <w:rPr>
          <w:rFonts w:ascii="宋体" w:cs="宋体"/>
        </w:rPr>
      </w:pPr>
    </w:p>
    <w:p>
      <w:pPr>
        <w:pStyle w:val="3"/>
        <w:spacing w:after="120"/>
        <w:rPr>
          <w:rFonts w:ascii="宋体" w:cs="宋体"/>
        </w:rPr>
      </w:pPr>
    </w:p>
    <w:p>
      <w:pPr>
        <w:rPr>
          <w:rFonts w:ascii="宋体" w:cs="宋体"/>
        </w:rPr>
      </w:pPr>
      <w:r>
        <w:rPr>
          <w:rFonts w:hint="eastAsia" w:ascii="宋体" w:cs="宋体"/>
        </w:rPr>
        <w:br w:type="page"/>
      </w:r>
    </w:p>
    <w:p>
      <w:pPr>
        <w:pStyle w:val="1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bCs/>
          <w:sz w:val="32"/>
          <w:szCs w:val="32"/>
        </w:rPr>
        <w:t>评分办法</w:t>
      </w:r>
    </w:p>
    <w:tbl>
      <w:tblPr>
        <w:tblStyle w:val="27"/>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9"/>
        <w:gridCol w:w="7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137" w:type="dxa"/>
            <w:gridSpan w:val="2"/>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b/>
                <w:bCs/>
              </w:rPr>
            </w:pPr>
            <w:r>
              <w:rPr>
                <w:rFonts w:hAnsi="宋体"/>
                <w:b/>
                <w:bCs/>
              </w:rPr>
              <w:t>评审因素</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b/>
                <w:bCs/>
              </w:rPr>
            </w:pPr>
            <w:r>
              <w:rPr>
                <w:rFonts w:hAnsi="宋体"/>
                <w:b/>
                <w:bC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2137" w:type="dxa"/>
            <w:gridSpan w:val="2"/>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rPr>
            </w:pPr>
            <w:r>
              <w:rPr>
                <w:rFonts w:hAnsi="宋体"/>
              </w:rPr>
              <w:t>分值构成</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jc w:val="center"/>
              <w:rPr>
                <w:rFonts w:cs="宋体"/>
                <w:szCs w:val="24"/>
              </w:rPr>
            </w:pPr>
            <w:r>
              <w:rPr>
                <w:rFonts w:cs="宋体"/>
                <w:szCs w:val="24"/>
              </w:rPr>
              <w:t>1、技术部分</w:t>
            </w:r>
            <w:r>
              <w:rPr>
                <w:rFonts w:hint="eastAsia" w:cs="宋体"/>
                <w:szCs w:val="24"/>
              </w:rPr>
              <w:t>8</w:t>
            </w:r>
            <w:r>
              <w:rPr>
                <w:rFonts w:cs="宋体"/>
                <w:szCs w:val="24"/>
              </w:rPr>
              <w:t>0.0分</w:t>
            </w:r>
          </w:p>
          <w:p>
            <w:pPr>
              <w:jc w:val="center"/>
              <w:rPr>
                <w:rFonts w:cs="宋体"/>
                <w:szCs w:val="24"/>
              </w:rPr>
            </w:pPr>
            <w:r>
              <w:rPr>
                <w:rFonts w:cs="宋体"/>
                <w:szCs w:val="24"/>
              </w:rPr>
              <w:t>2、商务部分</w:t>
            </w:r>
            <w:r>
              <w:rPr>
                <w:rFonts w:hint="eastAsia" w:cs="宋体"/>
                <w:szCs w:val="24"/>
              </w:rPr>
              <w:t>2</w:t>
            </w:r>
            <w:r>
              <w:rPr>
                <w:rFonts w:cs="宋体"/>
                <w:szCs w:val="24"/>
              </w:rPr>
              <w:t>0.0分</w:t>
            </w:r>
          </w:p>
          <w:p>
            <w:pPr>
              <w:jc w:val="center"/>
              <w:rPr>
                <w:rFonts w:cs="宋体"/>
                <w:szCs w:val="24"/>
              </w:rPr>
            </w:pPr>
            <w:r>
              <w:rPr>
                <w:rFonts w:cs="宋体"/>
                <w:szCs w:val="24"/>
              </w:rPr>
              <w:t>3、报价部分10.0分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8" w:type="dxa"/>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rPr>
            </w:pPr>
          </w:p>
        </w:tc>
        <w:tc>
          <w:tcPr>
            <w:tcW w:w="1309" w:type="dxa"/>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rPr>
            </w:pPr>
            <w:r>
              <w:rPr>
                <w:rFonts w:hAnsi="宋体"/>
              </w:rPr>
              <w:t>实施方案</w:t>
            </w:r>
          </w:p>
          <w:p>
            <w:pPr>
              <w:pStyle w:val="14"/>
              <w:spacing w:beforeAutospacing="0" w:afterAutospacing="0"/>
              <w:jc w:val="center"/>
              <w:rPr>
                <w:rFonts w:hAnsi="宋体"/>
                <w:highlight w:val="green"/>
              </w:rPr>
            </w:pPr>
            <w:r>
              <w:rPr>
                <w:rFonts w:hAnsi="宋体"/>
              </w:rPr>
              <w:t>（20分）</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pStyle w:val="8"/>
              <w:ind w:firstLine="0" w:firstLineChars="0"/>
              <w:rPr>
                <w:szCs w:val="24"/>
              </w:rPr>
            </w:pPr>
            <w:r>
              <w:rPr>
                <w:szCs w:val="24"/>
              </w:rPr>
              <w:t>根据绩效</w:t>
            </w:r>
            <w:r>
              <w:rPr>
                <w:rFonts w:hint="eastAsia"/>
                <w:szCs w:val="24"/>
              </w:rPr>
              <w:t>评价项目</w:t>
            </w:r>
            <w:r>
              <w:rPr>
                <w:szCs w:val="24"/>
              </w:rPr>
              <w:t>实施方案打分：</w:t>
            </w:r>
          </w:p>
          <w:p>
            <w:pPr>
              <w:pStyle w:val="8"/>
              <w:numPr>
                <w:ilvl w:val="0"/>
                <w:numId w:val="2"/>
              </w:numPr>
              <w:ind w:firstLineChars="0"/>
              <w:rPr>
                <w:szCs w:val="24"/>
              </w:rPr>
            </w:pPr>
            <w:r>
              <w:rPr>
                <w:rFonts w:hint="eastAsia"/>
                <w:szCs w:val="24"/>
                <w:lang w:eastAsia="zh-CN"/>
              </w:rPr>
              <w:t>提供第一个项目（</w:t>
            </w:r>
            <w:r>
              <w:rPr>
                <w:rFonts w:hint="eastAsia" w:ascii="宋体" w:hAnsi="宋体" w:eastAsia="宋体" w:cs="宋体"/>
                <w:i w:val="0"/>
                <w:iCs w:val="0"/>
                <w:color w:val="000000"/>
                <w:kern w:val="0"/>
                <w:sz w:val="22"/>
                <w:szCs w:val="22"/>
                <w:u w:val="none"/>
                <w:lang w:val="en-US" w:eastAsia="zh-CN" w:bidi="ar"/>
              </w:rPr>
              <w:t>四级政务服务平台运维服务费等8个运维项目</w:t>
            </w:r>
            <w:r>
              <w:rPr>
                <w:rFonts w:hint="eastAsia"/>
                <w:szCs w:val="24"/>
                <w:lang w:eastAsia="zh-CN"/>
              </w:rPr>
              <w:t>）整体的实施方案，</w:t>
            </w:r>
            <w:r>
              <w:rPr>
                <w:szCs w:val="24"/>
              </w:rPr>
              <w:t>对</w:t>
            </w:r>
            <w:r>
              <w:rPr>
                <w:rFonts w:hint="eastAsia"/>
                <w:szCs w:val="24"/>
                <w:lang w:eastAsia="zh-CN"/>
              </w:rPr>
              <w:t>该</w:t>
            </w:r>
            <w:r>
              <w:rPr>
                <w:szCs w:val="24"/>
              </w:rPr>
              <w:t>项目理解和认知深入透彻、内容全面合理详尽、针对性强、保障措施可行得20分；</w:t>
            </w:r>
          </w:p>
          <w:p>
            <w:pPr>
              <w:pStyle w:val="8"/>
              <w:numPr>
                <w:ilvl w:val="0"/>
                <w:numId w:val="2"/>
              </w:numPr>
              <w:ind w:firstLineChars="0"/>
              <w:rPr>
                <w:szCs w:val="24"/>
              </w:rPr>
            </w:pPr>
            <w:r>
              <w:rPr>
                <w:szCs w:val="24"/>
              </w:rPr>
              <w:t>对</w:t>
            </w:r>
            <w:r>
              <w:rPr>
                <w:rFonts w:hint="eastAsia"/>
                <w:szCs w:val="24"/>
                <w:lang w:eastAsia="zh-CN"/>
              </w:rPr>
              <w:t>该</w:t>
            </w:r>
            <w:r>
              <w:rPr>
                <w:szCs w:val="24"/>
              </w:rPr>
              <w:t>项目理解和认知较为深入透彻、内容全面较为合理详尽、针对性较强、保障措施较为可行得15分；</w:t>
            </w:r>
          </w:p>
          <w:p>
            <w:pPr>
              <w:pStyle w:val="8"/>
              <w:numPr>
                <w:ilvl w:val="0"/>
                <w:numId w:val="2"/>
              </w:numPr>
              <w:ind w:firstLineChars="0"/>
              <w:rPr>
                <w:szCs w:val="24"/>
              </w:rPr>
            </w:pPr>
            <w:r>
              <w:rPr>
                <w:szCs w:val="24"/>
              </w:rPr>
              <w:t>对</w:t>
            </w:r>
            <w:r>
              <w:rPr>
                <w:rFonts w:hint="eastAsia"/>
                <w:szCs w:val="24"/>
                <w:lang w:eastAsia="zh-CN"/>
              </w:rPr>
              <w:t>该</w:t>
            </w:r>
            <w:r>
              <w:rPr>
                <w:szCs w:val="24"/>
              </w:rPr>
              <w:t>项目理解和认知一般、内容一般，针对性一般，保障措施一般得10分；</w:t>
            </w:r>
          </w:p>
          <w:p>
            <w:pPr>
              <w:pStyle w:val="8"/>
              <w:numPr>
                <w:ilvl w:val="0"/>
                <w:numId w:val="2"/>
              </w:numPr>
              <w:ind w:firstLineChars="0"/>
              <w:rPr>
                <w:szCs w:val="24"/>
              </w:rPr>
            </w:pPr>
            <w:r>
              <w:rPr>
                <w:szCs w:val="24"/>
              </w:rPr>
              <w:t>对</w:t>
            </w:r>
            <w:r>
              <w:rPr>
                <w:rFonts w:hint="eastAsia"/>
                <w:szCs w:val="24"/>
                <w:lang w:eastAsia="zh-CN"/>
              </w:rPr>
              <w:t>该</w:t>
            </w:r>
            <w:r>
              <w:rPr>
                <w:szCs w:val="24"/>
              </w:rPr>
              <w:t>项目理解和认知较差、内容较差，针对性较差，保障措施较差得 5分；</w:t>
            </w:r>
          </w:p>
          <w:p>
            <w:pPr>
              <w:pStyle w:val="8"/>
              <w:numPr>
                <w:ilvl w:val="0"/>
                <w:numId w:val="2"/>
              </w:numPr>
              <w:ind w:firstLineChars="0"/>
              <w:rPr>
                <w:szCs w:val="24"/>
              </w:rPr>
            </w:pPr>
            <w:r>
              <w:rPr>
                <w:szCs w:val="24"/>
              </w:rPr>
              <w:t>对</w:t>
            </w:r>
            <w:r>
              <w:rPr>
                <w:rFonts w:hint="eastAsia"/>
                <w:szCs w:val="24"/>
                <w:lang w:eastAsia="zh-CN"/>
              </w:rPr>
              <w:t>该</w:t>
            </w:r>
            <w:r>
              <w:rPr>
                <w:szCs w:val="24"/>
              </w:rPr>
              <w:t>项目理解和认知差、内容差，针对性差，保障措施差或未提供方案得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28" w:type="dxa"/>
            <w:vMerge w:val="restart"/>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rPr>
            </w:pPr>
            <w:r>
              <w:rPr>
                <w:rFonts w:hAnsi="宋体"/>
              </w:rPr>
              <w:t>技术</w:t>
            </w:r>
          </w:p>
          <w:p>
            <w:pPr>
              <w:pStyle w:val="14"/>
              <w:spacing w:beforeAutospacing="0" w:afterAutospacing="0"/>
              <w:jc w:val="center"/>
              <w:rPr>
                <w:rFonts w:hAnsi="宋体"/>
              </w:rPr>
            </w:pPr>
            <w:r>
              <w:rPr>
                <w:rFonts w:hAnsi="宋体"/>
              </w:rPr>
              <w:t>部分</w:t>
            </w:r>
          </w:p>
        </w:tc>
        <w:tc>
          <w:tcPr>
            <w:tcW w:w="1309"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jc w:val="center"/>
              <w:rPr>
                <w:rFonts w:cs="宋体"/>
                <w:szCs w:val="24"/>
              </w:rPr>
            </w:pPr>
            <w:r>
              <w:rPr>
                <w:rFonts w:cs="宋体"/>
                <w:szCs w:val="24"/>
              </w:rPr>
              <w:t>质量保障措施</w:t>
            </w:r>
          </w:p>
          <w:p>
            <w:pPr>
              <w:widowControl/>
              <w:jc w:val="center"/>
              <w:rPr>
                <w:rFonts w:cs="宋体"/>
                <w:szCs w:val="24"/>
              </w:rPr>
            </w:pPr>
            <w:r>
              <w:rPr>
                <w:rFonts w:cs="宋体"/>
                <w:szCs w:val="24"/>
              </w:rPr>
              <w:t>（20分）</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pStyle w:val="8"/>
              <w:ind w:firstLine="0" w:firstLineChars="0"/>
              <w:rPr>
                <w:szCs w:val="24"/>
              </w:rPr>
            </w:pPr>
            <w:r>
              <w:rPr>
                <w:szCs w:val="24"/>
              </w:rPr>
              <w:t>为确保绩效评价工作按时高质量完成，需提供1-2份同类绩效评价报告（涉密除外）。根据提供报告的质量进行打分：</w:t>
            </w:r>
          </w:p>
          <w:p>
            <w:pPr>
              <w:pStyle w:val="8"/>
              <w:numPr>
                <w:ilvl w:val="0"/>
                <w:numId w:val="3"/>
              </w:numPr>
              <w:ind w:firstLineChars="0"/>
              <w:rPr>
                <w:szCs w:val="24"/>
              </w:rPr>
            </w:pPr>
            <w:r>
              <w:rPr>
                <w:szCs w:val="24"/>
              </w:rPr>
              <w:t>提供两份报告，且每份报告质量优秀、内容详尽、结论合理，均有与下一年度预算安排挂钩的建议数得20分</w:t>
            </w:r>
          </w:p>
          <w:p>
            <w:pPr>
              <w:pStyle w:val="8"/>
              <w:numPr>
                <w:ilvl w:val="0"/>
                <w:numId w:val="3"/>
              </w:numPr>
              <w:ind w:firstLineChars="0"/>
              <w:rPr>
                <w:szCs w:val="24"/>
              </w:rPr>
            </w:pPr>
            <w:r>
              <w:rPr>
                <w:szCs w:val="24"/>
              </w:rPr>
              <w:t>提供两份报告，其中一份报告质量优秀、内容详尽、结论合理，有与下一年度预算安排挂钩的建议数，另一份质量一般得15分</w:t>
            </w:r>
          </w:p>
          <w:p>
            <w:pPr>
              <w:pStyle w:val="8"/>
              <w:numPr>
                <w:ilvl w:val="0"/>
                <w:numId w:val="3"/>
              </w:numPr>
              <w:ind w:firstLineChars="0"/>
              <w:rPr>
                <w:szCs w:val="24"/>
              </w:rPr>
            </w:pPr>
            <w:r>
              <w:rPr>
                <w:szCs w:val="24"/>
              </w:rPr>
              <w:t>提供两份报告，且两份报告质量一般，内容一般，或者提供一份报告质量优秀、内容详尽、结论合理、有与下一年度预算安排挂钩的建议数10分</w:t>
            </w:r>
          </w:p>
          <w:p>
            <w:pPr>
              <w:pStyle w:val="8"/>
              <w:numPr>
                <w:ilvl w:val="0"/>
                <w:numId w:val="3"/>
              </w:numPr>
              <w:ind w:firstLineChars="0"/>
              <w:rPr>
                <w:szCs w:val="24"/>
              </w:rPr>
            </w:pPr>
            <w:r>
              <w:rPr>
                <w:szCs w:val="24"/>
              </w:rPr>
              <w:t>提供一份报告，质量一般、结论一般得5分</w:t>
            </w:r>
          </w:p>
          <w:p>
            <w:pPr>
              <w:pStyle w:val="8"/>
              <w:numPr>
                <w:ilvl w:val="0"/>
                <w:numId w:val="3"/>
              </w:numPr>
              <w:ind w:firstLineChars="0"/>
              <w:rPr>
                <w:szCs w:val="24"/>
              </w:rPr>
            </w:pPr>
            <w:r>
              <w:rPr>
                <w:szCs w:val="24"/>
              </w:rPr>
              <w:t>未提供报告得0分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3" w:hRule="atLeast"/>
          <w:jc w:val="center"/>
        </w:trPr>
        <w:tc>
          <w:tcPr>
            <w:tcW w:w="828"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rPr>
            </w:pPr>
          </w:p>
        </w:tc>
        <w:tc>
          <w:tcPr>
            <w:tcW w:w="1309"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jc w:val="center"/>
              <w:rPr>
                <w:rFonts w:cs="宋体"/>
                <w:szCs w:val="24"/>
              </w:rPr>
            </w:pPr>
            <w:r>
              <w:rPr>
                <w:rFonts w:cs="宋体"/>
                <w:szCs w:val="24"/>
              </w:rPr>
              <w:t>所投项目重点、难点分析（</w:t>
            </w:r>
            <w:r>
              <w:rPr>
                <w:rFonts w:hint="eastAsia" w:cs="宋体"/>
                <w:szCs w:val="24"/>
              </w:rPr>
              <w:t>2</w:t>
            </w:r>
            <w:r>
              <w:rPr>
                <w:rFonts w:cs="宋体"/>
                <w:szCs w:val="24"/>
              </w:rPr>
              <w:t>0分）</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rPr>
                <w:rFonts w:cs="宋体"/>
                <w:szCs w:val="24"/>
              </w:rPr>
            </w:pPr>
            <w:r>
              <w:rPr>
                <w:rFonts w:cs="宋体"/>
                <w:szCs w:val="24"/>
              </w:rPr>
              <w:t>根据拟参与绩效项目</w:t>
            </w:r>
            <w:r>
              <w:rPr>
                <w:rFonts w:hint="eastAsia"/>
                <w:szCs w:val="24"/>
                <w:lang w:eastAsia="zh-CN"/>
              </w:rPr>
              <w:t>（</w:t>
            </w:r>
            <w:r>
              <w:rPr>
                <w:rFonts w:hint="eastAsia" w:ascii="宋体" w:hAnsi="宋体" w:eastAsia="宋体" w:cs="宋体"/>
                <w:i w:val="0"/>
                <w:iCs w:val="0"/>
                <w:color w:val="000000"/>
                <w:kern w:val="0"/>
                <w:sz w:val="22"/>
                <w:szCs w:val="22"/>
                <w:u w:val="none"/>
                <w:lang w:val="en-US" w:eastAsia="zh-CN" w:bidi="ar"/>
              </w:rPr>
              <w:t>四级政务服务平台运维服务费等8个运维项目</w:t>
            </w:r>
            <w:r>
              <w:rPr>
                <w:rFonts w:hint="eastAsia"/>
                <w:szCs w:val="24"/>
                <w:lang w:eastAsia="zh-CN"/>
              </w:rPr>
              <w:t>）</w:t>
            </w:r>
            <w:r>
              <w:rPr>
                <w:rFonts w:cs="宋体"/>
                <w:szCs w:val="24"/>
              </w:rPr>
              <w:t>的重点、难点分析，根据分析质量进行打分：</w:t>
            </w:r>
          </w:p>
          <w:p>
            <w:pPr>
              <w:pStyle w:val="69"/>
              <w:widowControl/>
              <w:numPr>
                <w:ilvl w:val="0"/>
                <w:numId w:val="4"/>
              </w:numPr>
              <w:ind w:firstLineChars="0"/>
              <w:rPr>
                <w:rFonts w:cs="宋体"/>
                <w:szCs w:val="24"/>
              </w:rPr>
            </w:pPr>
            <w:r>
              <w:rPr>
                <w:rFonts w:cs="宋体"/>
                <w:szCs w:val="24"/>
              </w:rPr>
              <w:t>提出的重点、难点分析准确，且提出合理化建议详细、具体，满足项目需求得</w:t>
            </w:r>
            <w:r>
              <w:rPr>
                <w:rFonts w:hint="eastAsia" w:cs="宋体"/>
                <w:szCs w:val="24"/>
              </w:rPr>
              <w:t>2</w:t>
            </w:r>
            <w:r>
              <w:rPr>
                <w:rFonts w:cs="宋体"/>
                <w:szCs w:val="24"/>
              </w:rPr>
              <w:t>0分；</w:t>
            </w:r>
          </w:p>
          <w:p>
            <w:pPr>
              <w:pStyle w:val="69"/>
              <w:widowControl/>
              <w:numPr>
                <w:ilvl w:val="0"/>
                <w:numId w:val="4"/>
              </w:numPr>
              <w:ind w:firstLineChars="0"/>
              <w:rPr>
                <w:rFonts w:cs="宋体"/>
                <w:szCs w:val="24"/>
              </w:rPr>
            </w:pPr>
            <w:r>
              <w:rPr>
                <w:rFonts w:cs="宋体"/>
                <w:szCs w:val="24"/>
              </w:rPr>
              <w:t>提出的重点、难点较为准确，提出的建议较为详细、具体，基本满足项目需求得</w:t>
            </w:r>
            <w:r>
              <w:rPr>
                <w:rFonts w:hint="eastAsia" w:cs="宋体"/>
                <w:szCs w:val="24"/>
              </w:rPr>
              <w:t>15</w:t>
            </w:r>
            <w:r>
              <w:rPr>
                <w:rFonts w:cs="宋体"/>
                <w:szCs w:val="24"/>
              </w:rPr>
              <w:t>分；</w:t>
            </w:r>
          </w:p>
          <w:p>
            <w:pPr>
              <w:pStyle w:val="69"/>
              <w:widowControl/>
              <w:numPr>
                <w:ilvl w:val="0"/>
                <w:numId w:val="4"/>
              </w:numPr>
              <w:ind w:firstLineChars="0"/>
              <w:rPr>
                <w:rFonts w:cs="宋体"/>
                <w:szCs w:val="24"/>
              </w:rPr>
            </w:pPr>
            <w:r>
              <w:rPr>
                <w:rFonts w:cs="宋体"/>
                <w:szCs w:val="24"/>
              </w:rPr>
              <w:t>提出的重点、难点不准确，提出的建议不详细、不具体，难以满足项目需求得</w:t>
            </w:r>
            <w:r>
              <w:rPr>
                <w:rFonts w:hint="eastAsia" w:cs="宋体"/>
                <w:szCs w:val="24"/>
              </w:rPr>
              <w:t>10</w:t>
            </w:r>
            <w:r>
              <w:rPr>
                <w:rFonts w:cs="宋体"/>
                <w:szCs w:val="24"/>
              </w:rPr>
              <w:t>分；</w:t>
            </w:r>
          </w:p>
          <w:p>
            <w:pPr>
              <w:pStyle w:val="69"/>
              <w:widowControl/>
              <w:numPr>
                <w:ilvl w:val="0"/>
                <w:numId w:val="4"/>
              </w:numPr>
              <w:ind w:firstLineChars="0"/>
              <w:rPr>
                <w:rFonts w:cs="宋体"/>
                <w:szCs w:val="24"/>
              </w:rPr>
            </w:pPr>
            <w:r>
              <w:rPr>
                <w:rFonts w:cs="宋体"/>
                <w:szCs w:val="24"/>
              </w:rPr>
              <w:t>未提供重点、难点分析得0分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3" w:hRule="atLeast"/>
          <w:jc w:val="center"/>
        </w:trPr>
        <w:tc>
          <w:tcPr>
            <w:tcW w:w="828" w:type="dxa"/>
            <w:vMerge w:val="continue"/>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rPr>
            </w:pPr>
          </w:p>
        </w:tc>
        <w:tc>
          <w:tcPr>
            <w:tcW w:w="1309"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jc w:val="center"/>
              <w:rPr>
                <w:rFonts w:cs="宋体"/>
                <w:szCs w:val="24"/>
              </w:rPr>
            </w:pPr>
            <w:r>
              <w:rPr>
                <w:rFonts w:cs="宋体"/>
                <w:szCs w:val="24"/>
              </w:rPr>
              <w:t>进度安排及及保密措施（</w:t>
            </w:r>
            <w:r>
              <w:rPr>
                <w:rFonts w:hint="eastAsia" w:cs="宋体"/>
                <w:szCs w:val="24"/>
              </w:rPr>
              <w:t>2</w:t>
            </w:r>
            <w:r>
              <w:rPr>
                <w:rFonts w:cs="宋体"/>
                <w:szCs w:val="24"/>
              </w:rPr>
              <w:t>0分）</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rPr>
                <w:rFonts w:cs="宋体"/>
                <w:szCs w:val="24"/>
              </w:rPr>
            </w:pPr>
            <w:r>
              <w:rPr>
                <w:rFonts w:cs="宋体"/>
                <w:szCs w:val="24"/>
              </w:rPr>
              <w:t>根据内控管理制度、保密措施、廉洁风险防控进行打分：</w:t>
            </w:r>
          </w:p>
          <w:p>
            <w:pPr>
              <w:pStyle w:val="69"/>
              <w:widowControl/>
              <w:numPr>
                <w:ilvl w:val="0"/>
                <w:numId w:val="2"/>
              </w:numPr>
              <w:ind w:firstLineChars="0"/>
              <w:rPr>
                <w:rFonts w:cs="宋体"/>
                <w:szCs w:val="24"/>
              </w:rPr>
            </w:pPr>
            <w:r>
              <w:rPr>
                <w:rFonts w:cs="宋体"/>
                <w:szCs w:val="24"/>
              </w:rPr>
              <w:t>内控制度健全合理、保密措施条款详细、廉洁风险防控措施到位得</w:t>
            </w:r>
            <w:r>
              <w:rPr>
                <w:rFonts w:hint="eastAsia" w:cs="宋体"/>
                <w:szCs w:val="24"/>
              </w:rPr>
              <w:t>2</w:t>
            </w:r>
            <w:r>
              <w:rPr>
                <w:rFonts w:cs="宋体"/>
                <w:szCs w:val="24"/>
              </w:rPr>
              <w:t>0分；</w:t>
            </w:r>
          </w:p>
          <w:p>
            <w:pPr>
              <w:pStyle w:val="69"/>
              <w:widowControl/>
              <w:numPr>
                <w:ilvl w:val="0"/>
                <w:numId w:val="2"/>
              </w:numPr>
              <w:ind w:firstLineChars="0"/>
              <w:rPr>
                <w:rFonts w:cs="宋体"/>
                <w:szCs w:val="24"/>
              </w:rPr>
            </w:pPr>
            <w:r>
              <w:rPr>
                <w:rFonts w:cs="宋体"/>
                <w:szCs w:val="24"/>
              </w:rPr>
              <w:t>内控制度较为健全合理、保密措施条款较为详细、廉洁风险防控措施较为到位得</w:t>
            </w:r>
            <w:r>
              <w:rPr>
                <w:rFonts w:hint="eastAsia" w:cs="宋体"/>
                <w:szCs w:val="24"/>
              </w:rPr>
              <w:t>15</w:t>
            </w:r>
            <w:r>
              <w:rPr>
                <w:rFonts w:cs="宋体"/>
                <w:szCs w:val="24"/>
              </w:rPr>
              <w:t>分；</w:t>
            </w:r>
          </w:p>
          <w:p>
            <w:pPr>
              <w:pStyle w:val="69"/>
              <w:widowControl/>
              <w:numPr>
                <w:ilvl w:val="0"/>
                <w:numId w:val="2"/>
              </w:numPr>
              <w:ind w:firstLineChars="0"/>
              <w:rPr>
                <w:rFonts w:cs="宋体"/>
                <w:szCs w:val="24"/>
              </w:rPr>
            </w:pPr>
            <w:r>
              <w:rPr>
                <w:rFonts w:cs="宋体"/>
                <w:szCs w:val="24"/>
              </w:rPr>
              <w:t>内控制度一般、保密措施条款一般、廉洁风险防控措施一般得</w:t>
            </w:r>
            <w:r>
              <w:rPr>
                <w:rFonts w:hint="eastAsia" w:cs="宋体"/>
                <w:szCs w:val="24"/>
              </w:rPr>
              <w:t>10</w:t>
            </w:r>
            <w:r>
              <w:rPr>
                <w:rFonts w:cs="宋体"/>
                <w:szCs w:val="24"/>
              </w:rPr>
              <w:t>分；</w:t>
            </w:r>
          </w:p>
          <w:p>
            <w:pPr>
              <w:pStyle w:val="69"/>
              <w:widowControl/>
              <w:numPr>
                <w:ilvl w:val="0"/>
                <w:numId w:val="2"/>
              </w:numPr>
              <w:ind w:firstLineChars="0"/>
              <w:rPr>
                <w:rFonts w:cs="宋体"/>
                <w:szCs w:val="24"/>
              </w:rPr>
            </w:pPr>
            <w:r>
              <w:rPr>
                <w:rFonts w:cs="宋体"/>
                <w:szCs w:val="24"/>
              </w:rPr>
              <w:t>未提供相关内容得0分。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28" w:type="dxa"/>
            <w:tcBorders>
              <w:top w:val="single" w:color="auto" w:sz="4" w:space="0"/>
              <w:left w:val="single" w:color="auto" w:sz="4" w:space="0"/>
              <w:right w:val="single" w:color="auto" w:sz="4" w:space="0"/>
              <w:tl2br w:val="nil"/>
              <w:tr2bl w:val="nil"/>
            </w:tcBorders>
            <w:noWrap/>
            <w:vAlign w:val="center"/>
          </w:tcPr>
          <w:p>
            <w:pPr>
              <w:pStyle w:val="14"/>
              <w:spacing w:beforeAutospacing="0" w:afterAutospacing="0"/>
              <w:jc w:val="center"/>
              <w:rPr>
                <w:rFonts w:hAnsi="宋体"/>
              </w:rPr>
            </w:pPr>
            <w:r>
              <w:rPr>
                <w:rFonts w:hAnsi="宋体"/>
              </w:rPr>
              <w:t>商务</w:t>
            </w:r>
          </w:p>
          <w:p>
            <w:pPr>
              <w:pStyle w:val="14"/>
              <w:spacing w:beforeAutospacing="0" w:afterAutospacing="0"/>
              <w:jc w:val="center"/>
              <w:rPr>
                <w:rFonts w:hAnsi="宋体"/>
              </w:rPr>
            </w:pPr>
            <w:r>
              <w:rPr>
                <w:rFonts w:hAnsi="宋体"/>
              </w:rPr>
              <w:t>部分</w:t>
            </w:r>
          </w:p>
        </w:tc>
        <w:tc>
          <w:tcPr>
            <w:tcW w:w="1309"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jc w:val="center"/>
              <w:rPr>
                <w:rFonts w:cs="宋体"/>
                <w:szCs w:val="24"/>
              </w:rPr>
            </w:pPr>
            <w:r>
              <w:rPr>
                <w:rFonts w:cs="宋体"/>
                <w:szCs w:val="24"/>
              </w:rPr>
              <w:t>业绩情况</w:t>
            </w:r>
          </w:p>
          <w:p>
            <w:pPr>
              <w:widowControl/>
              <w:jc w:val="center"/>
              <w:rPr>
                <w:rFonts w:cs="宋体"/>
                <w:szCs w:val="24"/>
              </w:rPr>
            </w:pPr>
            <w:r>
              <w:rPr>
                <w:rFonts w:cs="宋体"/>
                <w:szCs w:val="24"/>
              </w:rPr>
              <w:t>（</w:t>
            </w:r>
            <w:r>
              <w:rPr>
                <w:rFonts w:hint="eastAsia" w:cs="宋体"/>
                <w:szCs w:val="24"/>
              </w:rPr>
              <w:t>1</w:t>
            </w:r>
            <w:r>
              <w:rPr>
                <w:rFonts w:cs="宋体"/>
                <w:szCs w:val="24"/>
              </w:rPr>
              <w:t>0分）</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rPr>
                <w:rFonts w:cs="宋体"/>
                <w:szCs w:val="24"/>
              </w:rPr>
            </w:pPr>
            <w:r>
              <w:rPr>
                <w:rFonts w:cs="宋体"/>
                <w:szCs w:val="24"/>
              </w:rPr>
              <w:t>供应商自202</w:t>
            </w:r>
            <w:r>
              <w:rPr>
                <w:rFonts w:hint="eastAsia" w:cs="宋体"/>
                <w:szCs w:val="24"/>
                <w:lang w:val="en-US" w:eastAsia="zh-CN"/>
              </w:rPr>
              <w:t>4</w:t>
            </w:r>
            <w:r>
              <w:rPr>
                <w:rFonts w:cs="宋体"/>
                <w:szCs w:val="24"/>
              </w:rPr>
              <w:t>年</w:t>
            </w:r>
            <w:r>
              <w:rPr>
                <w:rFonts w:hint="eastAsia" w:cs="宋体"/>
                <w:szCs w:val="24"/>
              </w:rPr>
              <w:t>1</w:t>
            </w:r>
            <w:r>
              <w:rPr>
                <w:rFonts w:cs="宋体"/>
                <w:szCs w:val="24"/>
              </w:rPr>
              <w:t>月</w:t>
            </w:r>
            <w:r>
              <w:rPr>
                <w:rFonts w:hint="eastAsia" w:cs="宋体"/>
                <w:szCs w:val="24"/>
              </w:rPr>
              <w:t>1</w:t>
            </w:r>
            <w:r>
              <w:rPr>
                <w:rFonts w:cs="宋体"/>
                <w:szCs w:val="24"/>
              </w:rPr>
              <w:t>日以来承担的同类业绩。</w:t>
            </w:r>
          </w:p>
          <w:p>
            <w:pPr>
              <w:widowControl/>
              <w:rPr>
                <w:rFonts w:hint="default" w:eastAsia="宋体" w:cs="宋体"/>
                <w:szCs w:val="24"/>
                <w:lang w:val="en-US" w:eastAsia="zh-CN"/>
              </w:rPr>
            </w:pPr>
            <w:r>
              <w:rPr>
                <w:rFonts w:hint="eastAsia" w:cs="宋体"/>
                <w:szCs w:val="24"/>
              </w:rPr>
              <w:t>①提供</w:t>
            </w:r>
            <w:r>
              <w:rPr>
                <w:rFonts w:hint="eastAsia" w:cs="宋体"/>
                <w:szCs w:val="24"/>
                <w:lang w:eastAsia="zh-CN"/>
              </w:rPr>
              <w:t>一份</w:t>
            </w:r>
            <w:r>
              <w:rPr>
                <w:rFonts w:hint="eastAsia" w:cs="宋体"/>
                <w:szCs w:val="24"/>
              </w:rPr>
              <w:t>有效</w:t>
            </w:r>
            <w:r>
              <w:rPr>
                <w:rFonts w:hint="eastAsia" w:cs="宋体"/>
                <w:szCs w:val="24"/>
                <w:lang w:eastAsia="zh-CN"/>
              </w:rPr>
              <w:t>的相关</w:t>
            </w:r>
            <w:r>
              <w:rPr>
                <w:rFonts w:hint="eastAsia" w:cs="宋体"/>
                <w:szCs w:val="24"/>
              </w:rPr>
              <w:t>业绩得</w:t>
            </w:r>
            <w:r>
              <w:rPr>
                <w:rFonts w:hint="eastAsia" w:cs="宋体"/>
                <w:szCs w:val="24"/>
                <w:lang w:val="en-US" w:eastAsia="zh-CN"/>
              </w:rPr>
              <w:t>5</w:t>
            </w:r>
            <w:r>
              <w:rPr>
                <w:rFonts w:hint="eastAsia" w:cs="宋体"/>
                <w:szCs w:val="24"/>
              </w:rPr>
              <w:t>分</w:t>
            </w:r>
            <w:r>
              <w:rPr>
                <w:rFonts w:hint="eastAsia" w:cs="宋体"/>
                <w:szCs w:val="24"/>
                <w:lang w:eastAsia="zh-CN"/>
              </w:rPr>
              <w:t>，最高</w:t>
            </w:r>
            <w:r>
              <w:rPr>
                <w:rFonts w:hint="eastAsia" w:cs="宋体"/>
                <w:szCs w:val="24"/>
                <w:lang w:val="en-US" w:eastAsia="zh-CN"/>
              </w:rPr>
              <w:t>10分；</w:t>
            </w:r>
          </w:p>
          <w:p>
            <w:pPr>
              <w:pStyle w:val="18"/>
              <w:rPr>
                <w:rFonts w:hint="eastAsia"/>
                <w:sz w:val="21"/>
                <w:szCs w:val="21"/>
              </w:rPr>
            </w:pPr>
            <w:r>
              <w:rPr>
                <w:rFonts w:hint="eastAsia"/>
                <w:sz w:val="21"/>
                <w:szCs w:val="21"/>
              </w:rPr>
              <w:t>②未提供有效业绩得0分；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828" w:type="dxa"/>
            <w:tcBorders>
              <w:top w:val="single" w:color="auto" w:sz="4" w:space="0"/>
              <w:left w:val="single" w:color="auto" w:sz="4" w:space="0"/>
              <w:bottom w:val="single" w:color="auto" w:sz="4" w:space="0"/>
              <w:right w:val="single" w:color="auto" w:sz="4" w:space="0"/>
              <w:tl2br w:val="nil"/>
              <w:tr2bl w:val="nil"/>
            </w:tcBorders>
            <w:noWrap/>
            <w:vAlign w:val="center"/>
          </w:tcPr>
          <w:p>
            <w:pPr>
              <w:pStyle w:val="14"/>
              <w:spacing w:beforeAutospacing="0" w:afterAutospacing="0"/>
              <w:jc w:val="center"/>
              <w:rPr>
                <w:rFonts w:hAnsi="宋体"/>
              </w:rPr>
            </w:pPr>
            <w:r>
              <w:rPr>
                <w:rFonts w:hAnsi="宋体"/>
              </w:rPr>
              <w:t>报价</w:t>
            </w:r>
          </w:p>
          <w:p>
            <w:pPr>
              <w:pStyle w:val="14"/>
              <w:spacing w:beforeAutospacing="0" w:afterAutospacing="0"/>
              <w:jc w:val="center"/>
              <w:rPr>
                <w:rFonts w:hAnsi="宋体"/>
              </w:rPr>
            </w:pPr>
            <w:r>
              <w:rPr>
                <w:rFonts w:hAnsi="宋体"/>
              </w:rPr>
              <w:t>部分</w:t>
            </w:r>
          </w:p>
        </w:tc>
        <w:tc>
          <w:tcPr>
            <w:tcW w:w="1309" w:type="dxa"/>
            <w:tcBorders>
              <w:top w:val="single" w:color="auto" w:sz="4" w:space="0"/>
              <w:left w:val="single" w:color="auto" w:sz="4" w:space="0"/>
              <w:bottom w:val="single" w:color="auto" w:sz="4" w:space="0"/>
              <w:right w:val="single" w:color="auto" w:sz="4" w:space="0"/>
              <w:tl2br w:val="nil"/>
              <w:tr2bl w:val="nil"/>
            </w:tcBorders>
            <w:noWrap/>
            <w:vAlign w:val="center"/>
          </w:tcPr>
          <w:p>
            <w:pPr>
              <w:widowControl/>
              <w:jc w:val="center"/>
              <w:rPr>
                <w:rFonts w:cs="宋体"/>
                <w:szCs w:val="24"/>
              </w:rPr>
            </w:pPr>
            <w:r>
              <w:rPr>
                <w:rFonts w:cs="宋体"/>
                <w:szCs w:val="24"/>
              </w:rPr>
              <w:t>磋商报价</w:t>
            </w:r>
          </w:p>
          <w:p>
            <w:pPr>
              <w:widowControl/>
              <w:jc w:val="center"/>
              <w:rPr>
                <w:rFonts w:cs="宋体"/>
                <w:szCs w:val="24"/>
              </w:rPr>
            </w:pPr>
            <w:r>
              <w:rPr>
                <w:rFonts w:cs="宋体"/>
                <w:szCs w:val="24"/>
              </w:rPr>
              <w:t>(10分)</w:t>
            </w:r>
          </w:p>
        </w:tc>
        <w:tc>
          <w:tcPr>
            <w:tcW w:w="7557" w:type="dxa"/>
            <w:tcBorders>
              <w:top w:val="single" w:color="auto" w:sz="4" w:space="0"/>
              <w:left w:val="single" w:color="auto" w:sz="4" w:space="0"/>
              <w:bottom w:val="single" w:color="auto" w:sz="4" w:space="0"/>
              <w:right w:val="single" w:color="auto" w:sz="4" w:space="0"/>
              <w:tl2br w:val="nil"/>
              <w:tr2bl w:val="nil"/>
            </w:tcBorders>
            <w:noWrap/>
            <w:vAlign w:val="center"/>
          </w:tcPr>
          <w:p>
            <w:pPr>
              <w:pStyle w:val="8"/>
              <w:ind w:firstLine="0" w:firstLineChars="0"/>
              <w:rPr>
                <w:szCs w:val="24"/>
              </w:rPr>
            </w:pPr>
            <w:r>
              <w:rPr>
                <w:szCs w:val="24"/>
              </w:rPr>
              <w:t>有效的磋商报价中的最低价为评标基准价，按照下列公式计算每个投标人的磋商价格得分。</w:t>
            </w:r>
          </w:p>
          <w:p>
            <w:pPr>
              <w:pStyle w:val="8"/>
              <w:ind w:firstLine="0" w:firstLineChars="0"/>
              <w:rPr>
                <w:szCs w:val="24"/>
              </w:rPr>
            </w:pPr>
            <w:r>
              <w:rPr>
                <w:szCs w:val="24"/>
              </w:rPr>
              <w:t>磋商报价得分=（评标基准价/磋商报价）×价格权值×100%</w:t>
            </w:r>
          </w:p>
        </w:tc>
      </w:tr>
      <w:bookmarkEnd w:id="6"/>
      <w:bookmarkEnd w:id="7"/>
    </w:tbl>
    <w:p>
      <w:pPr>
        <w:snapToGrid w:val="0"/>
        <w:spacing w:line="360" w:lineRule="auto"/>
        <w:rPr>
          <w:rFonts w:ascii="宋体" w:cs="宋体"/>
          <w:b w:val="0"/>
          <w:bCs w:val="0"/>
          <w:sz w:val="32"/>
          <w:szCs w:val="32"/>
        </w:rPr>
      </w:pPr>
      <w:bookmarkStart w:id="8" w:name="_Toc17895"/>
      <w:r>
        <w:rPr>
          <w:rFonts w:hint="eastAsia" w:ascii="宋体" w:cs="宋体"/>
          <w:b w:val="0"/>
          <w:bCs w:val="0"/>
          <w:sz w:val="32"/>
          <w:szCs w:val="32"/>
          <w:lang w:val="en-US" w:eastAsia="zh-CN"/>
        </w:rPr>
        <w:t>注：投标文件需制作实施方案的项目概况，仅提供该项目的实施方案和重点难点即可。</w:t>
      </w:r>
    </w:p>
    <w:p>
      <w:pPr>
        <w:widowControl/>
        <w:tabs>
          <w:tab w:val="left" w:pos="0"/>
        </w:tabs>
        <w:spacing w:line="360" w:lineRule="auto"/>
        <w:ind w:firstLine="720" w:firstLineChars="300"/>
        <w:jc w:val="left"/>
        <w:rPr>
          <w:rFonts w:hint="eastAsia" w:ascii="宋体" w:cs="宋体"/>
          <w:sz w:val="24"/>
          <w:szCs w:val="24"/>
          <w:lang w:val="en-US" w:eastAsia="zh-CN"/>
        </w:rPr>
      </w:pPr>
      <w:r>
        <w:rPr>
          <w:rFonts w:hint="eastAsia" w:ascii="宋体" w:cs="宋体"/>
          <w:sz w:val="24"/>
          <w:szCs w:val="24"/>
          <w:lang w:val="en-US" w:eastAsia="zh-CN"/>
        </w:rPr>
        <w:t>赤峰市政务服务与数据管理局的“四级政务服务平台运维维护费140万元”、“互联网网站安全专线防护费9万元”、“全市电子政务外网安全监测平台运维费30万元”“政务信息资源整合共享服务费55万元”、“全市政府网站集约化平台监测服务31万元”、“市政府网站系统运维服务费50万元”、“政务外专网及机房运费服务费30万元”、“电子政务外网三级等保测评费84万元”等8个网络运维项目。通过评价该运维效果对比做为以后年度预算安排依据。</w:t>
      </w:r>
    </w:p>
    <w:p>
      <w:pPr>
        <w:rPr>
          <w:rFonts w:ascii="宋体" w:cs="宋体"/>
        </w:rPr>
      </w:pPr>
      <w:r>
        <w:rPr>
          <w:rFonts w:hint="eastAsia" w:ascii="宋体" w:cs="宋体"/>
        </w:rPr>
        <w:br w:type="page"/>
      </w:r>
    </w:p>
    <w:p>
      <w:pPr>
        <w:pStyle w:val="2"/>
        <w:rPr>
          <w:rFonts w:ascii="宋体" w:cs="宋体"/>
        </w:rPr>
      </w:pPr>
      <w:r>
        <w:rPr>
          <w:rFonts w:hint="eastAsia" w:ascii="宋体" w:cs="宋体"/>
        </w:rPr>
        <w:t>第</w:t>
      </w:r>
      <w:r>
        <w:rPr>
          <w:rFonts w:hint="eastAsia" w:ascii="宋体" w:cs="宋体"/>
          <w:lang w:eastAsia="zh-CN"/>
        </w:rPr>
        <w:t>五</w:t>
      </w:r>
      <w:r>
        <w:rPr>
          <w:rFonts w:hint="eastAsia" w:ascii="宋体" w:cs="宋体"/>
        </w:rPr>
        <w:t>章文件格式与要求</w:t>
      </w:r>
      <w:bookmarkEnd w:id="8"/>
    </w:p>
    <w:p>
      <w:pPr>
        <w:rPr>
          <w:rFonts w:ascii="宋体" w:cs="宋体"/>
        </w:rPr>
      </w:pPr>
    </w:p>
    <w:p>
      <w:pPr>
        <w:rPr>
          <w:rFonts w:ascii="宋体" w:cs="宋体"/>
        </w:rPr>
      </w:pPr>
      <w:r>
        <w:rPr>
          <w:rFonts w:hint="eastAsia" w:ascii="宋体" w:cs="宋体"/>
        </w:rPr>
        <w:t>供应商提供响应文件应按照以下格式及要求进行编制，且不少于以下内容（可以增加附页，作为响应文件的组成部分）</w:t>
      </w:r>
    </w:p>
    <w:p>
      <w:pPr>
        <w:rPr>
          <w:rFonts w:ascii="宋体" w:cs="宋体"/>
        </w:rPr>
      </w:pPr>
    </w:p>
    <w:p>
      <w:pPr>
        <w:rPr>
          <w:rFonts w:ascii="宋体" w:cs="宋体"/>
        </w:rPr>
      </w:pPr>
    </w:p>
    <w:p>
      <w:pPr>
        <w:rPr>
          <w:rFonts w:ascii="宋体" w:cs="宋体"/>
        </w:rPr>
      </w:pPr>
      <w:r>
        <w:rPr>
          <w:rFonts w:hint="eastAsia" w:ascii="宋体" w:cs="宋体"/>
        </w:rPr>
        <w:t>格式一：</w:t>
      </w:r>
    </w:p>
    <w:p>
      <w:pPr>
        <w:rPr>
          <w:rFonts w:ascii="宋体" w:cs="宋体"/>
        </w:rPr>
      </w:pPr>
    </w:p>
    <w:p>
      <w:pPr>
        <w:rPr>
          <w:rFonts w:ascii="宋体" w:cs="宋体"/>
        </w:rPr>
      </w:pPr>
    </w:p>
    <w:p>
      <w:pPr>
        <w:jc w:val="center"/>
        <w:rPr>
          <w:rFonts w:ascii="宋体" w:cs="宋体"/>
          <w:sz w:val="28"/>
          <w:szCs w:val="28"/>
        </w:rPr>
      </w:pPr>
      <w:r>
        <w:rPr>
          <w:rFonts w:hint="eastAsia" w:ascii="宋体" w:cs="宋体"/>
          <w:sz w:val="28"/>
          <w:szCs w:val="28"/>
        </w:rPr>
        <w:t>响应文件封面</w:t>
      </w:r>
    </w:p>
    <w:p>
      <w:pPr>
        <w:jc w:val="center"/>
        <w:rPr>
          <w:rFonts w:ascii="宋体" w:cs="宋体"/>
          <w:sz w:val="28"/>
          <w:szCs w:val="28"/>
        </w:rPr>
      </w:pPr>
    </w:p>
    <w:p>
      <w:pPr>
        <w:jc w:val="center"/>
        <w:rPr>
          <w:rFonts w:ascii="宋体" w:cs="宋体"/>
          <w:sz w:val="28"/>
          <w:szCs w:val="28"/>
        </w:rPr>
      </w:pPr>
    </w:p>
    <w:p>
      <w:pPr>
        <w:jc w:val="center"/>
        <w:rPr>
          <w:rFonts w:ascii="宋体" w:hAnsi="宋体" w:cs="宋体"/>
          <w:b/>
          <w:sz w:val="28"/>
          <w:szCs w:val="28"/>
        </w:rPr>
      </w:pPr>
    </w:p>
    <w:p>
      <w:pPr>
        <w:jc w:val="center"/>
        <w:rPr>
          <w:rFonts w:ascii="宋体" w:hAnsi="宋体" w:cs="宋体"/>
          <w:b/>
          <w:color w:val="FF0000"/>
          <w:sz w:val="28"/>
          <w:szCs w:val="28"/>
        </w:rPr>
      </w:pPr>
      <w:r>
        <w:rPr>
          <w:rFonts w:hint="eastAsia" w:ascii="宋体" w:hAnsi="宋体" w:cs="宋体"/>
          <w:b/>
          <w:color w:val="FF0000"/>
          <w:sz w:val="28"/>
          <w:szCs w:val="28"/>
        </w:rPr>
        <w:t>xxx项目</w:t>
      </w: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r>
        <w:rPr>
          <w:rFonts w:hint="eastAsia" w:ascii="宋体" w:cs="宋体"/>
          <w:sz w:val="28"/>
          <w:szCs w:val="28"/>
        </w:rPr>
        <w:t>响应文件</w:t>
      </w: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r>
        <w:rPr>
          <w:rFonts w:hint="eastAsia" w:ascii="宋体" w:cs="宋体"/>
          <w:sz w:val="28"/>
          <w:szCs w:val="28"/>
        </w:rPr>
        <w:t>（正本/副本）</w:t>
      </w: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r>
        <w:rPr>
          <w:rFonts w:hint="eastAsia" w:ascii="宋体" w:cs="宋体"/>
          <w:sz w:val="28"/>
          <w:szCs w:val="28"/>
        </w:rPr>
        <w:t>包</w:t>
      </w:r>
      <w:r>
        <w:rPr>
          <w:rFonts w:hint="eastAsia" w:ascii="宋体" w:cs="宋体"/>
          <w:sz w:val="28"/>
          <w:szCs w:val="28"/>
        </w:rPr>
        <w:tab/>
      </w:r>
      <w:r>
        <w:rPr>
          <w:rFonts w:hint="eastAsia" w:ascii="宋体" w:cs="宋体"/>
          <w:sz w:val="28"/>
          <w:szCs w:val="28"/>
        </w:rPr>
        <w:t>号：第  包（若项目分包时使用）</w:t>
      </w: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p>
    <w:p>
      <w:pPr>
        <w:jc w:val="center"/>
        <w:rPr>
          <w:rFonts w:ascii="宋体" w:cs="宋体"/>
          <w:sz w:val="28"/>
          <w:szCs w:val="28"/>
        </w:rPr>
      </w:pPr>
      <w:r>
        <w:rPr>
          <w:rFonts w:hint="eastAsia" w:ascii="宋体" w:cs="宋体"/>
          <w:sz w:val="28"/>
          <w:szCs w:val="28"/>
        </w:rPr>
        <w:t>（供应商名称）</w:t>
      </w:r>
    </w:p>
    <w:p>
      <w:pPr>
        <w:jc w:val="center"/>
        <w:rPr>
          <w:rFonts w:ascii="宋体" w:cs="宋体"/>
          <w:sz w:val="28"/>
          <w:szCs w:val="28"/>
        </w:rPr>
      </w:pPr>
    </w:p>
    <w:p>
      <w:pPr>
        <w:jc w:val="center"/>
        <w:rPr>
          <w:rFonts w:ascii="宋体" w:cs="宋体"/>
        </w:rPr>
      </w:pPr>
      <w:r>
        <w:rPr>
          <w:rFonts w:hint="eastAsia" w:ascii="宋体" w:cs="宋体"/>
          <w:sz w:val="28"/>
          <w:szCs w:val="28"/>
        </w:rPr>
        <w:t>年月日</w:t>
      </w:r>
      <w:bookmarkStart w:id="9" w:name="_Toc29166"/>
    </w:p>
    <w:p>
      <w:pPr>
        <w:pStyle w:val="3"/>
        <w:spacing w:after="120"/>
        <w:jc w:val="center"/>
        <w:rPr>
          <w:rFonts w:ascii="宋体" w:cs="宋体"/>
        </w:rPr>
      </w:pPr>
      <w:r>
        <w:rPr>
          <w:rFonts w:hint="eastAsia" w:ascii="宋体" w:cs="宋体"/>
        </w:rPr>
        <w:t>一、投标承诺书</w:t>
      </w:r>
      <w:bookmarkEnd w:id="9"/>
    </w:p>
    <w:p>
      <w:pPr>
        <w:rPr>
          <w:rFonts w:ascii="宋体" w:cs="宋体"/>
          <w:sz w:val="24"/>
          <w:szCs w:val="24"/>
        </w:rPr>
      </w:pPr>
    </w:p>
    <w:p>
      <w:pPr>
        <w:rPr>
          <w:rFonts w:ascii="宋体" w:cs="宋体"/>
          <w:sz w:val="24"/>
          <w:szCs w:val="24"/>
        </w:rPr>
      </w:pPr>
      <w:r>
        <w:rPr>
          <w:rFonts w:hint="eastAsia" w:ascii="宋体" w:cs="宋体"/>
          <w:sz w:val="24"/>
          <w:szCs w:val="24"/>
          <w:u w:val="single"/>
        </w:rPr>
        <w:t>赤峰市</w:t>
      </w:r>
      <w:r>
        <w:rPr>
          <w:rFonts w:hint="eastAsia" w:ascii="宋体" w:cs="宋体"/>
          <w:sz w:val="24"/>
          <w:szCs w:val="24"/>
          <w:u w:val="single"/>
          <w:lang w:eastAsia="zh-CN"/>
        </w:rPr>
        <w:t>财政局</w:t>
      </w:r>
      <w:r>
        <w:rPr>
          <w:rFonts w:hint="eastAsia" w:ascii="宋体" w:cs="宋体"/>
          <w:sz w:val="24"/>
          <w:szCs w:val="24"/>
        </w:rPr>
        <w:t>：</w:t>
      </w:r>
    </w:p>
    <w:p>
      <w:pPr>
        <w:rPr>
          <w:rFonts w:ascii="宋体" w:cs="宋体"/>
          <w:sz w:val="24"/>
          <w:szCs w:val="24"/>
        </w:rPr>
      </w:pPr>
    </w:p>
    <w:p>
      <w:pPr>
        <w:spacing w:line="360" w:lineRule="auto"/>
        <w:ind w:firstLine="480" w:firstLineChars="200"/>
        <w:jc w:val="left"/>
        <w:rPr>
          <w:rFonts w:ascii="宋体" w:cs="宋体"/>
          <w:sz w:val="24"/>
          <w:szCs w:val="24"/>
        </w:rPr>
      </w:pPr>
      <w:r>
        <w:rPr>
          <w:rFonts w:hint="eastAsia" w:ascii="宋体" w:cs="宋体"/>
          <w:sz w:val="24"/>
          <w:szCs w:val="24"/>
        </w:rPr>
        <w:t>1.按照已收到的</w:t>
      </w:r>
      <w:r>
        <w:rPr>
          <w:rFonts w:hint="eastAsia" w:ascii="宋体" w:cs="宋体"/>
          <w:sz w:val="24"/>
          <w:szCs w:val="24"/>
          <w:u w:val="single"/>
        </w:rPr>
        <w:t>xxx项目（项目编号：xx</w:t>
      </w:r>
      <w:r>
        <w:rPr>
          <w:rFonts w:hint="eastAsia" w:ascii="宋体" w:cs="宋体"/>
          <w:sz w:val="24"/>
          <w:szCs w:val="24"/>
        </w:rPr>
        <w:t>）磋商文件要求，经我方</w:t>
      </w:r>
      <w:r>
        <w:rPr>
          <w:rFonts w:hint="eastAsia" w:ascii="宋体" w:cs="宋体"/>
          <w:sz w:val="24"/>
          <w:szCs w:val="24"/>
          <w:u w:val="single"/>
        </w:rPr>
        <w:t>（供应商名称）</w:t>
      </w:r>
      <w:r>
        <w:rPr>
          <w:rFonts w:hint="eastAsia" w:ascii="宋体" w:cs="宋体"/>
          <w:sz w:val="24"/>
          <w:szCs w:val="24"/>
        </w:rPr>
        <w:t>认真研究投标须知、合同条款、技术规范、资质要求和其它有关要求后，我方愿按上述合同条款、技术规范、资质要求进行投标。我方完全接受本次磋商文件规定的所有要求，并承诺在成交后执行磋商文件、响应文件和合同的全部要求，并履行我方的全部义务。我方的最终报价为总承包价，保证不以任何理由增加报价。</w:t>
      </w:r>
    </w:p>
    <w:p>
      <w:pPr>
        <w:spacing w:line="360" w:lineRule="auto"/>
        <w:ind w:firstLine="480" w:firstLineChars="200"/>
        <w:jc w:val="left"/>
        <w:rPr>
          <w:rFonts w:ascii="宋体" w:cs="宋体"/>
          <w:sz w:val="24"/>
          <w:szCs w:val="24"/>
        </w:rPr>
      </w:pPr>
      <w:r>
        <w:rPr>
          <w:rFonts w:hint="eastAsia" w:ascii="宋体" w:cs="宋体"/>
          <w:sz w:val="24"/>
          <w:szCs w:val="24"/>
        </w:rPr>
        <w:t>2.我方同意磋商文件关于投标有效期的所有规定。</w:t>
      </w:r>
    </w:p>
    <w:p>
      <w:pPr>
        <w:spacing w:line="360" w:lineRule="auto"/>
        <w:ind w:firstLine="480" w:firstLineChars="200"/>
        <w:jc w:val="left"/>
        <w:rPr>
          <w:rFonts w:ascii="宋体" w:cs="宋体"/>
          <w:sz w:val="24"/>
          <w:szCs w:val="24"/>
        </w:rPr>
      </w:pPr>
      <w:r>
        <w:rPr>
          <w:rFonts w:hint="eastAsia" w:ascii="宋体" w:cs="宋体"/>
          <w:sz w:val="24"/>
          <w:szCs w:val="24"/>
        </w:rPr>
        <w:t>3.我方郑重声明：所提供的响应文件内容全部真实有效。如经查实提供的内容、进行承诺的事项存在虚假，我方自愿接受有关处罚，及由此带来的法律后果。</w:t>
      </w:r>
    </w:p>
    <w:p>
      <w:pPr>
        <w:spacing w:line="360" w:lineRule="auto"/>
        <w:ind w:firstLine="480" w:firstLineChars="200"/>
        <w:jc w:val="left"/>
        <w:rPr>
          <w:rFonts w:ascii="宋体" w:cs="宋体"/>
          <w:sz w:val="24"/>
          <w:szCs w:val="24"/>
        </w:rPr>
      </w:pPr>
      <w:r>
        <w:rPr>
          <w:rFonts w:hint="eastAsia" w:ascii="宋体" w:cs="宋体"/>
          <w:sz w:val="24"/>
          <w:szCs w:val="24"/>
        </w:rPr>
        <w:t>4.我方将严格遵守《中华人民共和国政府采购法》、《中华人民共和国民法典》等有关法律、法规规定，如有违反，无条件接受相关部门的处罚。</w:t>
      </w:r>
    </w:p>
    <w:p>
      <w:pPr>
        <w:spacing w:line="360" w:lineRule="auto"/>
        <w:ind w:firstLine="480" w:firstLineChars="200"/>
        <w:jc w:val="left"/>
        <w:rPr>
          <w:rFonts w:ascii="宋体" w:cs="宋体"/>
          <w:sz w:val="24"/>
          <w:szCs w:val="24"/>
        </w:rPr>
      </w:pPr>
      <w:r>
        <w:rPr>
          <w:rFonts w:hint="eastAsia" w:ascii="宋体" w:cs="宋体"/>
          <w:sz w:val="24"/>
          <w:szCs w:val="24"/>
        </w:rPr>
        <w:t>5.我方同意提供贵方另外要求的与其投标有关的任何数据或资料。</w:t>
      </w:r>
    </w:p>
    <w:p>
      <w:pPr>
        <w:spacing w:line="360" w:lineRule="auto"/>
        <w:ind w:firstLine="480" w:firstLineChars="200"/>
        <w:jc w:val="left"/>
        <w:rPr>
          <w:rFonts w:ascii="宋体" w:cs="宋体"/>
          <w:sz w:val="24"/>
          <w:szCs w:val="24"/>
        </w:rPr>
      </w:pPr>
      <w:r>
        <w:rPr>
          <w:rFonts w:hint="eastAsia" w:ascii="宋体" w:cs="宋体"/>
          <w:sz w:val="24"/>
          <w:szCs w:val="24"/>
        </w:rPr>
        <w:t>6.我方将按照磋商文件、响应文件及相关要求、规定进行合同签订，并严格执行和承担协议和合同规定的责任和义务。</w:t>
      </w:r>
    </w:p>
    <w:p>
      <w:pPr>
        <w:spacing w:line="360" w:lineRule="auto"/>
        <w:ind w:firstLine="480" w:firstLineChars="200"/>
        <w:jc w:val="left"/>
        <w:rPr>
          <w:rFonts w:ascii="宋体" w:cs="宋体"/>
          <w:sz w:val="24"/>
          <w:szCs w:val="24"/>
        </w:rPr>
      </w:pPr>
      <w:r>
        <w:rPr>
          <w:rFonts w:hint="eastAsia" w:ascii="宋体" w:cs="宋体"/>
          <w:sz w:val="24"/>
          <w:szCs w:val="24"/>
        </w:rPr>
        <w:t>7.我单位如果存在下列情形的，愿意承担取消成交资格、磋商保证金不予退还、赔偿超过磋商保证金金额的损失部分、接受有关监督部门处罚等后果：</w:t>
      </w:r>
    </w:p>
    <w:p>
      <w:pPr>
        <w:spacing w:line="360" w:lineRule="auto"/>
        <w:ind w:firstLine="480" w:firstLineChars="200"/>
        <w:jc w:val="left"/>
        <w:rPr>
          <w:rFonts w:ascii="宋体" w:cs="宋体"/>
          <w:sz w:val="24"/>
          <w:szCs w:val="24"/>
        </w:rPr>
      </w:pPr>
      <w:r>
        <w:rPr>
          <w:rFonts w:hint="eastAsia" w:ascii="宋体" w:cs="宋体"/>
          <w:sz w:val="24"/>
          <w:szCs w:val="24"/>
        </w:rPr>
        <w:t>（1）成交后，无正当理由放弃成交资格；</w:t>
      </w:r>
    </w:p>
    <w:p>
      <w:pPr>
        <w:spacing w:line="360" w:lineRule="auto"/>
        <w:ind w:firstLine="480" w:firstLineChars="200"/>
        <w:jc w:val="left"/>
        <w:rPr>
          <w:rFonts w:ascii="宋体" w:cs="宋体"/>
          <w:sz w:val="24"/>
          <w:szCs w:val="24"/>
        </w:rPr>
      </w:pPr>
      <w:r>
        <w:rPr>
          <w:rFonts w:hint="eastAsia" w:ascii="宋体" w:cs="宋体"/>
          <w:sz w:val="24"/>
          <w:szCs w:val="24"/>
        </w:rPr>
        <w:t>（2）成交后，无正当理由不与招标人签订合同；</w:t>
      </w:r>
    </w:p>
    <w:p>
      <w:pPr>
        <w:spacing w:line="360" w:lineRule="auto"/>
        <w:ind w:firstLine="480" w:firstLineChars="200"/>
        <w:jc w:val="left"/>
        <w:rPr>
          <w:rFonts w:ascii="宋体" w:cs="宋体"/>
          <w:sz w:val="24"/>
          <w:szCs w:val="24"/>
        </w:rPr>
      </w:pPr>
      <w:r>
        <w:rPr>
          <w:rFonts w:hint="eastAsia" w:ascii="宋体" w:cs="宋体"/>
          <w:sz w:val="24"/>
          <w:szCs w:val="24"/>
        </w:rPr>
        <w:t>（3）在签订合同时，向招标人提出附加条件或不按照相关要求签订合同；</w:t>
      </w:r>
    </w:p>
    <w:p>
      <w:pPr>
        <w:spacing w:line="360" w:lineRule="auto"/>
        <w:ind w:firstLine="480" w:firstLineChars="200"/>
        <w:jc w:val="left"/>
        <w:rPr>
          <w:rFonts w:ascii="宋体" w:cs="宋体"/>
          <w:sz w:val="24"/>
          <w:szCs w:val="24"/>
        </w:rPr>
      </w:pPr>
      <w:r>
        <w:rPr>
          <w:rFonts w:hint="eastAsia" w:ascii="宋体" w:cs="宋体"/>
          <w:sz w:val="24"/>
          <w:szCs w:val="24"/>
        </w:rPr>
        <w:t>（4）不按照磋商文件要求提交履约保证金；</w:t>
      </w:r>
    </w:p>
    <w:p>
      <w:pPr>
        <w:spacing w:line="360" w:lineRule="auto"/>
        <w:ind w:firstLine="480" w:firstLineChars="200"/>
        <w:jc w:val="left"/>
        <w:rPr>
          <w:rFonts w:ascii="宋体" w:cs="宋体"/>
          <w:sz w:val="24"/>
          <w:szCs w:val="24"/>
        </w:rPr>
      </w:pPr>
      <w:r>
        <w:rPr>
          <w:rFonts w:hint="eastAsia" w:ascii="宋体" w:cs="宋体"/>
          <w:sz w:val="24"/>
          <w:szCs w:val="24"/>
        </w:rPr>
        <w:t>（5）要求修改、补充和撤销响应文件的实质性内容；</w:t>
      </w:r>
    </w:p>
    <w:p>
      <w:pPr>
        <w:spacing w:line="360" w:lineRule="auto"/>
        <w:ind w:firstLine="480" w:firstLineChars="200"/>
        <w:jc w:val="left"/>
        <w:rPr>
          <w:rFonts w:ascii="宋体" w:cs="宋体"/>
          <w:sz w:val="24"/>
          <w:szCs w:val="24"/>
        </w:rPr>
      </w:pPr>
      <w:r>
        <w:rPr>
          <w:rFonts w:hint="eastAsia" w:ascii="宋体" w:cs="宋体"/>
          <w:sz w:val="24"/>
          <w:szCs w:val="24"/>
        </w:rPr>
        <w:t>（6）要求更改磋商文件和成交结果的实质性内容；</w:t>
      </w:r>
    </w:p>
    <w:p>
      <w:pPr>
        <w:spacing w:line="360" w:lineRule="auto"/>
        <w:ind w:firstLine="480" w:firstLineChars="200"/>
        <w:jc w:val="left"/>
        <w:rPr>
          <w:rFonts w:ascii="宋体" w:cs="宋体"/>
          <w:sz w:val="24"/>
          <w:szCs w:val="24"/>
        </w:rPr>
      </w:pPr>
      <w:r>
        <w:rPr>
          <w:rFonts w:hint="eastAsia" w:ascii="宋体" w:cs="宋体"/>
          <w:sz w:val="24"/>
          <w:szCs w:val="24"/>
        </w:rPr>
        <w:t>（7）法律法规和磋商文件规定的其他情形。</w:t>
      </w:r>
    </w:p>
    <w:p>
      <w:pPr>
        <w:spacing w:line="360" w:lineRule="auto"/>
        <w:ind w:firstLine="480" w:firstLineChars="200"/>
        <w:jc w:val="left"/>
        <w:rPr>
          <w:rFonts w:ascii="宋体" w:cs="宋体"/>
          <w:sz w:val="24"/>
          <w:szCs w:val="24"/>
        </w:rPr>
      </w:pPr>
      <w:r>
        <w:rPr>
          <w:rFonts w:hint="eastAsia" w:ascii="宋体" w:cs="宋体"/>
          <w:sz w:val="24"/>
          <w:szCs w:val="24"/>
        </w:rPr>
        <w:t>供应商名称（加盖公章）</w:t>
      </w:r>
    </w:p>
    <w:p>
      <w:pPr>
        <w:spacing w:line="360" w:lineRule="auto"/>
        <w:ind w:firstLine="480" w:firstLineChars="200"/>
        <w:jc w:val="left"/>
        <w:rPr>
          <w:rFonts w:ascii="宋体" w:cs="宋体"/>
          <w:sz w:val="24"/>
          <w:szCs w:val="24"/>
        </w:rPr>
      </w:pPr>
      <w:r>
        <w:rPr>
          <w:rFonts w:hint="eastAsia" w:ascii="宋体" w:cs="宋体"/>
          <w:sz w:val="24"/>
          <w:szCs w:val="24"/>
        </w:rPr>
        <w:t>法定代表人签字：年</w:t>
      </w:r>
      <w:r>
        <w:rPr>
          <w:rFonts w:hint="eastAsia" w:ascii="宋体" w:cs="宋体"/>
          <w:sz w:val="24"/>
          <w:szCs w:val="24"/>
        </w:rPr>
        <w:tab/>
      </w:r>
      <w:r>
        <w:rPr>
          <w:rFonts w:hint="eastAsia" w:ascii="宋体" w:cs="宋体"/>
          <w:sz w:val="24"/>
          <w:szCs w:val="24"/>
        </w:rPr>
        <w:t>月</w:t>
      </w:r>
      <w:r>
        <w:rPr>
          <w:rFonts w:hint="eastAsia" w:ascii="宋体" w:cs="宋体"/>
          <w:sz w:val="24"/>
          <w:szCs w:val="24"/>
        </w:rPr>
        <w:tab/>
      </w:r>
      <w:r>
        <w:rPr>
          <w:rFonts w:hint="eastAsia" w:ascii="宋体" w:cs="宋体"/>
          <w:sz w:val="24"/>
          <w:szCs w:val="24"/>
        </w:rPr>
        <w:t>日</w:t>
      </w:r>
    </w:p>
    <w:p>
      <w:pPr>
        <w:ind w:firstLine="2880" w:firstLineChars="800"/>
        <w:rPr>
          <w:rFonts w:ascii="宋体" w:cs="宋体"/>
          <w:sz w:val="36"/>
          <w:szCs w:val="36"/>
        </w:rPr>
      </w:pPr>
      <w:r>
        <w:rPr>
          <w:rFonts w:hint="eastAsia" w:ascii="宋体" w:cs="宋体"/>
          <w:sz w:val="36"/>
          <w:szCs w:val="36"/>
        </w:rPr>
        <w:t>二、竞争性磋商报价表</w:t>
      </w:r>
    </w:p>
    <w:p>
      <w:pPr>
        <w:ind w:left="57" w:right="57" w:firstLine="57"/>
        <w:textAlignment w:val="baseline"/>
        <w:rPr>
          <w:rFonts w:ascii="宋体"/>
          <w:kern w:val="0"/>
          <w:sz w:val="24"/>
          <w:szCs w:val="24"/>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6"/>
        <w:gridCol w:w="6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2306" w:type="dxa"/>
            <w:tcBorders>
              <w:tl2br w:val="nil"/>
              <w:tr2bl w:val="nil"/>
            </w:tcBorders>
            <w:vAlign w:val="center"/>
          </w:tcPr>
          <w:p>
            <w:pPr>
              <w:ind w:right="57"/>
              <w:jc w:val="center"/>
              <w:textAlignment w:val="baseline"/>
              <w:rPr>
                <w:rFonts w:ascii="宋体"/>
                <w:b/>
                <w:kern w:val="0"/>
                <w:sz w:val="24"/>
                <w:szCs w:val="24"/>
              </w:rPr>
            </w:pPr>
            <w:r>
              <w:rPr>
                <w:rFonts w:hint="eastAsia" w:ascii="宋体"/>
                <w:b/>
                <w:kern w:val="0"/>
                <w:sz w:val="24"/>
                <w:szCs w:val="24"/>
              </w:rPr>
              <w:t>采购单位名称</w:t>
            </w:r>
          </w:p>
        </w:tc>
        <w:tc>
          <w:tcPr>
            <w:tcW w:w="6222" w:type="dxa"/>
            <w:tcBorders>
              <w:tl2br w:val="nil"/>
              <w:tr2bl w:val="nil"/>
            </w:tcBorders>
            <w:vAlign w:val="center"/>
          </w:tcPr>
          <w:p>
            <w:pPr>
              <w:ind w:right="57"/>
              <w:jc w:val="center"/>
              <w:textAlignment w:val="baseline"/>
              <w:rPr>
                <w:rFonts w:hint="eastAsia" w:ascii="宋体" w:eastAsia="宋体"/>
                <w:kern w:val="0"/>
                <w:sz w:val="24"/>
                <w:szCs w:val="24"/>
                <w:lang w:eastAsia="zh-CN"/>
              </w:rPr>
            </w:pPr>
            <w:r>
              <w:rPr>
                <w:rFonts w:hint="eastAsia" w:ascii="宋体"/>
                <w:kern w:val="0"/>
                <w:sz w:val="24"/>
                <w:szCs w:val="24"/>
              </w:rPr>
              <w:t>赤峰市</w:t>
            </w:r>
            <w:r>
              <w:rPr>
                <w:rFonts w:hint="eastAsia" w:ascii="宋体"/>
                <w:kern w:val="0"/>
                <w:sz w:val="24"/>
                <w:szCs w:val="24"/>
                <w:lang w:eastAsia="zh-CN"/>
              </w:rPr>
              <w:t>财政局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2306" w:type="dxa"/>
            <w:tcBorders>
              <w:tl2br w:val="nil"/>
              <w:tr2bl w:val="nil"/>
            </w:tcBorders>
            <w:vAlign w:val="center"/>
          </w:tcPr>
          <w:p>
            <w:pPr>
              <w:ind w:right="57"/>
              <w:jc w:val="center"/>
              <w:textAlignment w:val="baseline"/>
              <w:rPr>
                <w:rFonts w:ascii="宋体"/>
                <w:b/>
                <w:kern w:val="0"/>
                <w:sz w:val="24"/>
                <w:szCs w:val="24"/>
              </w:rPr>
            </w:pPr>
            <w:r>
              <w:rPr>
                <w:rFonts w:hint="eastAsia" w:ascii="宋体"/>
                <w:b/>
                <w:kern w:val="0"/>
                <w:sz w:val="24"/>
                <w:szCs w:val="24"/>
              </w:rPr>
              <w:t>项目名称</w:t>
            </w:r>
          </w:p>
        </w:tc>
        <w:tc>
          <w:tcPr>
            <w:tcW w:w="6222" w:type="dxa"/>
            <w:tcBorders>
              <w:tl2br w:val="nil"/>
              <w:tr2bl w:val="nil"/>
            </w:tcBorders>
            <w:vAlign w:val="center"/>
          </w:tcPr>
          <w:p>
            <w:pPr>
              <w:ind w:right="57"/>
              <w:jc w:val="center"/>
              <w:textAlignment w:val="baseline"/>
              <w:rPr>
                <w:rFonts w:ascii="宋体"/>
                <w:kern w:val="0"/>
                <w:sz w:val="24"/>
                <w:szCs w:val="24"/>
              </w:rPr>
            </w:pPr>
            <w:r>
              <w:rPr>
                <w:rFonts w:hint="eastAsia" w:ascii="宋体"/>
                <w:kern w:val="0"/>
                <w:sz w:val="24"/>
                <w:szCs w:val="24"/>
              </w:rPr>
              <w:t>xxx项目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306" w:type="dxa"/>
            <w:tcBorders>
              <w:tl2br w:val="nil"/>
              <w:tr2bl w:val="nil"/>
            </w:tcBorders>
            <w:vAlign w:val="center"/>
          </w:tcPr>
          <w:p>
            <w:pPr>
              <w:ind w:right="57"/>
              <w:jc w:val="center"/>
              <w:textAlignment w:val="baseline"/>
              <w:rPr>
                <w:rFonts w:ascii="宋体"/>
                <w:b/>
                <w:kern w:val="0"/>
                <w:sz w:val="24"/>
                <w:szCs w:val="24"/>
              </w:rPr>
            </w:pPr>
            <w:r>
              <w:rPr>
                <w:rFonts w:hint="eastAsia" w:ascii="宋体"/>
                <w:b/>
                <w:kern w:val="0"/>
                <w:sz w:val="24"/>
                <w:szCs w:val="24"/>
              </w:rPr>
              <w:t>项目编号</w:t>
            </w:r>
          </w:p>
        </w:tc>
        <w:tc>
          <w:tcPr>
            <w:tcW w:w="6222" w:type="dxa"/>
            <w:tcBorders>
              <w:tl2br w:val="nil"/>
              <w:tr2bl w:val="nil"/>
            </w:tcBorders>
            <w:vAlign w:val="center"/>
          </w:tcPr>
          <w:p>
            <w:pPr>
              <w:ind w:right="57"/>
              <w:jc w:val="center"/>
              <w:textAlignment w:val="baseline"/>
              <w:rPr>
                <w:rFonts w:ascii="宋体"/>
                <w:kern w:val="0"/>
                <w:sz w:val="24"/>
                <w:szCs w:val="24"/>
              </w:rPr>
            </w:pPr>
            <w:r>
              <w:rPr>
                <w:rFonts w:hint="eastAsia" w:ascii="宋体"/>
                <w:kern w:val="0"/>
                <w:sz w:val="24"/>
                <w:szCs w:val="24"/>
              </w:rPr>
              <w:t>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306" w:type="dxa"/>
            <w:tcBorders>
              <w:tl2br w:val="nil"/>
              <w:tr2bl w:val="nil"/>
            </w:tcBorders>
            <w:vAlign w:val="center"/>
          </w:tcPr>
          <w:p>
            <w:pPr>
              <w:ind w:right="57"/>
              <w:jc w:val="center"/>
              <w:textAlignment w:val="baseline"/>
              <w:rPr>
                <w:rFonts w:ascii="宋体"/>
                <w:b/>
                <w:kern w:val="0"/>
                <w:sz w:val="24"/>
                <w:szCs w:val="24"/>
              </w:rPr>
            </w:pPr>
            <w:r>
              <w:rPr>
                <w:rFonts w:hint="eastAsia" w:ascii="宋体"/>
                <w:b/>
                <w:kern w:val="0"/>
                <w:sz w:val="24"/>
                <w:szCs w:val="24"/>
              </w:rPr>
              <w:t>服务期限</w:t>
            </w:r>
          </w:p>
        </w:tc>
        <w:tc>
          <w:tcPr>
            <w:tcW w:w="6222" w:type="dxa"/>
            <w:tcBorders>
              <w:tl2br w:val="nil"/>
              <w:tr2bl w:val="nil"/>
            </w:tcBorders>
            <w:vAlign w:val="center"/>
          </w:tcPr>
          <w:p>
            <w:pPr>
              <w:ind w:right="57"/>
              <w:jc w:val="center"/>
              <w:textAlignment w:val="baseline"/>
              <w:rPr>
                <w:rFonts w:ascii="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306" w:type="dxa"/>
            <w:tcBorders>
              <w:tl2br w:val="nil"/>
              <w:tr2bl w:val="nil"/>
            </w:tcBorders>
            <w:vAlign w:val="center"/>
          </w:tcPr>
          <w:p>
            <w:pPr>
              <w:ind w:right="57"/>
              <w:jc w:val="center"/>
              <w:textAlignment w:val="baseline"/>
              <w:rPr>
                <w:rFonts w:ascii="宋体"/>
                <w:b/>
                <w:kern w:val="0"/>
                <w:sz w:val="24"/>
                <w:szCs w:val="24"/>
              </w:rPr>
            </w:pPr>
            <w:r>
              <w:rPr>
                <w:rFonts w:hint="eastAsia" w:ascii="宋体"/>
                <w:b/>
                <w:kern w:val="0"/>
                <w:sz w:val="24"/>
                <w:szCs w:val="24"/>
              </w:rPr>
              <w:t>付款方式</w:t>
            </w:r>
          </w:p>
        </w:tc>
        <w:tc>
          <w:tcPr>
            <w:tcW w:w="6222" w:type="dxa"/>
            <w:tcBorders>
              <w:tl2br w:val="nil"/>
              <w:tr2bl w:val="nil"/>
            </w:tcBorders>
            <w:vAlign w:val="center"/>
          </w:tcPr>
          <w:p>
            <w:pPr>
              <w:ind w:right="57"/>
              <w:jc w:val="center"/>
              <w:textAlignment w:val="baseline"/>
              <w:rPr>
                <w:rFonts w:ascii="宋体"/>
                <w:kern w:val="0"/>
                <w:sz w:val="24"/>
                <w:szCs w:val="24"/>
              </w:rPr>
            </w:pPr>
            <w:r>
              <w:rPr>
                <w:rFonts w:hint="eastAsia" w:ascii="宋体"/>
                <w:kern w:val="0"/>
                <w:sz w:val="24"/>
                <w:szCs w:val="24"/>
              </w:rPr>
              <w:t>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2306" w:type="dxa"/>
            <w:tcBorders>
              <w:tl2br w:val="nil"/>
              <w:tr2bl w:val="nil"/>
            </w:tcBorders>
            <w:vAlign w:val="center"/>
          </w:tcPr>
          <w:p>
            <w:pPr>
              <w:ind w:right="57"/>
              <w:jc w:val="center"/>
              <w:textAlignment w:val="baseline"/>
              <w:rPr>
                <w:rFonts w:ascii="宋体"/>
                <w:b/>
                <w:kern w:val="0"/>
                <w:sz w:val="24"/>
                <w:szCs w:val="24"/>
              </w:rPr>
            </w:pPr>
            <w:r>
              <w:rPr>
                <w:rFonts w:hint="eastAsia" w:ascii="宋体"/>
                <w:b/>
                <w:kern w:val="0"/>
                <w:sz w:val="24"/>
                <w:szCs w:val="24"/>
              </w:rPr>
              <w:t>金额（元）</w:t>
            </w:r>
          </w:p>
        </w:tc>
        <w:tc>
          <w:tcPr>
            <w:tcW w:w="6222" w:type="dxa"/>
            <w:tcBorders>
              <w:tl2br w:val="nil"/>
              <w:tr2bl w:val="nil"/>
            </w:tcBorders>
            <w:vAlign w:val="center"/>
          </w:tcPr>
          <w:p>
            <w:pPr>
              <w:ind w:right="57"/>
              <w:textAlignment w:val="baseline"/>
              <w:rPr>
                <w:rFonts w:ascii="宋体"/>
                <w:kern w:val="0"/>
                <w:sz w:val="24"/>
                <w:szCs w:val="24"/>
              </w:rPr>
            </w:pPr>
          </w:p>
        </w:tc>
      </w:tr>
    </w:tbl>
    <w:p>
      <w:pPr>
        <w:ind w:right="57"/>
        <w:textAlignment w:val="baseline"/>
        <w:rPr>
          <w:rFonts w:ascii="宋体"/>
          <w:kern w:val="0"/>
          <w:sz w:val="24"/>
          <w:szCs w:val="24"/>
        </w:rPr>
      </w:pPr>
    </w:p>
    <w:p>
      <w:pPr>
        <w:ind w:right="57"/>
        <w:textAlignment w:val="baseline"/>
        <w:rPr>
          <w:rFonts w:ascii="宋体"/>
          <w:kern w:val="0"/>
          <w:sz w:val="24"/>
          <w:szCs w:val="24"/>
        </w:rPr>
      </w:pPr>
    </w:p>
    <w:p>
      <w:pPr>
        <w:ind w:right="57" w:firstLine="720" w:firstLineChars="300"/>
        <w:textAlignment w:val="baseline"/>
        <w:rPr>
          <w:rFonts w:ascii="宋体"/>
          <w:kern w:val="0"/>
          <w:sz w:val="24"/>
          <w:szCs w:val="24"/>
        </w:rPr>
      </w:pPr>
      <w:r>
        <w:rPr>
          <w:rFonts w:hint="eastAsia" w:ascii="宋体"/>
          <w:kern w:val="0"/>
          <w:sz w:val="24"/>
          <w:szCs w:val="24"/>
        </w:rPr>
        <w:t>供应商名称（公章）：</w:t>
      </w:r>
    </w:p>
    <w:p>
      <w:pPr>
        <w:ind w:firstLine="720" w:firstLineChars="300"/>
        <w:textAlignment w:val="baseline"/>
        <w:rPr>
          <w:rFonts w:ascii="宋体"/>
          <w:sz w:val="24"/>
          <w:szCs w:val="24"/>
        </w:rPr>
      </w:pPr>
      <w:r>
        <w:rPr>
          <w:rFonts w:ascii="宋体"/>
          <w:sz w:val="24"/>
          <w:szCs w:val="24"/>
        </w:rPr>
        <w:t>法定代表人或</w:t>
      </w:r>
      <w:r>
        <w:rPr>
          <w:rFonts w:hint="eastAsia" w:ascii="宋体"/>
          <w:sz w:val="24"/>
          <w:szCs w:val="24"/>
        </w:rPr>
        <w:t>其授权代表</w:t>
      </w:r>
      <w:r>
        <w:rPr>
          <w:rFonts w:ascii="宋体"/>
          <w:sz w:val="24"/>
          <w:szCs w:val="24"/>
        </w:rPr>
        <w:t>（签字）</w:t>
      </w:r>
      <w:r>
        <w:rPr>
          <w:rFonts w:hint="eastAsia" w:ascii="宋体"/>
          <w:sz w:val="24"/>
          <w:szCs w:val="24"/>
        </w:rPr>
        <w:t>：</w:t>
      </w:r>
    </w:p>
    <w:p>
      <w:pPr>
        <w:jc w:val="center"/>
        <w:textAlignment w:val="baseline"/>
        <w:rPr>
          <w:rFonts w:ascii="宋体"/>
          <w:sz w:val="24"/>
          <w:szCs w:val="24"/>
        </w:rPr>
      </w:pPr>
    </w:p>
    <w:p>
      <w:pPr>
        <w:jc w:val="center"/>
        <w:textAlignment w:val="baseline"/>
        <w:rPr>
          <w:rFonts w:ascii="宋体"/>
          <w:sz w:val="24"/>
          <w:szCs w:val="24"/>
        </w:rPr>
      </w:pPr>
    </w:p>
    <w:p>
      <w:pPr>
        <w:jc w:val="center"/>
        <w:textAlignment w:val="baseline"/>
        <w:rPr>
          <w:rFonts w:ascii="宋体"/>
          <w:sz w:val="24"/>
          <w:szCs w:val="24"/>
        </w:rPr>
      </w:pPr>
      <w:r>
        <w:rPr>
          <w:rFonts w:hint="eastAsia" w:ascii="宋体"/>
          <w:sz w:val="24"/>
          <w:szCs w:val="24"/>
        </w:rPr>
        <w:t>年月日</w:t>
      </w:r>
    </w:p>
    <w:p>
      <w:pPr>
        <w:snapToGrid w:val="0"/>
        <w:ind w:firstLine="722" w:firstLineChars="300"/>
        <w:textAlignment w:val="baseline"/>
        <w:rPr>
          <w:rFonts w:ascii="宋体"/>
          <w:b/>
          <w:sz w:val="24"/>
          <w:szCs w:val="24"/>
        </w:rPr>
      </w:pPr>
    </w:p>
    <w:p>
      <w:pPr>
        <w:snapToGrid w:val="0"/>
        <w:ind w:firstLine="722" w:firstLineChars="300"/>
        <w:textAlignment w:val="baseline"/>
        <w:rPr>
          <w:rFonts w:ascii="宋体"/>
          <w:b/>
          <w:sz w:val="24"/>
          <w:szCs w:val="24"/>
        </w:rPr>
      </w:pPr>
    </w:p>
    <w:p>
      <w:pPr>
        <w:snapToGrid w:val="0"/>
        <w:ind w:firstLine="722" w:firstLineChars="300"/>
        <w:textAlignment w:val="baseline"/>
        <w:rPr>
          <w:rFonts w:ascii="宋体"/>
          <w:b/>
          <w:sz w:val="24"/>
          <w:szCs w:val="24"/>
        </w:rPr>
      </w:pPr>
      <w:r>
        <w:rPr>
          <w:rFonts w:hint="eastAsia" w:ascii="宋体"/>
          <w:b/>
          <w:sz w:val="24"/>
          <w:szCs w:val="24"/>
        </w:rPr>
        <w:t>说明：</w:t>
      </w:r>
    </w:p>
    <w:p>
      <w:pPr>
        <w:snapToGrid w:val="0"/>
        <w:ind w:firstLine="722" w:firstLineChars="301"/>
        <w:textAlignment w:val="baseline"/>
        <w:rPr>
          <w:rFonts w:ascii="宋体"/>
          <w:sz w:val="24"/>
          <w:szCs w:val="24"/>
        </w:rPr>
      </w:pPr>
      <w:r>
        <w:rPr>
          <w:rFonts w:hint="eastAsia" w:ascii="宋体"/>
          <w:sz w:val="24"/>
          <w:szCs w:val="24"/>
        </w:rPr>
        <w:t>1、本项报价为</w:t>
      </w:r>
      <w:r>
        <w:rPr>
          <w:rFonts w:hint="eastAsia" w:ascii="宋体"/>
          <w:sz w:val="24"/>
          <w:szCs w:val="24"/>
          <w:lang w:eastAsia="zh-CN"/>
        </w:rPr>
        <w:t>最终</w:t>
      </w:r>
      <w:r>
        <w:rPr>
          <w:rFonts w:hint="eastAsia" w:ascii="宋体"/>
          <w:sz w:val="24"/>
          <w:szCs w:val="24"/>
        </w:rPr>
        <w:t>报价。</w:t>
      </w:r>
    </w:p>
    <w:p>
      <w:pPr>
        <w:snapToGrid w:val="0"/>
        <w:ind w:firstLine="720" w:firstLineChars="300"/>
        <w:textAlignment w:val="baseline"/>
        <w:rPr>
          <w:rFonts w:ascii="宋体"/>
          <w:sz w:val="24"/>
          <w:szCs w:val="24"/>
        </w:rPr>
      </w:pPr>
      <w:r>
        <w:rPr>
          <w:rFonts w:ascii="宋体"/>
          <w:sz w:val="24"/>
          <w:szCs w:val="24"/>
        </w:rPr>
        <w:t>2</w:t>
      </w:r>
      <w:r>
        <w:rPr>
          <w:rFonts w:hint="eastAsia" w:ascii="宋体"/>
          <w:sz w:val="24"/>
          <w:szCs w:val="24"/>
        </w:rPr>
        <w:t>、报价单位，精确到</w:t>
      </w:r>
      <w:r>
        <w:rPr>
          <w:rFonts w:hint="eastAsia" w:ascii="宋体"/>
          <w:sz w:val="24"/>
          <w:szCs w:val="24"/>
          <w:lang w:eastAsia="zh-CN"/>
        </w:rPr>
        <w:t>元</w:t>
      </w:r>
      <w:r>
        <w:rPr>
          <w:rFonts w:hint="eastAsia" w:ascii="宋体"/>
          <w:sz w:val="24"/>
          <w:szCs w:val="24"/>
        </w:rPr>
        <w:t>。</w:t>
      </w:r>
    </w:p>
    <w:p>
      <w:pPr>
        <w:snapToGrid w:val="0"/>
        <w:textAlignment w:val="baseline"/>
        <w:rPr>
          <w:rFonts w:ascii="宋体"/>
          <w:szCs w:val="28"/>
        </w:rPr>
      </w:pPr>
    </w:p>
    <w:p>
      <w:pPr>
        <w:rPr>
          <w:rFonts w:ascii="宋体" w:cs="宋体"/>
          <w:sz w:val="24"/>
          <w:szCs w:val="24"/>
        </w:rPr>
      </w:pPr>
    </w:p>
    <w:p>
      <w:pPr>
        <w:pStyle w:val="3"/>
        <w:spacing w:after="120"/>
        <w:rPr>
          <w:rFonts w:ascii="宋体" w:cs="宋体"/>
          <w:sz w:val="24"/>
          <w:szCs w:val="24"/>
        </w:rPr>
      </w:pPr>
    </w:p>
    <w:p>
      <w:pPr>
        <w:rPr>
          <w:rFonts w:ascii="宋体" w:cs="宋体"/>
          <w:sz w:val="24"/>
          <w:szCs w:val="24"/>
        </w:rPr>
      </w:pPr>
    </w:p>
    <w:p>
      <w:pPr>
        <w:rPr>
          <w:rFonts w:ascii="宋体" w:cs="宋体"/>
          <w:sz w:val="24"/>
          <w:szCs w:val="24"/>
        </w:rPr>
      </w:pPr>
      <w:r>
        <w:rPr>
          <w:rFonts w:hint="eastAsia" w:ascii="宋体" w:cs="宋体"/>
          <w:sz w:val="24"/>
          <w:szCs w:val="24"/>
        </w:rPr>
        <w:br w:type="page"/>
      </w:r>
    </w:p>
    <w:p>
      <w:pPr>
        <w:pStyle w:val="3"/>
        <w:spacing w:after="120"/>
        <w:jc w:val="center"/>
        <w:rPr>
          <w:rFonts w:ascii="宋体" w:cs="宋体"/>
        </w:rPr>
      </w:pPr>
      <w:bookmarkStart w:id="10" w:name="_Toc18801"/>
      <w:r>
        <w:rPr>
          <w:rFonts w:hint="eastAsia" w:ascii="宋体" w:cs="宋体"/>
        </w:rPr>
        <w:t>三、授权委托书</w:t>
      </w:r>
      <w:bookmarkEnd w:id="10"/>
    </w:p>
    <w:p>
      <w:pPr>
        <w:rPr>
          <w:rFonts w:ascii="宋体" w:cs="宋体"/>
          <w:sz w:val="24"/>
          <w:szCs w:val="24"/>
          <w:lang w:val="zh-CN"/>
        </w:rPr>
      </w:pPr>
    </w:p>
    <w:p>
      <w:pPr>
        <w:spacing w:line="360" w:lineRule="auto"/>
        <w:ind w:firstLine="480" w:firstLineChars="200"/>
        <w:jc w:val="left"/>
        <w:rPr>
          <w:rFonts w:ascii="宋体" w:cs="宋体"/>
          <w:sz w:val="24"/>
          <w:szCs w:val="24"/>
          <w:lang w:val="zh-CN"/>
        </w:rPr>
      </w:pPr>
      <w:r>
        <w:rPr>
          <w:rFonts w:hint="eastAsia" w:ascii="宋体" w:cs="宋体"/>
          <w:sz w:val="24"/>
          <w:szCs w:val="24"/>
          <w:lang w:val="zh-CN"/>
        </w:rPr>
        <w:t>本人</w:t>
      </w:r>
      <w:r>
        <w:rPr>
          <w:rFonts w:hint="eastAsia" w:ascii="宋体" w:cs="宋体"/>
          <w:sz w:val="24"/>
          <w:szCs w:val="24"/>
          <w:u w:val="single"/>
          <w:lang w:val="zh-CN"/>
        </w:rPr>
        <w:tab/>
      </w:r>
      <w:r>
        <w:rPr>
          <w:rFonts w:hint="eastAsia" w:ascii="宋体" w:cs="宋体"/>
          <w:sz w:val="24"/>
          <w:szCs w:val="24"/>
          <w:u w:val="single"/>
          <w:lang w:val="zh-CN"/>
        </w:rPr>
        <w:t>（姓名</w:t>
      </w:r>
      <w:r>
        <w:rPr>
          <w:rFonts w:hint="eastAsia" w:ascii="宋体" w:cs="宋体"/>
          <w:sz w:val="24"/>
          <w:szCs w:val="24"/>
          <w:lang w:val="zh-CN"/>
        </w:rPr>
        <w:t>）系</w:t>
      </w:r>
      <w:r>
        <w:rPr>
          <w:rFonts w:hint="eastAsia" w:ascii="宋体" w:cs="宋体"/>
          <w:sz w:val="24"/>
          <w:szCs w:val="24"/>
          <w:u w:val="single"/>
          <w:lang w:val="zh-CN"/>
        </w:rPr>
        <w:tab/>
      </w:r>
      <w:r>
        <w:rPr>
          <w:rFonts w:hint="eastAsia" w:ascii="宋体" w:cs="宋体"/>
          <w:sz w:val="24"/>
          <w:szCs w:val="24"/>
          <w:u w:val="single"/>
          <w:lang w:val="zh-CN"/>
        </w:rPr>
        <w:t>（供应商名称）</w:t>
      </w:r>
      <w:r>
        <w:rPr>
          <w:rFonts w:hint="eastAsia" w:ascii="宋体" w:cs="宋体"/>
          <w:sz w:val="24"/>
          <w:szCs w:val="24"/>
          <w:lang w:val="zh-CN"/>
        </w:rPr>
        <w:t>的法定代表人，现委托</w:t>
      </w:r>
      <w:r>
        <w:rPr>
          <w:rFonts w:hint="eastAsia" w:ascii="宋体" w:cs="宋体"/>
          <w:sz w:val="24"/>
          <w:szCs w:val="24"/>
          <w:u w:val="single"/>
          <w:lang w:val="zh-CN"/>
        </w:rPr>
        <w:tab/>
      </w:r>
      <w:r>
        <w:rPr>
          <w:rFonts w:hint="eastAsia" w:ascii="宋体" w:cs="宋体"/>
          <w:sz w:val="24"/>
          <w:szCs w:val="24"/>
          <w:u w:val="single"/>
          <w:lang w:val="zh-CN"/>
        </w:rPr>
        <w:t>（姓名）</w:t>
      </w:r>
      <w:r>
        <w:rPr>
          <w:rFonts w:hint="eastAsia" w:ascii="宋体" w:cs="宋体"/>
          <w:sz w:val="24"/>
          <w:szCs w:val="24"/>
          <w:lang w:val="zh-CN"/>
        </w:rPr>
        <w:t>为我方代理人。代理人根据授权，以我方名义签署、澄清确认、递交、撤回、修改招标项目响应文件、签订合同和处理有关事宜，其法律后果由我方承担。委托期限：</w:t>
      </w:r>
      <w:r>
        <w:rPr>
          <w:rFonts w:hint="eastAsia" w:ascii="宋体" w:cs="宋体"/>
          <w:sz w:val="24"/>
          <w:szCs w:val="24"/>
        </w:rPr>
        <w:t>项目公告之日起至项目结束</w:t>
      </w:r>
      <w:r>
        <w:rPr>
          <w:rFonts w:hint="eastAsia" w:ascii="宋体" w:cs="宋体"/>
          <w:sz w:val="24"/>
          <w:szCs w:val="24"/>
          <w:lang w:val="zh-CN"/>
        </w:rPr>
        <w:t>。</w:t>
      </w:r>
    </w:p>
    <w:p>
      <w:pPr>
        <w:spacing w:line="360" w:lineRule="auto"/>
        <w:ind w:firstLine="480" w:firstLineChars="200"/>
        <w:jc w:val="left"/>
        <w:rPr>
          <w:rFonts w:ascii="宋体" w:cs="宋体"/>
          <w:sz w:val="24"/>
          <w:szCs w:val="24"/>
          <w:lang w:val="zh-CN"/>
        </w:rPr>
      </w:pPr>
      <w:r>
        <w:rPr>
          <w:rFonts w:hint="eastAsia" w:ascii="宋体" w:cs="宋体"/>
          <w:sz w:val="24"/>
          <w:szCs w:val="24"/>
          <w:lang w:val="zh-CN"/>
        </w:rPr>
        <w:t>代理人无转委托权。</w:t>
      </w:r>
    </w:p>
    <w:p>
      <w:pPr>
        <w:spacing w:line="360" w:lineRule="auto"/>
        <w:ind w:firstLine="480" w:firstLineChars="200"/>
        <w:jc w:val="left"/>
        <w:rPr>
          <w:rFonts w:ascii="宋体" w:cs="宋体"/>
          <w:sz w:val="24"/>
          <w:szCs w:val="24"/>
          <w:lang w:val="zh-CN"/>
        </w:rPr>
      </w:pPr>
      <w:r>
        <w:rPr>
          <w:rFonts w:hint="eastAsia" w:ascii="宋体" w:cs="宋体"/>
          <w:sz w:val="24"/>
          <w:szCs w:val="24"/>
          <w:lang w:val="zh-CN"/>
        </w:rPr>
        <w:t>注：本授权委托书需由供应商加盖单位公章并由其法定代表人和授权代表签字。</w:t>
      </w:r>
    </w:p>
    <w:p>
      <w:pPr>
        <w:spacing w:line="360" w:lineRule="auto"/>
        <w:ind w:firstLine="480" w:firstLineChars="200"/>
        <w:jc w:val="left"/>
        <w:rPr>
          <w:rFonts w:ascii="宋体" w:cs="宋体"/>
          <w:sz w:val="24"/>
          <w:szCs w:val="24"/>
          <w:lang w:val="zh-CN"/>
        </w:rPr>
      </w:pPr>
      <w:r>
        <w:rPr>
          <w:rFonts w:hint="eastAsia" w:ascii="宋体" w:cs="宋体"/>
          <w:sz w:val="24"/>
          <w:szCs w:val="24"/>
          <w:lang w:val="zh-CN"/>
        </w:rPr>
        <w:t>投标供应商：</w:t>
      </w:r>
      <w:r>
        <w:rPr>
          <w:rFonts w:hint="eastAsia" w:ascii="宋体" w:cs="宋体"/>
          <w:sz w:val="24"/>
          <w:szCs w:val="24"/>
          <w:u w:val="single"/>
          <w:lang w:val="zh-CN"/>
        </w:rPr>
        <w:tab/>
      </w:r>
      <w:r>
        <w:rPr>
          <w:rFonts w:hint="eastAsia" w:ascii="宋体" w:cs="宋体"/>
          <w:sz w:val="24"/>
          <w:szCs w:val="24"/>
          <w:u w:val="single"/>
          <w:lang w:val="zh-CN"/>
        </w:rPr>
        <w:t>（盖单位章）</w:t>
      </w:r>
    </w:p>
    <w:p>
      <w:pPr>
        <w:spacing w:line="360" w:lineRule="auto"/>
        <w:ind w:firstLine="480" w:firstLineChars="200"/>
        <w:jc w:val="left"/>
        <w:rPr>
          <w:rFonts w:ascii="宋体" w:cs="宋体"/>
          <w:sz w:val="24"/>
          <w:szCs w:val="24"/>
          <w:u w:val="single"/>
          <w:lang w:val="zh-CN"/>
        </w:rPr>
      </w:pPr>
      <w:r>
        <w:rPr>
          <w:rFonts w:hint="eastAsia" w:ascii="宋体" w:cs="宋体"/>
          <w:sz w:val="24"/>
          <w:szCs w:val="24"/>
          <w:lang w:val="zh-CN"/>
        </w:rPr>
        <w:t>法定代表人：</w:t>
      </w:r>
      <w:r>
        <w:rPr>
          <w:rFonts w:hint="eastAsia" w:ascii="宋体" w:cs="宋体"/>
          <w:sz w:val="24"/>
          <w:szCs w:val="24"/>
          <w:u w:val="single"/>
          <w:lang w:val="zh-CN"/>
        </w:rPr>
        <w:tab/>
      </w:r>
      <w:r>
        <w:rPr>
          <w:rFonts w:hint="eastAsia" w:ascii="宋体" w:cs="宋体"/>
          <w:sz w:val="24"/>
          <w:szCs w:val="24"/>
          <w:u w:val="single"/>
          <w:lang w:val="zh-CN"/>
        </w:rPr>
        <w:t>（签字）</w:t>
      </w:r>
    </w:p>
    <w:p>
      <w:pPr>
        <w:spacing w:line="360" w:lineRule="auto"/>
        <w:ind w:firstLine="480" w:firstLineChars="200"/>
        <w:jc w:val="left"/>
        <w:rPr>
          <w:rFonts w:ascii="宋体" w:cs="宋体"/>
          <w:sz w:val="24"/>
          <w:szCs w:val="24"/>
          <w:u w:val="single"/>
          <w:lang w:val="zh-CN"/>
        </w:rPr>
      </w:pPr>
      <w:r>
        <w:rPr>
          <w:rFonts w:hint="eastAsia" w:ascii="宋体" w:cs="宋体"/>
          <w:sz w:val="24"/>
          <w:szCs w:val="24"/>
          <w:lang w:val="zh-CN"/>
        </w:rPr>
        <w:t>授权委托人：</w:t>
      </w:r>
      <w:r>
        <w:rPr>
          <w:rFonts w:hint="eastAsia" w:ascii="宋体" w:cs="宋体"/>
          <w:sz w:val="24"/>
          <w:szCs w:val="24"/>
          <w:u w:val="single"/>
          <w:lang w:val="zh-CN"/>
        </w:rPr>
        <w:tab/>
      </w:r>
      <w:r>
        <w:rPr>
          <w:rFonts w:hint="eastAsia" w:ascii="宋体" w:cs="宋体"/>
          <w:sz w:val="24"/>
          <w:szCs w:val="24"/>
          <w:u w:val="single"/>
          <w:lang w:val="zh-CN"/>
        </w:rPr>
        <w:t>（签字）</w:t>
      </w:r>
    </w:p>
    <w:p>
      <w:pPr>
        <w:pStyle w:val="3"/>
        <w:spacing w:after="120"/>
        <w:rPr>
          <w:rFonts w:ascii="宋体" w:cs="宋体"/>
          <w:sz w:val="24"/>
          <w:szCs w:val="24"/>
          <w:u w:val="single"/>
          <w:lang w:val="zh-CN"/>
        </w:rPr>
      </w:pPr>
    </w:p>
    <w:p>
      <w:pPr>
        <w:rPr>
          <w:rFonts w:ascii="宋体" w:cs="宋体"/>
          <w:sz w:val="24"/>
          <w:szCs w:val="24"/>
          <w:u w:val="single"/>
          <w:lang w:val="zh-CN"/>
        </w:rPr>
      </w:pPr>
    </w:p>
    <w:tbl>
      <w:tblPr>
        <w:tblStyle w:val="27"/>
        <w:tblW w:w="5007" w:type="pct"/>
        <w:tblInd w:w="0" w:type="dxa"/>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Layout w:type="autofit"/>
        <w:tblCellMar>
          <w:top w:w="0" w:type="dxa"/>
          <w:left w:w="0" w:type="dxa"/>
          <w:bottom w:w="0" w:type="dxa"/>
          <w:right w:w="0" w:type="dxa"/>
        </w:tblCellMar>
      </w:tblPr>
      <w:tblGrid>
        <w:gridCol w:w="4958"/>
        <w:gridCol w:w="4812"/>
      </w:tblGrid>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1482" w:hRule="atLeast"/>
        </w:trPr>
        <w:tc>
          <w:tcPr>
            <w:tcW w:w="2537" w:type="pct"/>
            <w:tcBorders>
              <w:bottom w:val="double" w:color="B3C2D7" w:sz="2" w:space="0"/>
            </w:tcBorders>
            <w:shd w:val="clear" w:color="auto" w:fill="EDEDED"/>
          </w:tcPr>
          <w:p>
            <w:pPr>
              <w:pStyle w:val="40"/>
              <w:spacing w:before="48"/>
              <w:ind w:left="1629" w:right="1569"/>
              <w:jc w:val="center"/>
              <w:rPr>
                <w:rFonts w:ascii="宋体" w:eastAsia="宋体" w:cs="宋体"/>
                <w:b/>
                <w:sz w:val="24"/>
                <w:szCs w:val="24"/>
              </w:rPr>
            </w:pPr>
            <w:r>
              <w:rPr>
                <w:rFonts w:hint="eastAsia" w:ascii="宋体" w:eastAsia="宋体" w:cs="宋体"/>
                <w:b/>
                <w:sz w:val="24"/>
                <w:szCs w:val="24"/>
              </w:rPr>
              <w:t>法定代表人身份证扫描件</w:t>
            </w:r>
          </w:p>
          <w:p>
            <w:pPr>
              <w:pStyle w:val="40"/>
              <w:rPr>
                <w:rFonts w:ascii="宋体" w:eastAsia="宋体" w:cs="宋体"/>
                <w:sz w:val="24"/>
                <w:szCs w:val="24"/>
              </w:rPr>
            </w:pPr>
          </w:p>
          <w:p>
            <w:pPr>
              <w:pStyle w:val="40"/>
              <w:rPr>
                <w:rFonts w:ascii="宋体" w:eastAsia="宋体" w:cs="宋体"/>
                <w:sz w:val="24"/>
                <w:szCs w:val="24"/>
              </w:rPr>
            </w:pPr>
          </w:p>
          <w:p>
            <w:pPr>
              <w:pStyle w:val="40"/>
              <w:spacing w:before="3"/>
              <w:rPr>
                <w:rFonts w:ascii="宋体" w:eastAsia="宋体" w:cs="宋体"/>
                <w:sz w:val="24"/>
                <w:szCs w:val="24"/>
              </w:rPr>
            </w:pPr>
          </w:p>
          <w:p>
            <w:pPr>
              <w:pStyle w:val="40"/>
              <w:ind w:left="1560" w:right="1569"/>
              <w:jc w:val="center"/>
              <w:rPr>
                <w:rFonts w:ascii="宋体" w:eastAsia="宋体" w:cs="宋体"/>
                <w:b/>
                <w:sz w:val="24"/>
                <w:szCs w:val="24"/>
              </w:rPr>
            </w:pPr>
            <w:r>
              <w:rPr>
                <w:rFonts w:hint="eastAsia" w:ascii="宋体" w:eastAsia="宋体" w:cs="宋体"/>
                <w:b/>
                <w:sz w:val="24"/>
                <w:szCs w:val="24"/>
              </w:rPr>
              <w:t>正面</w:t>
            </w:r>
          </w:p>
        </w:tc>
        <w:tc>
          <w:tcPr>
            <w:tcW w:w="2462" w:type="pct"/>
            <w:tcBorders>
              <w:bottom w:val="double" w:color="B3C2D7" w:sz="2" w:space="0"/>
            </w:tcBorders>
            <w:shd w:val="clear" w:color="auto" w:fill="EDEDED"/>
          </w:tcPr>
          <w:p>
            <w:pPr>
              <w:pStyle w:val="40"/>
              <w:spacing w:before="144"/>
              <w:ind w:left="1517" w:right="1525"/>
              <w:jc w:val="center"/>
              <w:rPr>
                <w:rFonts w:ascii="宋体" w:eastAsia="宋体" w:cs="宋体"/>
                <w:b/>
                <w:sz w:val="24"/>
                <w:szCs w:val="24"/>
              </w:rPr>
            </w:pPr>
            <w:r>
              <w:rPr>
                <w:rFonts w:hint="eastAsia" w:ascii="宋体" w:eastAsia="宋体" w:cs="宋体"/>
                <w:b/>
                <w:sz w:val="24"/>
                <w:szCs w:val="24"/>
              </w:rPr>
              <w:t>法定代表人身份证扫描件</w:t>
            </w:r>
          </w:p>
          <w:p>
            <w:pPr>
              <w:pStyle w:val="40"/>
              <w:rPr>
                <w:rFonts w:ascii="宋体" w:eastAsia="宋体" w:cs="宋体"/>
                <w:sz w:val="24"/>
                <w:szCs w:val="24"/>
              </w:rPr>
            </w:pPr>
          </w:p>
          <w:p>
            <w:pPr>
              <w:pStyle w:val="40"/>
              <w:rPr>
                <w:rFonts w:ascii="宋体" w:eastAsia="宋体" w:cs="宋体"/>
                <w:sz w:val="24"/>
                <w:szCs w:val="24"/>
              </w:rPr>
            </w:pPr>
          </w:p>
          <w:p>
            <w:pPr>
              <w:pStyle w:val="40"/>
              <w:spacing w:before="3"/>
              <w:rPr>
                <w:rFonts w:ascii="宋体" w:eastAsia="宋体" w:cs="宋体"/>
                <w:sz w:val="24"/>
                <w:szCs w:val="24"/>
              </w:rPr>
            </w:pPr>
          </w:p>
          <w:p>
            <w:pPr>
              <w:pStyle w:val="40"/>
              <w:ind w:left="1445" w:right="1525"/>
              <w:jc w:val="center"/>
              <w:rPr>
                <w:rFonts w:ascii="宋体" w:eastAsia="宋体" w:cs="宋体"/>
                <w:b/>
                <w:sz w:val="24"/>
                <w:szCs w:val="24"/>
              </w:rPr>
            </w:pPr>
            <w:r>
              <w:rPr>
                <w:rFonts w:hint="eastAsia" w:ascii="宋体" w:eastAsia="宋体" w:cs="宋体"/>
                <w:b/>
                <w:sz w:val="24"/>
                <w:szCs w:val="24"/>
              </w:rPr>
              <w:t>反面</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1482" w:hRule="atLeast"/>
        </w:trPr>
        <w:tc>
          <w:tcPr>
            <w:tcW w:w="2537" w:type="pct"/>
            <w:tcBorders>
              <w:top w:val="double" w:color="B3C2D7" w:sz="2" w:space="0"/>
            </w:tcBorders>
            <w:shd w:val="clear" w:color="auto" w:fill="EDEDED"/>
          </w:tcPr>
          <w:p>
            <w:pPr>
              <w:pStyle w:val="40"/>
              <w:spacing w:before="69"/>
              <w:ind w:left="1629" w:right="1569"/>
              <w:jc w:val="center"/>
              <w:rPr>
                <w:rFonts w:ascii="宋体" w:eastAsia="宋体" w:cs="宋体"/>
                <w:b/>
                <w:sz w:val="24"/>
                <w:szCs w:val="24"/>
              </w:rPr>
            </w:pPr>
            <w:r>
              <w:rPr>
                <w:rFonts w:hint="eastAsia" w:ascii="宋体" w:eastAsia="宋体" w:cs="宋体"/>
                <w:b/>
                <w:sz w:val="24"/>
                <w:szCs w:val="24"/>
              </w:rPr>
              <w:t>授权委托人身份证扫描件</w:t>
            </w:r>
          </w:p>
          <w:p>
            <w:pPr>
              <w:pStyle w:val="40"/>
              <w:rPr>
                <w:rFonts w:ascii="宋体" w:eastAsia="宋体" w:cs="宋体"/>
                <w:sz w:val="24"/>
                <w:szCs w:val="24"/>
              </w:rPr>
            </w:pPr>
          </w:p>
          <w:p>
            <w:pPr>
              <w:pStyle w:val="40"/>
              <w:rPr>
                <w:rFonts w:ascii="宋体" w:eastAsia="宋体" w:cs="宋体"/>
                <w:sz w:val="24"/>
                <w:szCs w:val="24"/>
              </w:rPr>
            </w:pPr>
          </w:p>
          <w:p>
            <w:pPr>
              <w:pStyle w:val="40"/>
              <w:spacing w:before="3"/>
              <w:rPr>
                <w:rFonts w:ascii="宋体" w:eastAsia="宋体" w:cs="宋体"/>
                <w:sz w:val="24"/>
                <w:szCs w:val="24"/>
              </w:rPr>
            </w:pPr>
          </w:p>
          <w:p>
            <w:pPr>
              <w:pStyle w:val="40"/>
              <w:ind w:left="1560" w:right="1569"/>
              <w:jc w:val="center"/>
              <w:rPr>
                <w:rFonts w:ascii="宋体" w:eastAsia="宋体" w:cs="宋体"/>
                <w:b/>
                <w:sz w:val="24"/>
                <w:szCs w:val="24"/>
              </w:rPr>
            </w:pPr>
            <w:r>
              <w:rPr>
                <w:rFonts w:hint="eastAsia" w:ascii="宋体" w:eastAsia="宋体" w:cs="宋体"/>
                <w:b/>
                <w:sz w:val="24"/>
                <w:szCs w:val="24"/>
              </w:rPr>
              <w:t>正面</w:t>
            </w:r>
          </w:p>
        </w:tc>
        <w:tc>
          <w:tcPr>
            <w:tcW w:w="2462" w:type="pct"/>
            <w:tcBorders>
              <w:top w:val="double" w:color="B3C2D7" w:sz="2" w:space="0"/>
            </w:tcBorders>
            <w:shd w:val="clear" w:color="auto" w:fill="EDEDED"/>
          </w:tcPr>
          <w:p>
            <w:pPr>
              <w:pStyle w:val="40"/>
              <w:spacing w:before="11"/>
              <w:rPr>
                <w:rFonts w:ascii="宋体" w:eastAsia="宋体" w:cs="宋体"/>
                <w:sz w:val="24"/>
                <w:szCs w:val="24"/>
              </w:rPr>
            </w:pPr>
          </w:p>
          <w:p>
            <w:pPr>
              <w:pStyle w:val="40"/>
              <w:spacing w:before="1"/>
              <w:ind w:left="1517" w:right="1525"/>
              <w:jc w:val="center"/>
              <w:rPr>
                <w:rFonts w:ascii="宋体" w:eastAsia="宋体" w:cs="宋体"/>
                <w:b/>
                <w:sz w:val="24"/>
                <w:szCs w:val="24"/>
              </w:rPr>
            </w:pPr>
            <w:r>
              <w:rPr>
                <w:rFonts w:hint="eastAsia" w:ascii="宋体" w:eastAsia="宋体" w:cs="宋体"/>
                <w:b/>
                <w:sz w:val="24"/>
                <w:szCs w:val="24"/>
              </w:rPr>
              <w:t>授权委托人身份证扫描件</w:t>
            </w:r>
          </w:p>
          <w:p>
            <w:pPr>
              <w:pStyle w:val="40"/>
              <w:rPr>
                <w:rFonts w:ascii="宋体" w:eastAsia="宋体" w:cs="宋体"/>
                <w:sz w:val="24"/>
                <w:szCs w:val="24"/>
              </w:rPr>
            </w:pPr>
          </w:p>
          <w:p>
            <w:pPr>
              <w:pStyle w:val="40"/>
              <w:rPr>
                <w:rFonts w:ascii="宋体" w:eastAsia="宋体" w:cs="宋体"/>
                <w:sz w:val="24"/>
                <w:szCs w:val="24"/>
              </w:rPr>
            </w:pPr>
          </w:p>
          <w:p>
            <w:pPr>
              <w:pStyle w:val="40"/>
              <w:spacing w:before="2"/>
              <w:rPr>
                <w:rFonts w:ascii="宋体" w:eastAsia="宋体" w:cs="宋体"/>
                <w:sz w:val="24"/>
                <w:szCs w:val="24"/>
              </w:rPr>
            </w:pPr>
          </w:p>
          <w:p>
            <w:pPr>
              <w:pStyle w:val="40"/>
              <w:ind w:left="1445" w:right="1525"/>
              <w:jc w:val="center"/>
              <w:rPr>
                <w:rFonts w:ascii="宋体" w:eastAsia="宋体" w:cs="宋体"/>
                <w:b/>
                <w:sz w:val="24"/>
                <w:szCs w:val="24"/>
              </w:rPr>
            </w:pPr>
            <w:r>
              <w:rPr>
                <w:rFonts w:hint="eastAsia" w:ascii="宋体" w:eastAsia="宋体" w:cs="宋体"/>
                <w:b/>
                <w:sz w:val="24"/>
                <w:szCs w:val="24"/>
              </w:rPr>
              <w:t>反面</w:t>
            </w:r>
          </w:p>
        </w:tc>
      </w:tr>
    </w:tbl>
    <w:p>
      <w:pPr>
        <w:pStyle w:val="3"/>
        <w:spacing w:after="120"/>
        <w:rPr>
          <w:rFonts w:ascii="宋体" w:cs="宋体"/>
          <w:sz w:val="24"/>
          <w:szCs w:val="24"/>
          <w:lang w:val="zh-CN"/>
        </w:rPr>
      </w:pPr>
    </w:p>
    <w:p>
      <w:pPr>
        <w:rPr>
          <w:rFonts w:ascii="宋体" w:cs="宋体"/>
          <w:sz w:val="24"/>
          <w:szCs w:val="24"/>
        </w:rPr>
      </w:pPr>
    </w:p>
    <w:p>
      <w:pPr>
        <w:jc w:val="right"/>
        <w:rPr>
          <w:rFonts w:ascii="宋体" w:cs="宋体"/>
          <w:sz w:val="24"/>
          <w:szCs w:val="24"/>
        </w:rPr>
      </w:pPr>
      <w:r>
        <w:rPr>
          <w:rFonts w:hint="eastAsia" w:ascii="宋体" w:cs="宋体"/>
          <w:sz w:val="24"/>
          <w:szCs w:val="24"/>
        </w:rPr>
        <w:tab/>
      </w:r>
      <w:r>
        <w:rPr>
          <w:rFonts w:hint="eastAsia" w:ascii="宋体" w:cs="宋体"/>
          <w:sz w:val="24"/>
          <w:szCs w:val="24"/>
        </w:rPr>
        <w:t>年</w:t>
      </w:r>
      <w:r>
        <w:rPr>
          <w:rFonts w:hint="eastAsia" w:ascii="宋体" w:cs="宋体"/>
          <w:sz w:val="24"/>
          <w:szCs w:val="24"/>
        </w:rPr>
        <w:tab/>
      </w:r>
      <w:r>
        <w:rPr>
          <w:rFonts w:hint="eastAsia" w:ascii="宋体" w:cs="宋体"/>
          <w:sz w:val="24"/>
          <w:szCs w:val="24"/>
        </w:rPr>
        <w:t>月</w:t>
      </w:r>
      <w:r>
        <w:rPr>
          <w:rFonts w:hint="eastAsia" w:ascii="宋体" w:cs="宋体"/>
          <w:sz w:val="24"/>
          <w:szCs w:val="24"/>
        </w:rPr>
        <w:tab/>
      </w:r>
      <w:r>
        <w:rPr>
          <w:rFonts w:hint="eastAsia" w:ascii="宋体" w:cs="宋体"/>
          <w:sz w:val="24"/>
          <w:szCs w:val="24"/>
        </w:rPr>
        <w:t>日</w:t>
      </w:r>
    </w:p>
    <w:p>
      <w:pPr>
        <w:pStyle w:val="3"/>
        <w:spacing w:after="120"/>
        <w:rPr>
          <w:rFonts w:ascii="宋体" w:cs="宋体"/>
          <w:sz w:val="24"/>
          <w:szCs w:val="24"/>
        </w:rPr>
      </w:pPr>
    </w:p>
    <w:p>
      <w:pPr>
        <w:rPr>
          <w:rFonts w:ascii="宋体" w:cs="宋体"/>
          <w:sz w:val="24"/>
          <w:szCs w:val="24"/>
        </w:rPr>
      </w:pPr>
    </w:p>
    <w:p>
      <w:pPr>
        <w:pStyle w:val="3"/>
        <w:spacing w:after="120"/>
        <w:rPr>
          <w:rFonts w:ascii="宋体" w:cs="宋体"/>
          <w:sz w:val="24"/>
          <w:szCs w:val="24"/>
        </w:rPr>
      </w:pPr>
    </w:p>
    <w:p>
      <w:pPr>
        <w:rPr>
          <w:rFonts w:ascii="宋体" w:cs="宋体"/>
          <w:sz w:val="24"/>
          <w:szCs w:val="24"/>
        </w:rPr>
      </w:pPr>
      <w:r>
        <w:rPr>
          <w:rFonts w:hint="eastAsia" w:ascii="宋体" w:cs="宋体"/>
          <w:sz w:val="24"/>
          <w:szCs w:val="24"/>
        </w:rPr>
        <w:br w:type="page"/>
      </w:r>
    </w:p>
    <w:p>
      <w:pPr>
        <w:ind w:firstLine="3200" w:firstLineChars="1000"/>
        <w:rPr>
          <w:rFonts w:ascii="宋体" w:cs="宋体"/>
          <w:sz w:val="32"/>
          <w:szCs w:val="32"/>
        </w:rPr>
      </w:pPr>
      <w:bookmarkStart w:id="11" w:name="_Toc4322"/>
      <w:r>
        <w:rPr>
          <w:rFonts w:hint="eastAsia" w:ascii="宋体" w:cs="宋体"/>
          <w:sz w:val="32"/>
          <w:szCs w:val="32"/>
          <w:lang w:eastAsia="zh-CN"/>
        </w:rPr>
        <w:t>四</w:t>
      </w:r>
      <w:r>
        <w:rPr>
          <w:rFonts w:hint="eastAsia" w:ascii="宋体" w:cs="宋体"/>
          <w:sz w:val="32"/>
          <w:szCs w:val="32"/>
        </w:rPr>
        <w:t>、供应商基本情况表</w:t>
      </w:r>
      <w:bookmarkEnd w:id="11"/>
    </w:p>
    <w:p>
      <w:pPr>
        <w:pStyle w:val="3"/>
        <w:spacing w:after="120"/>
        <w:rPr>
          <w:rFonts w:ascii="宋体" w:cs="宋体"/>
          <w:sz w:val="24"/>
          <w:szCs w:val="24"/>
        </w:rPr>
      </w:pPr>
    </w:p>
    <w:tbl>
      <w:tblPr>
        <w:tblStyle w:val="27"/>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870"/>
        <w:gridCol w:w="2014"/>
        <w:gridCol w:w="2442"/>
        <w:gridCol w:w="24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469" w:type="pct"/>
          </w:tcPr>
          <w:p>
            <w:pPr>
              <w:pStyle w:val="40"/>
              <w:spacing w:before="48" w:line="480" w:lineRule="auto"/>
              <w:ind w:left="728" w:right="717"/>
              <w:jc w:val="center"/>
              <w:rPr>
                <w:rFonts w:ascii="宋体" w:eastAsia="宋体" w:cs="宋体"/>
                <w:sz w:val="24"/>
                <w:szCs w:val="24"/>
              </w:rPr>
            </w:pPr>
            <w:r>
              <w:rPr>
                <w:rFonts w:hint="eastAsia" w:ascii="宋体" w:eastAsia="宋体" w:cs="宋体"/>
                <w:sz w:val="24"/>
                <w:szCs w:val="24"/>
              </w:rPr>
              <w:t>供应商名称</w:t>
            </w:r>
          </w:p>
        </w:tc>
        <w:tc>
          <w:tcPr>
            <w:tcW w:w="3530" w:type="pct"/>
            <w:gridSpan w:val="3"/>
          </w:tcPr>
          <w:p>
            <w:pPr>
              <w:pStyle w:val="40"/>
              <w:spacing w:line="480" w:lineRule="auto"/>
              <w:rPr>
                <w:rFonts w:asci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469" w:type="pct"/>
            <w:shd w:val="clear" w:color="auto" w:fill="F6F6F6"/>
          </w:tcPr>
          <w:p>
            <w:pPr>
              <w:pStyle w:val="40"/>
              <w:spacing w:before="48" w:line="480" w:lineRule="auto"/>
              <w:ind w:left="728" w:right="717"/>
              <w:jc w:val="center"/>
              <w:rPr>
                <w:rFonts w:ascii="宋体" w:eastAsia="宋体" w:cs="宋体"/>
                <w:sz w:val="24"/>
                <w:szCs w:val="24"/>
              </w:rPr>
            </w:pPr>
            <w:r>
              <w:rPr>
                <w:rFonts w:hint="eastAsia" w:ascii="宋体" w:eastAsia="宋体" w:cs="宋体"/>
                <w:sz w:val="24"/>
                <w:szCs w:val="24"/>
              </w:rPr>
              <w:t>所有制性质</w:t>
            </w:r>
          </w:p>
        </w:tc>
        <w:tc>
          <w:tcPr>
            <w:tcW w:w="1031" w:type="pct"/>
            <w:shd w:val="clear" w:color="auto" w:fill="F6F6F6"/>
          </w:tcPr>
          <w:p>
            <w:pPr>
              <w:pStyle w:val="40"/>
              <w:spacing w:line="480" w:lineRule="auto"/>
              <w:rPr>
                <w:rFonts w:ascii="宋体" w:eastAsia="宋体" w:cs="宋体"/>
                <w:sz w:val="24"/>
                <w:szCs w:val="24"/>
              </w:rPr>
            </w:pPr>
          </w:p>
        </w:tc>
        <w:tc>
          <w:tcPr>
            <w:tcW w:w="1250" w:type="pct"/>
            <w:shd w:val="clear" w:color="auto" w:fill="F6F6F6"/>
          </w:tcPr>
          <w:p>
            <w:pPr>
              <w:pStyle w:val="40"/>
              <w:spacing w:before="48" w:line="480" w:lineRule="auto"/>
              <w:ind w:right="921"/>
              <w:jc w:val="right"/>
              <w:rPr>
                <w:rFonts w:ascii="宋体" w:eastAsia="宋体" w:cs="宋体"/>
                <w:sz w:val="24"/>
                <w:szCs w:val="24"/>
              </w:rPr>
            </w:pPr>
            <w:r>
              <w:rPr>
                <w:rFonts w:hint="eastAsia" w:ascii="宋体" w:eastAsia="宋体" w:cs="宋体"/>
                <w:sz w:val="24"/>
                <w:szCs w:val="24"/>
              </w:rPr>
              <w:t>注册资金</w:t>
            </w:r>
          </w:p>
        </w:tc>
        <w:tc>
          <w:tcPr>
            <w:tcW w:w="1248" w:type="pct"/>
            <w:shd w:val="clear" w:color="auto" w:fill="F6F6F6"/>
          </w:tcPr>
          <w:p>
            <w:pPr>
              <w:pStyle w:val="40"/>
              <w:spacing w:line="480" w:lineRule="auto"/>
              <w:rPr>
                <w:rFonts w:asci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469" w:type="pct"/>
          </w:tcPr>
          <w:p>
            <w:pPr>
              <w:pStyle w:val="40"/>
              <w:spacing w:before="48" w:line="480" w:lineRule="auto"/>
              <w:ind w:left="728" w:right="717"/>
              <w:jc w:val="center"/>
              <w:rPr>
                <w:rFonts w:ascii="宋体" w:eastAsia="宋体" w:cs="宋体"/>
                <w:sz w:val="24"/>
                <w:szCs w:val="24"/>
              </w:rPr>
            </w:pPr>
            <w:r>
              <w:rPr>
                <w:rFonts w:hint="eastAsia" w:ascii="宋体" w:eastAsia="宋体" w:cs="宋体"/>
                <w:sz w:val="24"/>
                <w:szCs w:val="24"/>
              </w:rPr>
              <w:t>注册地</w:t>
            </w:r>
          </w:p>
        </w:tc>
        <w:tc>
          <w:tcPr>
            <w:tcW w:w="1031" w:type="pct"/>
          </w:tcPr>
          <w:p>
            <w:pPr>
              <w:pStyle w:val="40"/>
              <w:spacing w:line="480" w:lineRule="auto"/>
              <w:rPr>
                <w:rFonts w:ascii="宋体" w:eastAsia="宋体" w:cs="宋体"/>
                <w:sz w:val="24"/>
                <w:szCs w:val="24"/>
              </w:rPr>
            </w:pPr>
          </w:p>
        </w:tc>
        <w:tc>
          <w:tcPr>
            <w:tcW w:w="1250" w:type="pct"/>
          </w:tcPr>
          <w:p>
            <w:pPr>
              <w:pStyle w:val="40"/>
              <w:spacing w:before="48" w:line="480" w:lineRule="auto"/>
              <w:ind w:right="921"/>
              <w:jc w:val="right"/>
              <w:rPr>
                <w:rFonts w:ascii="宋体" w:eastAsia="宋体" w:cs="宋体"/>
                <w:sz w:val="24"/>
                <w:szCs w:val="24"/>
              </w:rPr>
            </w:pPr>
            <w:r>
              <w:rPr>
                <w:rFonts w:hint="eastAsia" w:ascii="宋体" w:eastAsia="宋体" w:cs="宋体"/>
                <w:sz w:val="24"/>
                <w:szCs w:val="24"/>
              </w:rPr>
              <w:t>注册时间</w:t>
            </w:r>
          </w:p>
        </w:tc>
        <w:tc>
          <w:tcPr>
            <w:tcW w:w="1248" w:type="pct"/>
          </w:tcPr>
          <w:p>
            <w:pPr>
              <w:pStyle w:val="40"/>
              <w:spacing w:line="480" w:lineRule="auto"/>
              <w:rPr>
                <w:rFonts w:asci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469" w:type="pct"/>
            <w:shd w:val="clear" w:color="auto" w:fill="F6F6F6"/>
          </w:tcPr>
          <w:p>
            <w:pPr>
              <w:pStyle w:val="40"/>
              <w:spacing w:before="48" w:line="480" w:lineRule="auto"/>
              <w:ind w:left="728" w:right="717"/>
              <w:jc w:val="center"/>
              <w:rPr>
                <w:rFonts w:ascii="宋体" w:eastAsia="宋体" w:cs="宋体"/>
                <w:sz w:val="24"/>
                <w:szCs w:val="24"/>
              </w:rPr>
            </w:pPr>
            <w:r>
              <w:rPr>
                <w:rFonts w:hint="eastAsia" w:ascii="宋体" w:eastAsia="宋体" w:cs="宋体"/>
                <w:sz w:val="24"/>
                <w:szCs w:val="24"/>
              </w:rPr>
              <w:t>法定代表人</w:t>
            </w:r>
          </w:p>
        </w:tc>
        <w:tc>
          <w:tcPr>
            <w:tcW w:w="1031" w:type="pct"/>
            <w:shd w:val="clear" w:color="auto" w:fill="F6F6F6"/>
          </w:tcPr>
          <w:p>
            <w:pPr>
              <w:pStyle w:val="40"/>
              <w:spacing w:line="480" w:lineRule="auto"/>
              <w:rPr>
                <w:rFonts w:ascii="宋体" w:eastAsia="宋体" w:cs="宋体"/>
                <w:sz w:val="24"/>
                <w:szCs w:val="24"/>
              </w:rPr>
            </w:pPr>
          </w:p>
        </w:tc>
        <w:tc>
          <w:tcPr>
            <w:tcW w:w="1250" w:type="pct"/>
            <w:shd w:val="clear" w:color="auto" w:fill="F6F6F6"/>
          </w:tcPr>
          <w:p>
            <w:pPr>
              <w:pStyle w:val="40"/>
              <w:spacing w:before="48" w:line="480" w:lineRule="auto"/>
              <w:ind w:right="921"/>
              <w:jc w:val="right"/>
              <w:rPr>
                <w:rFonts w:ascii="宋体" w:eastAsia="宋体" w:cs="宋体"/>
                <w:sz w:val="24"/>
                <w:szCs w:val="24"/>
              </w:rPr>
            </w:pPr>
            <w:r>
              <w:rPr>
                <w:rFonts w:hint="eastAsia" w:ascii="宋体" w:eastAsia="宋体" w:cs="宋体"/>
                <w:sz w:val="24"/>
                <w:szCs w:val="24"/>
              </w:rPr>
              <w:t>员工总数</w:t>
            </w:r>
          </w:p>
        </w:tc>
        <w:tc>
          <w:tcPr>
            <w:tcW w:w="1248" w:type="pct"/>
            <w:shd w:val="clear" w:color="auto" w:fill="F6F6F6"/>
          </w:tcPr>
          <w:p>
            <w:pPr>
              <w:pStyle w:val="40"/>
              <w:spacing w:line="480" w:lineRule="auto"/>
              <w:rPr>
                <w:rFonts w:asci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469" w:type="pct"/>
          </w:tcPr>
          <w:p>
            <w:pPr>
              <w:pStyle w:val="40"/>
              <w:spacing w:before="48" w:line="480" w:lineRule="auto"/>
              <w:ind w:left="728" w:right="717"/>
              <w:jc w:val="center"/>
              <w:rPr>
                <w:rFonts w:ascii="宋体" w:eastAsia="宋体" w:cs="宋体"/>
                <w:sz w:val="24"/>
                <w:szCs w:val="24"/>
              </w:rPr>
            </w:pPr>
            <w:r>
              <w:rPr>
                <w:rFonts w:hint="eastAsia" w:ascii="宋体" w:eastAsia="宋体" w:cs="宋体"/>
                <w:sz w:val="24"/>
                <w:szCs w:val="24"/>
              </w:rPr>
              <w:t>联系人</w:t>
            </w:r>
          </w:p>
        </w:tc>
        <w:tc>
          <w:tcPr>
            <w:tcW w:w="1031" w:type="pct"/>
          </w:tcPr>
          <w:p>
            <w:pPr>
              <w:pStyle w:val="40"/>
              <w:spacing w:line="480" w:lineRule="auto"/>
              <w:rPr>
                <w:rFonts w:ascii="宋体" w:eastAsia="宋体" w:cs="宋体"/>
                <w:sz w:val="24"/>
                <w:szCs w:val="24"/>
              </w:rPr>
            </w:pPr>
          </w:p>
        </w:tc>
        <w:tc>
          <w:tcPr>
            <w:tcW w:w="1250" w:type="pct"/>
          </w:tcPr>
          <w:p>
            <w:pPr>
              <w:pStyle w:val="40"/>
              <w:spacing w:before="48" w:line="480" w:lineRule="auto"/>
              <w:ind w:right="921"/>
              <w:jc w:val="right"/>
              <w:rPr>
                <w:rFonts w:ascii="宋体" w:eastAsia="宋体" w:cs="宋体"/>
                <w:sz w:val="24"/>
                <w:szCs w:val="24"/>
              </w:rPr>
            </w:pPr>
            <w:r>
              <w:rPr>
                <w:rFonts w:hint="eastAsia" w:ascii="宋体" w:eastAsia="宋体" w:cs="宋体"/>
                <w:sz w:val="24"/>
                <w:szCs w:val="24"/>
              </w:rPr>
              <w:t>联系电话</w:t>
            </w:r>
          </w:p>
        </w:tc>
        <w:tc>
          <w:tcPr>
            <w:tcW w:w="1248" w:type="pct"/>
          </w:tcPr>
          <w:p>
            <w:pPr>
              <w:pStyle w:val="40"/>
              <w:spacing w:line="480" w:lineRule="auto"/>
              <w:rPr>
                <w:rFonts w:asci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469" w:type="pct"/>
            <w:shd w:val="clear" w:color="auto" w:fill="F6F6F6"/>
          </w:tcPr>
          <w:p>
            <w:pPr>
              <w:pStyle w:val="40"/>
              <w:spacing w:before="48" w:line="480" w:lineRule="auto"/>
              <w:ind w:left="728" w:right="717"/>
              <w:jc w:val="center"/>
              <w:rPr>
                <w:rFonts w:ascii="宋体" w:eastAsia="宋体" w:cs="宋体"/>
                <w:sz w:val="24"/>
                <w:szCs w:val="24"/>
              </w:rPr>
            </w:pPr>
            <w:r>
              <w:rPr>
                <w:rFonts w:hint="eastAsia" w:ascii="宋体" w:eastAsia="宋体" w:cs="宋体"/>
                <w:sz w:val="24"/>
                <w:szCs w:val="24"/>
              </w:rPr>
              <w:t>开户银行</w:t>
            </w:r>
          </w:p>
        </w:tc>
        <w:tc>
          <w:tcPr>
            <w:tcW w:w="3530" w:type="pct"/>
            <w:gridSpan w:val="3"/>
            <w:shd w:val="clear" w:color="auto" w:fill="F6F6F6"/>
          </w:tcPr>
          <w:p>
            <w:pPr>
              <w:pStyle w:val="40"/>
              <w:spacing w:line="480" w:lineRule="auto"/>
              <w:rPr>
                <w:rFonts w:asci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1469" w:type="pct"/>
          </w:tcPr>
          <w:p>
            <w:pPr>
              <w:pStyle w:val="40"/>
              <w:spacing w:before="48" w:line="480" w:lineRule="auto"/>
              <w:ind w:left="728" w:right="717"/>
              <w:jc w:val="center"/>
              <w:rPr>
                <w:rFonts w:ascii="宋体" w:eastAsia="宋体" w:cs="宋体"/>
                <w:sz w:val="24"/>
                <w:szCs w:val="24"/>
              </w:rPr>
            </w:pPr>
            <w:r>
              <w:rPr>
                <w:rFonts w:hint="eastAsia" w:ascii="宋体" w:eastAsia="宋体" w:cs="宋体"/>
                <w:sz w:val="24"/>
                <w:szCs w:val="24"/>
              </w:rPr>
              <w:t>开户银行账号</w:t>
            </w:r>
          </w:p>
        </w:tc>
        <w:tc>
          <w:tcPr>
            <w:tcW w:w="3530" w:type="pct"/>
            <w:gridSpan w:val="3"/>
          </w:tcPr>
          <w:p>
            <w:pPr>
              <w:pStyle w:val="40"/>
              <w:spacing w:line="480" w:lineRule="auto"/>
              <w:rPr>
                <w:rFonts w:asci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5000" w:type="pct"/>
            <w:gridSpan w:val="4"/>
            <w:shd w:val="clear" w:color="auto" w:fill="F6F6F6"/>
          </w:tcPr>
          <w:p>
            <w:pPr>
              <w:pStyle w:val="40"/>
              <w:spacing w:before="48" w:line="480" w:lineRule="auto"/>
              <w:ind w:left="64"/>
              <w:rPr>
                <w:rFonts w:ascii="宋体" w:eastAsia="宋体" w:cs="宋体"/>
                <w:sz w:val="24"/>
                <w:szCs w:val="24"/>
              </w:rPr>
            </w:pPr>
            <w:r>
              <w:rPr>
                <w:rFonts w:hint="eastAsia" w:ascii="宋体" w:eastAsia="宋体" w:cs="宋体"/>
                <w:sz w:val="24"/>
                <w:szCs w:val="24"/>
              </w:rPr>
              <w:t>主营范围：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7" w:hRule="atLeast"/>
        </w:trPr>
        <w:tc>
          <w:tcPr>
            <w:tcW w:w="5000" w:type="pct"/>
            <w:gridSpan w:val="4"/>
          </w:tcPr>
          <w:p>
            <w:pPr>
              <w:pStyle w:val="40"/>
              <w:spacing w:before="48" w:line="480" w:lineRule="auto"/>
              <w:ind w:left="64"/>
              <w:rPr>
                <w:rFonts w:ascii="宋体" w:eastAsia="宋体" w:cs="宋体"/>
                <w:sz w:val="24"/>
                <w:szCs w:val="24"/>
              </w:rPr>
            </w:pPr>
            <w:r>
              <w:rPr>
                <w:rFonts w:hint="eastAsia" w:ascii="宋体" w:eastAsia="宋体" w:cs="宋体"/>
                <w:sz w:val="24"/>
                <w:szCs w:val="24"/>
              </w:rPr>
              <w:t>企业资质：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trPr>
        <w:tc>
          <w:tcPr>
            <w:tcW w:w="5000" w:type="pct"/>
            <w:gridSpan w:val="4"/>
            <w:shd w:val="clear" w:color="auto" w:fill="F6F6F6"/>
          </w:tcPr>
          <w:p>
            <w:pPr>
              <w:pStyle w:val="40"/>
              <w:spacing w:before="48" w:line="480" w:lineRule="auto"/>
              <w:ind w:left="64"/>
              <w:rPr>
                <w:rFonts w:ascii="宋体" w:eastAsia="宋体" w:cs="宋体"/>
                <w:sz w:val="24"/>
                <w:szCs w:val="24"/>
              </w:rPr>
            </w:pPr>
            <w:r>
              <w:rPr>
                <w:rFonts w:hint="eastAsia" w:ascii="宋体" w:eastAsia="宋体" w:cs="宋体"/>
                <w:sz w:val="24"/>
                <w:szCs w:val="24"/>
              </w:rPr>
              <w:t>注：投标单位须在该表后附法人或其他组织的营业执照副本、自然人的身份证明及招标公告中供应商资质要求的其他资质证明等。</w:t>
            </w:r>
          </w:p>
        </w:tc>
      </w:tr>
    </w:tbl>
    <w:p>
      <w:pPr>
        <w:pStyle w:val="3"/>
        <w:spacing w:after="120"/>
        <w:rPr>
          <w:rFonts w:ascii="宋体" w:cs="宋体"/>
          <w:sz w:val="24"/>
          <w:szCs w:val="24"/>
        </w:rPr>
      </w:pPr>
    </w:p>
    <w:p>
      <w:pPr>
        <w:rPr>
          <w:rFonts w:ascii="宋体" w:cs="宋体"/>
          <w:sz w:val="24"/>
          <w:szCs w:val="24"/>
        </w:rPr>
      </w:pPr>
    </w:p>
    <w:p>
      <w:pPr>
        <w:pStyle w:val="3"/>
        <w:spacing w:after="120"/>
        <w:rPr>
          <w:rFonts w:ascii="宋体" w:cs="宋体"/>
          <w:sz w:val="24"/>
          <w:szCs w:val="24"/>
        </w:rPr>
      </w:pPr>
    </w:p>
    <w:p>
      <w:pPr>
        <w:rPr>
          <w:rFonts w:ascii="宋体" w:cs="宋体"/>
          <w:sz w:val="24"/>
          <w:szCs w:val="24"/>
        </w:rPr>
      </w:pPr>
    </w:p>
    <w:p>
      <w:pPr>
        <w:pStyle w:val="3"/>
        <w:spacing w:after="120"/>
        <w:rPr>
          <w:rFonts w:ascii="宋体" w:cs="宋体"/>
          <w:sz w:val="24"/>
          <w:szCs w:val="24"/>
        </w:rPr>
      </w:pPr>
    </w:p>
    <w:p>
      <w:pPr>
        <w:rPr>
          <w:rFonts w:ascii="宋体" w:cs="宋体"/>
          <w:sz w:val="24"/>
          <w:szCs w:val="24"/>
        </w:rPr>
      </w:pPr>
    </w:p>
    <w:p>
      <w:pPr>
        <w:pStyle w:val="3"/>
        <w:spacing w:after="120"/>
        <w:rPr>
          <w:rFonts w:ascii="宋体" w:cs="宋体"/>
          <w:sz w:val="24"/>
          <w:szCs w:val="24"/>
        </w:rPr>
      </w:pPr>
    </w:p>
    <w:p>
      <w:pPr>
        <w:rPr>
          <w:rFonts w:ascii="宋体" w:cs="宋体"/>
          <w:sz w:val="24"/>
          <w:szCs w:val="24"/>
        </w:rPr>
      </w:pPr>
    </w:p>
    <w:p>
      <w:pPr>
        <w:pStyle w:val="3"/>
        <w:spacing w:after="120"/>
        <w:rPr>
          <w:rFonts w:ascii="宋体" w:cs="宋体"/>
          <w:sz w:val="24"/>
          <w:szCs w:val="24"/>
        </w:rPr>
      </w:pPr>
    </w:p>
    <w:p>
      <w:pPr>
        <w:rPr>
          <w:rFonts w:ascii="宋体" w:cs="宋体"/>
          <w:sz w:val="24"/>
          <w:szCs w:val="24"/>
        </w:rPr>
      </w:pPr>
    </w:p>
    <w:p>
      <w:pPr>
        <w:rPr>
          <w:rFonts w:ascii="宋体" w:cs="宋体"/>
        </w:rPr>
      </w:pPr>
      <w:bookmarkStart w:id="12" w:name="_Toc4105"/>
      <w:r>
        <w:rPr>
          <w:rFonts w:hint="eastAsia" w:ascii="宋体" w:cs="宋体"/>
        </w:rPr>
        <w:br w:type="page"/>
      </w:r>
    </w:p>
    <w:p>
      <w:pPr>
        <w:pStyle w:val="3"/>
        <w:spacing w:after="120"/>
        <w:jc w:val="center"/>
        <w:rPr>
          <w:rFonts w:ascii="宋体" w:cs="宋体"/>
        </w:rPr>
      </w:pPr>
      <w:r>
        <w:rPr>
          <w:rFonts w:hint="eastAsia" w:ascii="宋体" w:cs="宋体"/>
          <w:lang w:eastAsia="zh-CN"/>
        </w:rPr>
        <w:t>五</w:t>
      </w:r>
      <w:r>
        <w:rPr>
          <w:rFonts w:hint="eastAsia" w:ascii="宋体" w:cs="宋体"/>
        </w:rPr>
        <w:t>、</w:t>
      </w:r>
      <w:bookmarkEnd w:id="12"/>
      <w:bookmarkStart w:id="13" w:name="_Toc16343"/>
      <w:r>
        <w:rPr>
          <w:rFonts w:hint="eastAsia" w:ascii="宋体" w:cs="宋体"/>
        </w:rPr>
        <w:t>参加政府采购前三年内在经营活动中无重大违法记录书面声明</w:t>
      </w:r>
      <w:bookmarkEnd w:id="13"/>
    </w:p>
    <w:p>
      <w:pPr>
        <w:adjustRightInd w:val="0"/>
        <w:spacing w:line="360" w:lineRule="auto"/>
        <w:ind w:firstLine="480" w:firstLineChars="200"/>
        <w:jc w:val="left"/>
        <w:rPr>
          <w:rFonts w:ascii="宋体" w:cs="宋体"/>
          <w:sz w:val="24"/>
          <w:szCs w:val="24"/>
        </w:rPr>
      </w:pPr>
    </w:p>
    <w:p>
      <w:pPr>
        <w:adjustRightInd w:val="0"/>
        <w:spacing w:line="360" w:lineRule="auto"/>
        <w:ind w:firstLine="480" w:firstLineChars="200"/>
        <w:jc w:val="left"/>
        <w:rPr>
          <w:rFonts w:ascii="宋体" w:cs="宋体"/>
          <w:sz w:val="24"/>
          <w:szCs w:val="24"/>
        </w:rPr>
      </w:pPr>
      <w:r>
        <w:rPr>
          <w:rFonts w:hint="eastAsia" w:ascii="宋体"/>
          <w:kern w:val="0"/>
          <w:sz w:val="24"/>
          <w:szCs w:val="24"/>
        </w:rPr>
        <w:t>赤峰市</w:t>
      </w:r>
      <w:r>
        <w:rPr>
          <w:rFonts w:hint="eastAsia" w:ascii="宋体"/>
          <w:kern w:val="0"/>
          <w:sz w:val="24"/>
          <w:szCs w:val="24"/>
          <w:lang w:eastAsia="zh-CN"/>
        </w:rPr>
        <w:t>财政局</w:t>
      </w:r>
      <w:r>
        <w:rPr>
          <w:rFonts w:hint="eastAsia" w:ascii="宋体" w:cs="宋体"/>
          <w:sz w:val="24"/>
          <w:szCs w:val="24"/>
        </w:rPr>
        <w:t>：</w:t>
      </w:r>
    </w:p>
    <w:p>
      <w:pPr>
        <w:adjustRightInd w:val="0"/>
        <w:spacing w:line="360" w:lineRule="auto"/>
        <w:ind w:firstLine="480" w:firstLineChars="200"/>
        <w:jc w:val="left"/>
        <w:rPr>
          <w:rFonts w:ascii="宋体" w:cs="宋体"/>
          <w:sz w:val="24"/>
          <w:szCs w:val="24"/>
        </w:rPr>
      </w:pPr>
      <w:r>
        <w:rPr>
          <w:rFonts w:hint="eastAsia" w:ascii="宋体" w:cs="宋体"/>
          <w:sz w:val="24"/>
          <w:szCs w:val="24"/>
        </w:rPr>
        <w:t>我公司自愿参加本次政府采购活动</w:t>
      </w:r>
      <w:r>
        <w:rPr>
          <w:rFonts w:hint="eastAsia" w:ascii="宋体"/>
          <w:kern w:val="0"/>
          <w:sz w:val="24"/>
          <w:szCs w:val="24"/>
        </w:rPr>
        <w:t>(项目</w:t>
      </w:r>
      <w:r>
        <w:rPr>
          <w:rFonts w:hint="eastAsia" w:ascii="宋体" w:cs="宋体"/>
          <w:sz w:val="24"/>
          <w:szCs w:val="24"/>
        </w:rPr>
        <w:t>），严格遵守《中华人民共和国政府采购法》、《政府采购法实施条例》及所有相关法律、法规和规定，同时声明：在参加此次政府采购活动前三年内，本公司在经营活动中无重大违法记录。</w:t>
      </w:r>
    </w:p>
    <w:p>
      <w:pPr>
        <w:adjustRightInd w:val="0"/>
        <w:spacing w:line="360" w:lineRule="auto"/>
        <w:ind w:firstLine="480" w:firstLineChars="200"/>
        <w:jc w:val="left"/>
        <w:rPr>
          <w:rFonts w:ascii="宋体" w:cs="宋体"/>
          <w:sz w:val="24"/>
          <w:szCs w:val="24"/>
        </w:rPr>
      </w:pPr>
    </w:p>
    <w:p>
      <w:pPr>
        <w:adjustRightInd w:val="0"/>
        <w:spacing w:line="360" w:lineRule="auto"/>
        <w:ind w:firstLine="480" w:firstLineChars="200"/>
        <w:jc w:val="left"/>
        <w:rPr>
          <w:rFonts w:ascii="宋体" w:cs="宋体"/>
          <w:sz w:val="24"/>
          <w:szCs w:val="24"/>
        </w:rPr>
      </w:pPr>
      <w:r>
        <w:rPr>
          <w:rFonts w:hint="eastAsia" w:ascii="宋体" w:cs="宋体"/>
          <w:sz w:val="24"/>
          <w:szCs w:val="24"/>
        </w:rPr>
        <w:t>特此声明。</w:t>
      </w:r>
    </w:p>
    <w:p>
      <w:pPr>
        <w:adjustRightInd w:val="0"/>
        <w:spacing w:line="360" w:lineRule="auto"/>
        <w:ind w:firstLine="480" w:firstLineChars="200"/>
        <w:jc w:val="left"/>
        <w:rPr>
          <w:rFonts w:ascii="宋体" w:cs="宋体"/>
          <w:sz w:val="24"/>
          <w:szCs w:val="24"/>
        </w:rPr>
      </w:pPr>
    </w:p>
    <w:p>
      <w:pPr>
        <w:adjustRightInd w:val="0"/>
        <w:spacing w:line="360" w:lineRule="auto"/>
        <w:ind w:firstLine="480" w:firstLineChars="200"/>
        <w:jc w:val="left"/>
        <w:rPr>
          <w:rFonts w:ascii="宋体" w:cs="宋体"/>
          <w:sz w:val="24"/>
          <w:szCs w:val="24"/>
        </w:rPr>
      </w:pPr>
      <w:r>
        <w:rPr>
          <w:rFonts w:hint="eastAsia" w:ascii="宋体" w:cs="宋体"/>
          <w:sz w:val="24"/>
          <w:szCs w:val="24"/>
        </w:rPr>
        <w:t>供应商名称：（加盖公章）</w:t>
      </w:r>
    </w:p>
    <w:p>
      <w:pPr>
        <w:adjustRightInd w:val="0"/>
        <w:spacing w:line="360" w:lineRule="auto"/>
        <w:ind w:firstLine="480" w:firstLineChars="200"/>
        <w:jc w:val="left"/>
        <w:rPr>
          <w:rFonts w:ascii="宋体" w:cs="宋体"/>
          <w:sz w:val="24"/>
          <w:szCs w:val="24"/>
        </w:rPr>
      </w:pPr>
    </w:p>
    <w:p>
      <w:pPr>
        <w:adjustRightInd w:val="0"/>
        <w:spacing w:line="360" w:lineRule="auto"/>
        <w:ind w:firstLine="480" w:firstLineChars="200"/>
        <w:jc w:val="left"/>
        <w:rPr>
          <w:rFonts w:ascii="宋体" w:cs="宋体"/>
          <w:sz w:val="24"/>
          <w:szCs w:val="24"/>
        </w:rPr>
      </w:pPr>
      <w:r>
        <w:rPr>
          <w:rFonts w:hint="eastAsia" w:ascii="宋体" w:cs="宋体"/>
          <w:sz w:val="24"/>
          <w:szCs w:val="24"/>
        </w:rPr>
        <w:t>年</w:t>
      </w:r>
      <w:r>
        <w:rPr>
          <w:rFonts w:hint="eastAsia" w:ascii="宋体" w:cs="宋体"/>
          <w:sz w:val="24"/>
          <w:szCs w:val="24"/>
        </w:rPr>
        <w:tab/>
      </w:r>
      <w:r>
        <w:rPr>
          <w:rFonts w:hint="eastAsia" w:ascii="宋体" w:cs="宋体"/>
          <w:sz w:val="24"/>
          <w:szCs w:val="24"/>
        </w:rPr>
        <w:t>月</w:t>
      </w:r>
      <w:r>
        <w:rPr>
          <w:rFonts w:hint="eastAsia" w:ascii="宋体" w:cs="宋体"/>
          <w:sz w:val="24"/>
          <w:szCs w:val="24"/>
        </w:rPr>
        <w:tab/>
      </w:r>
      <w:r>
        <w:rPr>
          <w:rFonts w:hint="eastAsia" w:ascii="宋体" w:cs="宋体"/>
          <w:sz w:val="24"/>
          <w:szCs w:val="24"/>
        </w:rPr>
        <w:t>日</w:t>
      </w:r>
    </w:p>
    <w:p>
      <w:pPr>
        <w:adjustRightInd w:val="0"/>
        <w:spacing w:line="360" w:lineRule="auto"/>
        <w:ind w:firstLine="480" w:firstLineChars="200"/>
        <w:jc w:val="left"/>
        <w:rPr>
          <w:rFonts w:ascii="宋体" w:cs="宋体"/>
          <w:sz w:val="24"/>
          <w:szCs w:val="24"/>
        </w:rPr>
      </w:pPr>
      <w:r>
        <w:rPr>
          <w:rFonts w:hint="eastAsia" w:ascii="宋体" w:cs="宋体"/>
          <w:sz w:val="24"/>
          <w:szCs w:val="24"/>
        </w:rPr>
        <w:br w:type="page"/>
      </w:r>
    </w:p>
    <w:p>
      <w:pPr>
        <w:spacing w:line="360" w:lineRule="auto"/>
        <w:ind w:firstLine="480" w:firstLineChars="200"/>
        <w:jc w:val="left"/>
        <w:rPr>
          <w:rFonts w:ascii="宋体" w:cs="宋体"/>
          <w:sz w:val="24"/>
          <w:szCs w:val="24"/>
        </w:rPr>
      </w:pPr>
    </w:p>
    <w:p>
      <w:pPr>
        <w:rPr>
          <w:rFonts w:ascii="宋体" w:cs="宋体"/>
          <w:sz w:val="24"/>
          <w:szCs w:val="24"/>
        </w:rPr>
      </w:pPr>
    </w:p>
    <w:p>
      <w:pPr>
        <w:ind w:firstLine="2880" w:firstLineChars="900"/>
        <w:rPr>
          <w:rFonts w:ascii="宋体" w:cs="宋体"/>
          <w:sz w:val="32"/>
          <w:szCs w:val="32"/>
        </w:rPr>
      </w:pPr>
      <w:bookmarkStart w:id="14" w:name="_Toc4347"/>
      <w:r>
        <w:rPr>
          <w:rFonts w:hint="eastAsia" w:ascii="宋体" w:cs="宋体"/>
          <w:sz w:val="32"/>
          <w:szCs w:val="32"/>
          <w:lang w:eastAsia="zh-CN"/>
        </w:rPr>
        <w:t>六</w:t>
      </w:r>
      <w:r>
        <w:rPr>
          <w:rFonts w:hint="eastAsia" w:ascii="宋体" w:cs="宋体"/>
          <w:sz w:val="32"/>
          <w:szCs w:val="32"/>
        </w:rPr>
        <w:t>、项目组成人员一览表</w:t>
      </w:r>
      <w:bookmarkEnd w:id="14"/>
    </w:p>
    <w:p>
      <w:pPr>
        <w:pStyle w:val="11"/>
        <w:spacing w:before="7"/>
        <w:rPr>
          <w:rFonts w:ascii="宋体" w:cs="宋体"/>
          <w:b/>
          <w:sz w:val="24"/>
          <w:szCs w:val="24"/>
        </w:rPr>
      </w:pPr>
    </w:p>
    <w:tbl>
      <w:tblPr>
        <w:tblStyle w:val="27"/>
        <w:tblW w:w="4998" w:type="pct"/>
        <w:tblInd w:w="0" w:type="dxa"/>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Layout w:type="autofit"/>
        <w:tblCellMar>
          <w:top w:w="0" w:type="dxa"/>
          <w:left w:w="0" w:type="dxa"/>
          <w:bottom w:w="0" w:type="dxa"/>
          <w:right w:w="0" w:type="dxa"/>
        </w:tblCellMar>
      </w:tblPr>
      <w:tblGrid>
        <w:gridCol w:w="919"/>
        <w:gridCol w:w="832"/>
        <w:gridCol w:w="2075"/>
        <w:gridCol w:w="919"/>
        <w:gridCol w:w="2165"/>
        <w:gridCol w:w="1421"/>
        <w:gridCol w:w="1421"/>
      </w:tblGrid>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471" w:type="pct"/>
            <w:shd w:val="clear" w:color="auto" w:fill="EDEDED"/>
          </w:tcPr>
          <w:p>
            <w:pPr>
              <w:pStyle w:val="40"/>
              <w:spacing w:before="48"/>
              <w:ind w:left="178"/>
              <w:rPr>
                <w:rFonts w:ascii="宋体" w:eastAsia="宋体" w:cs="宋体"/>
                <w:b/>
                <w:sz w:val="24"/>
                <w:szCs w:val="24"/>
              </w:rPr>
            </w:pPr>
            <w:r>
              <w:rPr>
                <w:rFonts w:hint="eastAsia" w:ascii="宋体" w:eastAsia="宋体" w:cs="宋体"/>
                <w:b/>
                <w:sz w:val="24"/>
                <w:szCs w:val="24"/>
              </w:rPr>
              <w:t>序号</w:t>
            </w:r>
          </w:p>
        </w:tc>
        <w:tc>
          <w:tcPr>
            <w:tcW w:w="426" w:type="pct"/>
            <w:shd w:val="clear" w:color="auto" w:fill="EDEDED"/>
          </w:tcPr>
          <w:p>
            <w:pPr>
              <w:pStyle w:val="40"/>
              <w:spacing w:before="48"/>
              <w:ind w:left="166"/>
              <w:rPr>
                <w:rFonts w:ascii="宋体" w:eastAsia="宋体" w:cs="宋体"/>
                <w:b/>
                <w:sz w:val="24"/>
                <w:szCs w:val="24"/>
              </w:rPr>
            </w:pPr>
            <w:r>
              <w:rPr>
                <w:rFonts w:hint="eastAsia" w:ascii="宋体" w:eastAsia="宋体" w:cs="宋体"/>
                <w:b/>
                <w:sz w:val="24"/>
                <w:szCs w:val="24"/>
              </w:rPr>
              <w:t>姓名</w:t>
            </w:r>
          </w:p>
        </w:tc>
        <w:tc>
          <w:tcPr>
            <w:tcW w:w="1063" w:type="pct"/>
            <w:shd w:val="clear" w:color="auto" w:fill="EDEDED"/>
          </w:tcPr>
          <w:p>
            <w:pPr>
              <w:pStyle w:val="40"/>
              <w:spacing w:before="48"/>
              <w:ind w:left="473"/>
              <w:rPr>
                <w:rFonts w:ascii="宋体" w:eastAsia="宋体" w:cs="宋体"/>
                <w:b/>
                <w:sz w:val="24"/>
                <w:szCs w:val="24"/>
              </w:rPr>
            </w:pPr>
            <w:r>
              <w:rPr>
                <w:rFonts w:hint="eastAsia" w:ascii="宋体" w:eastAsia="宋体" w:cs="宋体"/>
                <w:b/>
                <w:sz w:val="24"/>
                <w:szCs w:val="24"/>
              </w:rPr>
              <w:t>本项目拟任职务</w:t>
            </w:r>
          </w:p>
        </w:tc>
        <w:tc>
          <w:tcPr>
            <w:tcW w:w="471" w:type="pct"/>
            <w:shd w:val="clear" w:color="auto" w:fill="EDEDED"/>
          </w:tcPr>
          <w:p>
            <w:pPr>
              <w:pStyle w:val="40"/>
              <w:spacing w:before="48"/>
              <w:ind w:left="179"/>
              <w:rPr>
                <w:rFonts w:ascii="宋体" w:eastAsia="宋体" w:cs="宋体"/>
                <w:b/>
                <w:sz w:val="24"/>
                <w:szCs w:val="24"/>
              </w:rPr>
            </w:pPr>
            <w:r>
              <w:rPr>
                <w:rFonts w:hint="eastAsia" w:ascii="宋体" w:eastAsia="宋体" w:cs="宋体"/>
                <w:b/>
                <w:sz w:val="24"/>
                <w:szCs w:val="24"/>
              </w:rPr>
              <w:t>学历</w:t>
            </w:r>
          </w:p>
        </w:tc>
        <w:tc>
          <w:tcPr>
            <w:tcW w:w="1109" w:type="pct"/>
            <w:shd w:val="clear" w:color="auto" w:fill="EDEDED"/>
          </w:tcPr>
          <w:p>
            <w:pPr>
              <w:pStyle w:val="40"/>
              <w:spacing w:before="48"/>
              <w:ind w:left="342"/>
              <w:rPr>
                <w:rFonts w:ascii="宋体" w:eastAsia="宋体" w:cs="宋体"/>
                <w:b/>
                <w:sz w:val="24"/>
                <w:szCs w:val="24"/>
              </w:rPr>
            </w:pPr>
            <w:r>
              <w:rPr>
                <w:rFonts w:hint="eastAsia" w:ascii="宋体" w:eastAsia="宋体" w:cs="宋体"/>
                <w:b/>
                <w:sz w:val="24"/>
                <w:szCs w:val="24"/>
              </w:rPr>
              <w:t>职称或执业资格</w:t>
            </w:r>
          </w:p>
        </w:tc>
        <w:tc>
          <w:tcPr>
            <w:tcW w:w="728" w:type="pct"/>
            <w:shd w:val="clear" w:color="auto" w:fill="EDEDED"/>
          </w:tcPr>
          <w:p>
            <w:pPr>
              <w:pStyle w:val="40"/>
              <w:spacing w:before="48"/>
              <w:ind w:left="246"/>
              <w:rPr>
                <w:rFonts w:ascii="宋体" w:eastAsia="宋体" w:cs="宋体"/>
                <w:b/>
                <w:sz w:val="24"/>
                <w:szCs w:val="24"/>
              </w:rPr>
            </w:pPr>
            <w:r>
              <w:rPr>
                <w:rFonts w:hint="eastAsia" w:ascii="宋体" w:eastAsia="宋体" w:cs="宋体"/>
                <w:b/>
                <w:sz w:val="24"/>
                <w:szCs w:val="24"/>
              </w:rPr>
              <w:t>身份证号</w:t>
            </w:r>
          </w:p>
        </w:tc>
        <w:tc>
          <w:tcPr>
            <w:tcW w:w="728" w:type="pct"/>
            <w:shd w:val="clear" w:color="auto" w:fill="EDEDED"/>
          </w:tcPr>
          <w:p>
            <w:pPr>
              <w:pStyle w:val="40"/>
              <w:spacing w:before="48"/>
              <w:ind w:left="247"/>
              <w:rPr>
                <w:rFonts w:ascii="宋体" w:eastAsia="宋体" w:cs="宋体"/>
                <w:b/>
                <w:sz w:val="24"/>
                <w:szCs w:val="24"/>
              </w:rPr>
            </w:pPr>
            <w:r>
              <w:rPr>
                <w:rFonts w:hint="eastAsia" w:ascii="宋体" w:eastAsia="宋体" w:cs="宋体"/>
                <w:b/>
                <w:sz w:val="24"/>
                <w:szCs w:val="24"/>
              </w:rPr>
              <w:t>联系电话</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471" w:type="pct"/>
            <w:shd w:val="clear" w:color="auto" w:fill="F6F6F6"/>
          </w:tcPr>
          <w:p>
            <w:pPr>
              <w:pStyle w:val="40"/>
              <w:spacing w:line="337" w:lineRule="exact"/>
              <w:ind w:left="13"/>
              <w:jc w:val="center"/>
              <w:rPr>
                <w:rFonts w:ascii="宋体" w:eastAsia="宋体" w:cs="宋体"/>
                <w:b/>
                <w:sz w:val="24"/>
                <w:szCs w:val="24"/>
              </w:rPr>
            </w:pPr>
            <w:r>
              <w:rPr>
                <w:rFonts w:hint="eastAsia" w:ascii="宋体" w:eastAsia="宋体" w:cs="宋体"/>
                <w:b/>
                <w:w w:val="114"/>
                <w:sz w:val="24"/>
                <w:szCs w:val="24"/>
              </w:rPr>
              <w:t>1</w:t>
            </w:r>
          </w:p>
        </w:tc>
        <w:tc>
          <w:tcPr>
            <w:tcW w:w="426" w:type="pct"/>
            <w:shd w:val="clear" w:color="auto" w:fill="F6F6F6"/>
          </w:tcPr>
          <w:p>
            <w:pPr>
              <w:pStyle w:val="40"/>
              <w:rPr>
                <w:rFonts w:ascii="宋体" w:eastAsia="宋体" w:cs="宋体"/>
                <w:sz w:val="24"/>
                <w:szCs w:val="24"/>
              </w:rPr>
            </w:pPr>
          </w:p>
        </w:tc>
        <w:tc>
          <w:tcPr>
            <w:tcW w:w="1063" w:type="pct"/>
            <w:shd w:val="clear" w:color="auto" w:fill="F6F6F6"/>
          </w:tcPr>
          <w:p>
            <w:pPr>
              <w:pStyle w:val="40"/>
              <w:rPr>
                <w:rFonts w:ascii="宋体" w:eastAsia="宋体" w:cs="宋体"/>
                <w:sz w:val="24"/>
                <w:szCs w:val="24"/>
              </w:rPr>
            </w:pPr>
          </w:p>
        </w:tc>
        <w:tc>
          <w:tcPr>
            <w:tcW w:w="471" w:type="pct"/>
            <w:shd w:val="clear" w:color="auto" w:fill="F6F6F6"/>
          </w:tcPr>
          <w:p>
            <w:pPr>
              <w:pStyle w:val="40"/>
              <w:rPr>
                <w:rFonts w:ascii="宋体" w:eastAsia="宋体" w:cs="宋体"/>
                <w:sz w:val="24"/>
                <w:szCs w:val="24"/>
              </w:rPr>
            </w:pPr>
          </w:p>
        </w:tc>
        <w:tc>
          <w:tcPr>
            <w:tcW w:w="1109" w:type="pct"/>
            <w:shd w:val="clear" w:color="auto" w:fill="F6F6F6"/>
          </w:tcPr>
          <w:p>
            <w:pPr>
              <w:pStyle w:val="40"/>
              <w:rPr>
                <w:rFonts w:ascii="宋体" w:eastAsia="宋体" w:cs="宋体"/>
                <w:sz w:val="24"/>
                <w:szCs w:val="24"/>
              </w:rPr>
            </w:pPr>
          </w:p>
        </w:tc>
        <w:tc>
          <w:tcPr>
            <w:tcW w:w="728" w:type="pct"/>
            <w:shd w:val="clear" w:color="auto" w:fill="F6F6F6"/>
          </w:tcPr>
          <w:p>
            <w:pPr>
              <w:pStyle w:val="40"/>
              <w:rPr>
                <w:rFonts w:ascii="宋体" w:eastAsia="宋体" w:cs="宋体"/>
                <w:sz w:val="24"/>
                <w:szCs w:val="24"/>
              </w:rPr>
            </w:pPr>
          </w:p>
        </w:tc>
        <w:tc>
          <w:tcPr>
            <w:tcW w:w="728" w:type="pct"/>
            <w:shd w:val="clear" w:color="auto" w:fill="F6F6F6"/>
          </w:tcPr>
          <w:p>
            <w:pPr>
              <w:pStyle w:val="40"/>
              <w:rPr>
                <w:rFonts w:ascii="宋体" w:eastAsia="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471" w:type="pct"/>
          </w:tcPr>
          <w:p>
            <w:pPr>
              <w:pStyle w:val="40"/>
              <w:spacing w:line="337" w:lineRule="exact"/>
              <w:ind w:left="13"/>
              <w:jc w:val="center"/>
              <w:rPr>
                <w:rFonts w:ascii="宋体" w:eastAsia="宋体" w:cs="宋体"/>
                <w:b/>
                <w:sz w:val="24"/>
                <w:szCs w:val="24"/>
              </w:rPr>
            </w:pPr>
            <w:r>
              <w:rPr>
                <w:rFonts w:hint="eastAsia" w:ascii="宋体" w:eastAsia="宋体" w:cs="宋体"/>
                <w:b/>
                <w:w w:val="114"/>
                <w:sz w:val="24"/>
                <w:szCs w:val="24"/>
              </w:rPr>
              <w:t>2</w:t>
            </w:r>
          </w:p>
        </w:tc>
        <w:tc>
          <w:tcPr>
            <w:tcW w:w="426" w:type="pct"/>
          </w:tcPr>
          <w:p>
            <w:pPr>
              <w:pStyle w:val="40"/>
              <w:rPr>
                <w:rFonts w:ascii="宋体" w:eastAsia="宋体" w:cs="宋体"/>
                <w:sz w:val="24"/>
                <w:szCs w:val="24"/>
              </w:rPr>
            </w:pPr>
          </w:p>
        </w:tc>
        <w:tc>
          <w:tcPr>
            <w:tcW w:w="1063" w:type="pct"/>
          </w:tcPr>
          <w:p>
            <w:pPr>
              <w:pStyle w:val="40"/>
              <w:rPr>
                <w:rFonts w:ascii="宋体" w:eastAsia="宋体" w:cs="宋体"/>
                <w:sz w:val="24"/>
                <w:szCs w:val="24"/>
              </w:rPr>
            </w:pPr>
          </w:p>
        </w:tc>
        <w:tc>
          <w:tcPr>
            <w:tcW w:w="471" w:type="pct"/>
          </w:tcPr>
          <w:p>
            <w:pPr>
              <w:pStyle w:val="40"/>
              <w:rPr>
                <w:rFonts w:ascii="宋体" w:eastAsia="宋体" w:cs="宋体"/>
                <w:sz w:val="24"/>
                <w:szCs w:val="24"/>
              </w:rPr>
            </w:pPr>
          </w:p>
        </w:tc>
        <w:tc>
          <w:tcPr>
            <w:tcW w:w="1109" w:type="pct"/>
          </w:tcPr>
          <w:p>
            <w:pPr>
              <w:pStyle w:val="40"/>
              <w:rPr>
                <w:rFonts w:ascii="宋体" w:eastAsia="宋体" w:cs="宋体"/>
                <w:sz w:val="24"/>
                <w:szCs w:val="24"/>
              </w:rPr>
            </w:pPr>
          </w:p>
        </w:tc>
        <w:tc>
          <w:tcPr>
            <w:tcW w:w="728" w:type="pct"/>
          </w:tcPr>
          <w:p>
            <w:pPr>
              <w:pStyle w:val="40"/>
              <w:rPr>
                <w:rFonts w:ascii="宋体" w:eastAsia="宋体" w:cs="宋体"/>
                <w:sz w:val="24"/>
                <w:szCs w:val="24"/>
              </w:rPr>
            </w:pPr>
          </w:p>
        </w:tc>
        <w:tc>
          <w:tcPr>
            <w:tcW w:w="728" w:type="pct"/>
          </w:tcPr>
          <w:p>
            <w:pPr>
              <w:pStyle w:val="40"/>
              <w:rPr>
                <w:rFonts w:ascii="宋体" w:eastAsia="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471" w:type="pct"/>
            <w:shd w:val="clear" w:color="auto" w:fill="F6F6F6"/>
          </w:tcPr>
          <w:p>
            <w:pPr>
              <w:pStyle w:val="40"/>
              <w:spacing w:line="337" w:lineRule="exact"/>
              <w:ind w:left="13"/>
              <w:jc w:val="center"/>
              <w:rPr>
                <w:rFonts w:ascii="宋体" w:eastAsia="宋体" w:cs="宋体"/>
                <w:b/>
                <w:sz w:val="24"/>
                <w:szCs w:val="24"/>
              </w:rPr>
            </w:pPr>
            <w:r>
              <w:rPr>
                <w:rFonts w:hint="eastAsia" w:ascii="宋体" w:eastAsia="宋体" w:cs="宋体"/>
                <w:b/>
                <w:w w:val="114"/>
                <w:sz w:val="24"/>
                <w:szCs w:val="24"/>
              </w:rPr>
              <w:t>3</w:t>
            </w:r>
          </w:p>
        </w:tc>
        <w:tc>
          <w:tcPr>
            <w:tcW w:w="426" w:type="pct"/>
            <w:shd w:val="clear" w:color="auto" w:fill="F6F6F6"/>
          </w:tcPr>
          <w:p>
            <w:pPr>
              <w:pStyle w:val="40"/>
              <w:rPr>
                <w:rFonts w:ascii="宋体" w:eastAsia="宋体" w:cs="宋体"/>
                <w:sz w:val="24"/>
                <w:szCs w:val="24"/>
              </w:rPr>
            </w:pPr>
          </w:p>
        </w:tc>
        <w:tc>
          <w:tcPr>
            <w:tcW w:w="1063" w:type="pct"/>
            <w:shd w:val="clear" w:color="auto" w:fill="F6F6F6"/>
          </w:tcPr>
          <w:p>
            <w:pPr>
              <w:pStyle w:val="40"/>
              <w:rPr>
                <w:rFonts w:ascii="宋体" w:eastAsia="宋体" w:cs="宋体"/>
                <w:sz w:val="24"/>
                <w:szCs w:val="24"/>
              </w:rPr>
            </w:pPr>
          </w:p>
        </w:tc>
        <w:tc>
          <w:tcPr>
            <w:tcW w:w="471" w:type="pct"/>
            <w:shd w:val="clear" w:color="auto" w:fill="F6F6F6"/>
          </w:tcPr>
          <w:p>
            <w:pPr>
              <w:pStyle w:val="40"/>
              <w:rPr>
                <w:rFonts w:ascii="宋体" w:eastAsia="宋体" w:cs="宋体"/>
                <w:sz w:val="24"/>
                <w:szCs w:val="24"/>
              </w:rPr>
            </w:pPr>
          </w:p>
        </w:tc>
        <w:tc>
          <w:tcPr>
            <w:tcW w:w="1109" w:type="pct"/>
            <w:shd w:val="clear" w:color="auto" w:fill="F6F6F6"/>
          </w:tcPr>
          <w:p>
            <w:pPr>
              <w:pStyle w:val="40"/>
              <w:rPr>
                <w:rFonts w:ascii="宋体" w:eastAsia="宋体" w:cs="宋体"/>
                <w:sz w:val="24"/>
                <w:szCs w:val="24"/>
              </w:rPr>
            </w:pPr>
          </w:p>
        </w:tc>
        <w:tc>
          <w:tcPr>
            <w:tcW w:w="728" w:type="pct"/>
            <w:shd w:val="clear" w:color="auto" w:fill="F6F6F6"/>
          </w:tcPr>
          <w:p>
            <w:pPr>
              <w:pStyle w:val="40"/>
              <w:rPr>
                <w:rFonts w:ascii="宋体" w:eastAsia="宋体" w:cs="宋体"/>
                <w:sz w:val="24"/>
                <w:szCs w:val="24"/>
              </w:rPr>
            </w:pPr>
          </w:p>
        </w:tc>
        <w:tc>
          <w:tcPr>
            <w:tcW w:w="728" w:type="pct"/>
            <w:shd w:val="clear" w:color="auto" w:fill="F6F6F6"/>
          </w:tcPr>
          <w:p>
            <w:pPr>
              <w:pStyle w:val="40"/>
              <w:rPr>
                <w:rFonts w:ascii="宋体" w:eastAsia="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471" w:type="pct"/>
          </w:tcPr>
          <w:p>
            <w:pPr>
              <w:pStyle w:val="40"/>
              <w:spacing w:line="337" w:lineRule="exact"/>
              <w:ind w:left="340"/>
              <w:rPr>
                <w:rFonts w:ascii="宋体" w:eastAsia="宋体" w:cs="宋体"/>
                <w:b/>
                <w:sz w:val="24"/>
                <w:szCs w:val="24"/>
              </w:rPr>
            </w:pPr>
            <w:r>
              <w:rPr>
                <w:rFonts w:hint="eastAsia" w:ascii="宋体" w:eastAsia="宋体" w:cs="宋体"/>
                <w:b/>
                <w:w w:val="104"/>
                <w:sz w:val="24"/>
                <w:szCs w:val="24"/>
              </w:rPr>
              <w:t>……</w:t>
            </w:r>
          </w:p>
        </w:tc>
        <w:tc>
          <w:tcPr>
            <w:tcW w:w="426" w:type="pct"/>
          </w:tcPr>
          <w:p>
            <w:pPr>
              <w:pStyle w:val="40"/>
              <w:rPr>
                <w:rFonts w:ascii="宋体" w:eastAsia="宋体" w:cs="宋体"/>
                <w:sz w:val="24"/>
                <w:szCs w:val="24"/>
              </w:rPr>
            </w:pPr>
          </w:p>
        </w:tc>
        <w:tc>
          <w:tcPr>
            <w:tcW w:w="1063" w:type="pct"/>
          </w:tcPr>
          <w:p>
            <w:pPr>
              <w:pStyle w:val="40"/>
              <w:rPr>
                <w:rFonts w:ascii="宋体" w:eastAsia="宋体" w:cs="宋体"/>
                <w:sz w:val="24"/>
                <w:szCs w:val="24"/>
              </w:rPr>
            </w:pPr>
          </w:p>
        </w:tc>
        <w:tc>
          <w:tcPr>
            <w:tcW w:w="471" w:type="pct"/>
          </w:tcPr>
          <w:p>
            <w:pPr>
              <w:pStyle w:val="40"/>
              <w:rPr>
                <w:rFonts w:ascii="宋体" w:eastAsia="宋体" w:cs="宋体"/>
                <w:sz w:val="24"/>
                <w:szCs w:val="24"/>
              </w:rPr>
            </w:pPr>
          </w:p>
        </w:tc>
        <w:tc>
          <w:tcPr>
            <w:tcW w:w="1109" w:type="pct"/>
          </w:tcPr>
          <w:p>
            <w:pPr>
              <w:pStyle w:val="40"/>
              <w:rPr>
                <w:rFonts w:ascii="宋体" w:eastAsia="宋体" w:cs="宋体"/>
                <w:sz w:val="24"/>
                <w:szCs w:val="24"/>
              </w:rPr>
            </w:pPr>
          </w:p>
        </w:tc>
        <w:tc>
          <w:tcPr>
            <w:tcW w:w="728" w:type="pct"/>
          </w:tcPr>
          <w:p>
            <w:pPr>
              <w:pStyle w:val="40"/>
              <w:rPr>
                <w:rFonts w:ascii="宋体" w:eastAsia="宋体" w:cs="宋体"/>
                <w:sz w:val="24"/>
                <w:szCs w:val="24"/>
              </w:rPr>
            </w:pPr>
          </w:p>
        </w:tc>
        <w:tc>
          <w:tcPr>
            <w:tcW w:w="728" w:type="pct"/>
          </w:tcPr>
          <w:p>
            <w:pPr>
              <w:pStyle w:val="40"/>
              <w:rPr>
                <w:rFonts w:ascii="宋体" w:eastAsia="宋体" w:cs="宋体"/>
                <w:sz w:val="24"/>
                <w:szCs w:val="24"/>
              </w:rPr>
            </w:pPr>
          </w:p>
        </w:tc>
      </w:tr>
    </w:tbl>
    <w:p>
      <w:pPr>
        <w:pStyle w:val="11"/>
        <w:spacing w:before="2"/>
        <w:rPr>
          <w:rFonts w:ascii="宋体" w:cs="宋体"/>
          <w:b/>
          <w:sz w:val="24"/>
          <w:szCs w:val="24"/>
        </w:rPr>
      </w:pPr>
    </w:p>
    <w:p>
      <w:pPr>
        <w:rPr>
          <w:rFonts w:ascii="宋体" w:cs="宋体"/>
          <w:sz w:val="24"/>
          <w:szCs w:val="24"/>
        </w:rPr>
      </w:pPr>
      <w:r>
        <w:rPr>
          <w:rFonts w:hint="eastAsia" w:ascii="宋体" w:cs="宋体"/>
          <w:sz w:val="24"/>
          <w:szCs w:val="24"/>
        </w:rPr>
        <w:t>按磋商文件要求在本表后附相关人员证书。</w:t>
      </w:r>
    </w:p>
    <w:p>
      <w:pPr>
        <w:rPr>
          <w:rFonts w:ascii="宋体" w:cs="宋体"/>
          <w:sz w:val="24"/>
          <w:szCs w:val="24"/>
        </w:rPr>
      </w:pPr>
    </w:p>
    <w:p>
      <w:pPr>
        <w:rPr>
          <w:rFonts w:ascii="宋体" w:cs="宋体"/>
          <w:sz w:val="24"/>
          <w:szCs w:val="24"/>
        </w:rPr>
      </w:pPr>
      <w:r>
        <w:rPr>
          <w:rFonts w:hint="eastAsia" w:ascii="宋体" w:cs="宋体"/>
          <w:sz w:val="24"/>
          <w:szCs w:val="24"/>
        </w:rPr>
        <w:t>注：</w:t>
      </w:r>
    </w:p>
    <w:p>
      <w:pPr>
        <w:rPr>
          <w:rFonts w:ascii="宋体" w:cs="宋体"/>
          <w:sz w:val="24"/>
          <w:szCs w:val="24"/>
        </w:rPr>
      </w:pPr>
      <w:r>
        <w:rPr>
          <w:rFonts w:hint="eastAsia" w:ascii="宋体" w:cs="宋体"/>
          <w:sz w:val="24"/>
          <w:szCs w:val="24"/>
        </w:rPr>
        <w:t>1.本项目拟任职务处应包括：项目负责人、项目联系人、项目服务人员或技术人员等。</w:t>
      </w:r>
    </w:p>
    <w:p>
      <w:pPr>
        <w:rPr>
          <w:rFonts w:ascii="宋体" w:cs="宋体"/>
          <w:sz w:val="24"/>
          <w:szCs w:val="24"/>
        </w:rPr>
      </w:pPr>
      <w:r>
        <w:rPr>
          <w:rFonts w:hint="eastAsia" w:ascii="宋体" w:cs="宋体"/>
          <w:sz w:val="24"/>
          <w:szCs w:val="24"/>
        </w:rPr>
        <w:t>2.如供应商中标，须按本表承诺人员操作，不得随意更换。</w:t>
      </w:r>
    </w:p>
    <w:p>
      <w:pPr>
        <w:spacing w:line="236" w:lineRule="exact"/>
        <w:jc w:val="left"/>
        <w:rPr>
          <w:rFonts w:ascii="宋体" w:cs="宋体"/>
          <w:sz w:val="24"/>
          <w:szCs w:val="24"/>
        </w:rPr>
        <w:sectPr>
          <w:footerReference r:id="rId7" w:type="default"/>
          <w:pgSz w:w="11900" w:h="16838"/>
          <w:pgMar w:top="1440" w:right="1080" w:bottom="1440" w:left="1080" w:header="227" w:footer="1020" w:gutter="0"/>
          <w:pgNumType w:start="1"/>
          <w:cols w:space="0" w:num="1"/>
          <w:docGrid w:linePitch="312" w:charSpace="0"/>
        </w:sectPr>
      </w:pPr>
    </w:p>
    <w:p>
      <w:pPr>
        <w:pStyle w:val="3"/>
        <w:spacing w:after="120"/>
        <w:jc w:val="center"/>
        <w:rPr>
          <w:rFonts w:ascii="宋体" w:cs="宋体"/>
        </w:rPr>
      </w:pPr>
      <w:bookmarkStart w:id="15" w:name="_Toc14889"/>
      <w:r>
        <w:rPr>
          <w:rFonts w:hint="eastAsia" w:ascii="宋体" w:cs="宋体"/>
          <w:lang w:eastAsia="zh-CN"/>
        </w:rPr>
        <w:t>七</w:t>
      </w:r>
      <w:r>
        <w:rPr>
          <w:rFonts w:hint="eastAsia" w:ascii="宋体" w:cs="宋体"/>
        </w:rPr>
        <w:t>、供应商业绩情况表</w:t>
      </w:r>
      <w:bookmarkEnd w:id="15"/>
    </w:p>
    <w:p>
      <w:pPr>
        <w:pStyle w:val="11"/>
        <w:spacing w:before="7"/>
        <w:rPr>
          <w:rFonts w:ascii="宋体" w:cs="宋体"/>
          <w:b/>
          <w:sz w:val="24"/>
          <w:szCs w:val="24"/>
        </w:rPr>
      </w:pPr>
    </w:p>
    <w:tbl>
      <w:tblPr>
        <w:tblStyle w:val="27"/>
        <w:tblW w:w="4997" w:type="pct"/>
        <w:tblInd w:w="0" w:type="dxa"/>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Layout w:type="autofit"/>
        <w:tblCellMar>
          <w:top w:w="0" w:type="dxa"/>
          <w:left w:w="0" w:type="dxa"/>
          <w:bottom w:w="0" w:type="dxa"/>
          <w:right w:w="0" w:type="dxa"/>
        </w:tblCellMar>
      </w:tblPr>
      <w:tblGrid>
        <w:gridCol w:w="1264"/>
        <w:gridCol w:w="2152"/>
        <w:gridCol w:w="2152"/>
        <w:gridCol w:w="2019"/>
        <w:gridCol w:w="2163"/>
      </w:tblGrid>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648" w:type="pct"/>
            <w:shd w:val="clear" w:color="auto" w:fill="EDEDED"/>
          </w:tcPr>
          <w:p>
            <w:pPr>
              <w:pStyle w:val="40"/>
              <w:spacing w:before="48"/>
              <w:ind w:left="544"/>
              <w:rPr>
                <w:rFonts w:ascii="宋体" w:eastAsia="宋体" w:cs="宋体"/>
                <w:b/>
                <w:sz w:val="24"/>
                <w:szCs w:val="24"/>
              </w:rPr>
            </w:pPr>
            <w:r>
              <w:rPr>
                <w:rFonts w:hint="eastAsia" w:ascii="宋体" w:eastAsia="宋体" w:cs="宋体"/>
                <w:b/>
                <w:sz w:val="24"/>
                <w:szCs w:val="24"/>
              </w:rPr>
              <w:t>序号</w:t>
            </w:r>
          </w:p>
        </w:tc>
        <w:tc>
          <w:tcPr>
            <w:tcW w:w="1103" w:type="pct"/>
            <w:shd w:val="clear" w:color="auto" w:fill="EDEDED"/>
          </w:tcPr>
          <w:p>
            <w:pPr>
              <w:pStyle w:val="40"/>
              <w:spacing w:before="48"/>
              <w:ind w:left="641"/>
              <w:rPr>
                <w:rFonts w:ascii="宋体" w:eastAsia="宋体" w:cs="宋体"/>
                <w:b/>
                <w:sz w:val="24"/>
                <w:szCs w:val="24"/>
              </w:rPr>
            </w:pPr>
            <w:r>
              <w:rPr>
                <w:rFonts w:hint="eastAsia" w:ascii="宋体" w:eastAsia="宋体" w:cs="宋体"/>
                <w:b/>
                <w:sz w:val="24"/>
                <w:szCs w:val="24"/>
              </w:rPr>
              <w:t>使用单位</w:t>
            </w:r>
          </w:p>
        </w:tc>
        <w:tc>
          <w:tcPr>
            <w:tcW w:w="1103" w:type="pct"/>
            <w:shd w:val="clear" w:color="auto" w:fill="EDEDED"/>
          </w:tcPr>
          <w:p>
            <w:pPr>
              <w:pStyle w:val="40"/>
              <w:spacing w:before="48"/>
              <w:ind w:firstLine="481" w:firstLineChars="200"/>
              <w:rPr>
                <w:rFonts w:ascii="宋体" w:eastAsia="宋体" w:cs="宋体"/>
                <w:b/>
                <w:sz w:val="24"/>
                <w:szCs w:val="24"/>
              </w:rPr>
            </w:pPr>
            <w:r>
              <w:rPr>
                <w:rFonts w:hint="eastAsia" w:ascii="宋体" w:eastAsia="宋体" w:cs="宋体"/>
                <w:b/>
                <w:sz w:val="24"/>
                <w:szCs w:val="24"/>
              </w:rPr>
              <w:t>业绩名称</w:t>
            </w:r>
          </w:p>
        </w:tc>
        <w:tc>
          <w:tcPr>
            <w:tcW w:w="1035" w:type="pct"/>
            <w:shd w:val="clear" w:color="auto" w:fill="EDEDED"/>
          </w:tcPr>
          <w:p>
            <w:pPr>
              <w:pStyle w:val="40"/>
              <w:spacing w:before="48"/>
              <w:ind w:left="750"/>
              <w:rPr>
                <w:rFonts w:ascii="宋体" w:eastAsia="宋体" w:cs="宋体"/>
                <w:b/>
                <w:sz w:val="24"/>
                <w:szCs w:val="24"/>
              </w:rPr>
            </w:pPr>
            <w:r>
              <w:rPr>
                <w:rFonts w:hint="eastAsia" w:ascii="宋体" w:eastAsia="宋体" w:cs="宋体"/>
                <w:b/>
                <w:sz w:val="24"/>
                <w:szCs w:val="24"/>
              </w:rPr>
              <w:t>合同总价</w:t>
            </w:r>
          </w:p>
        </w:tc>
        <w:tc>
          <w:tcPr>
            <w:tcW w:w="1109" w:type="pct"/>
            <w:shd w:val="clear" w:color="auto" w:fill="EDEDED"/>
          </w:tcPr>
          <w:p>
            <w:pPr>
              <w:pStyle w:val="40"/>
              <w:spacing w:before="48"/>
              <w:ind w:left="648"/>
              <w:rPr>
                <w:rFonts w:ascii="宋体" w:eastAsia="宋体" w:cs="宋体"/>
                <w:b/>
                <w:sz w:val="24"/>
                <w:szCs w:val="24"/>
              </w:rPr>
            </w:pPr>
            <w:r>
              <w:rPr>
                <w:rFonts w:hint="eastAsia" w:ascii="宋体" w:eastAsia="宋体" w:cs="宋体"/>
                <w:b/>
                <w:sz w:val="24"/>
                <w:szCs w:val="24"/>
              </w:rPr>
              <w:t>签订时间</w:t>
            </w: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648" w:type="pct"/>
            <w:shd w:val="clear" w:color="auto" w:fill="F6F6F6"/>
          </w:tcPr>
          <w:p>
            <w:pPr>
              <w:pStyle w:val="40"/>
              <w:spacing w:line="337" w:lineRule="exact"/>
              <w:ind w:left="85"/>
              <w:jc w:val="center"/>
              <w:rPr>
                <w:rFonts w:ascii="宋体" w:eastAsia="宋体" w:cs="宋体"/>
                <w:b/>
                <w:sz w:val="24"/>
                <w:szCs w:val="24"/>
              </w:rPr>
            </w:pPr>
            <w:r>
              <w:rPr>
                <w:rFonts w:hint="eastAsia" w:ascii="宋体" w:eastAsia="宋体" w:cs="宋体"/>
                <w:b/>
                <w:w w:val="114"/>
                <w:sz w:val="24"/>
                <w:szCs w:val="24"/>
              </w:rPr>
              <w:t>1</w:t>
            </w:r>
          </w:p>
        </w:tc>
        <w:tc>
          <w:tcPr>
            <w:tcW w:w="1103" w:type="pct"/>
            <w:shd w:val="clear" w:color="auto" w:fill="F6F6F6"/>
          </w:tcPr>
          <w:p>
            <w:pPr>
              <w:pStyle w:val="40"/>
              <w:rPr>
                <w:rFonts w:ascii="宋体" w:eastAsia="宋体" w:cs="宋体"/>
                <w:sz w:val="24"/>
                <w:szCs w:val="24"/>
              </w:rPr>
            </w:pPr>
          </w:p>
        </w:tc>
        <w:tc>
          <w:tcPr>
            <w:tcW w:w="1103" w:type="pct"/>
            <w:shd w:val="clear" w:color="auto" w:fill="F6F6F6"/>
          </w:tcPr>
          <w:p>
            <w:pPr>
              <w:pStyle w:val="40"/>
              <w:rPr>
                <w:rFonts w:ascii="宋体" w:eastAsia="宋体" w:cs="宋体"/>
                <w:sz w:val="24"/>
                <w:szCs w:val="24"/>
              </w:rPr>
            </w:pPr>
          </w:p>
        </w:tc>
        <w:tc>
          <w:tcPr>
            <w:tcW w:w="1035" w:type="pct"/>
            <w:shd w:val="clear" w:color="auto" w:fill="F6F6F6"/>
          </w:tcPr>
          <w:p>
            <w:pPr>
              <w:pStyle w:val="40"/>
              <w:rPr>
                <w:rFonts w:ascii="宋体" w:eastAsia="宋体" w:cs="宋体"/>
                <w:sz w:val="24"/>
                <w:szCs w:val="24"/>
              </w:rPr>
            </w:pPr>
          </w:p>
        </w:tc>
        <w:tc>
          <w:tcPr>
            <w:tcW w:w="1109" w:type="pct"/>
            <w:shd w:val="clear" w:color="auto" w:fill="F6F6F6"/>
          </w:tcPr>
          <w:p>
            <w:pPr>
              <w:pStyle w:val="40"/>
              <w:rPr>
                <w:rFonts w:ascii="宋体" w:eastAsia="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648" w:type="pct"/>
          </w:tcPr>
          <w:p>
            <w:pPr>
              <w:pStyle w:val="40"/>
              <w:spacing w:line="337" w:lineRule="exact"/>
              <w:ind w:left="85"/>
              <w:jc w:val="center"/>
              <w:rPr>
                <w:rFonts w:ascii="宋体" w:eastAsia="宋体" w:cs="宋体"/>
                <w:b/>
                <w:sz w:val="24"/>
                <w:szCs w:val="24"/>
              </w:rPr>
            </w:pPr>
            <w:r>
              <w:rPr>
                <w:rFonts w:hint="eastAsia" w:ascii="宋体" w:eastAsia="宋体" w:cs="宋体"/>
                <w:b/>
                <w:w w:val="114"/>
                <w:sz w:val="24"/>
                <w:szCs w:val="24"/>
              </w:rPr>
              <w:t>2</w:t>
            </w:r>
          </w:p>
        </w:tc>
        <w:tc>
          <w:tcPr>
            <w:tcW w:w="1103" w:type="pct"/>
          </w:tcPr>
          <w:p>
            <w:pPr>
              <w:pStyle w:val="40"/>
              <w:rPr>
                <w:rFonts w:ascii="宋体" w:eastAsia="宋体" w:cs="宋体"/>
                <w:sz w:val="24"/>
                <w:szCs w:val="24"/>
              </w:rPr>
            </w:pPr>
          </w:p>
        </w:tc>
        <w:tc>
          <w:tcPr>
            <w:tcW w:w="1103" w:type="pct"/>
          </w:tcPr>
          <w:p>
            <w:pPr>
              <w:pStyle w:val="40"/>
              <w:rPr>
                <w:rFonts w:ascii="宋体" w:eastAsia="宋体" w:cs="宋体"/>
                <w:sz w:val="24"/>
                <w:szCs w:val="24"/>
              </w:rPr>
            </w:pPr>
          </w:p>
        </w:tc>
        <w:tc>
          <w:tcPr>
            <w:tcW w:w="1035" w:type="pct"/>
          </w:tcPr>
          <w:p>
            <w:pPr>
              <w:pStyle w:val="40"/>
              <w:rPr>
                <w:rFonts w:ascii="宋体" w:eastAsia="宋体" w:cs="宋体"/>
                <w:sz w:val="24"/>
                <w:szCs w:val="24"/>
              </w:rPr>
            </w:pPr>
          </w:p>
        </w:tc>
        <w:tc>
          <w:tcPr>
            <w:tcW w:w="1109" w:type="pct"/>
          </w:tcPr>
          <w:p>
            <w:pPr>
              <w:pStyle w:val="40"/>
              <w:rPr>
                <w:rFonts w:ascii="宋体" w:eastAsia="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648" w:type="pct"/>
            <w:shd w:val="clear" w:color="auto" w:fill="F6F6F6"/>
          </w:tcPr>
          <w:p>
            <w:pPr>
              <w:pStyle w:val="40"/>
              <w:spacing w:line="337" w:lineRule="exact"/>
              <w:ind w:left="85"/>
              <w:jc w:val="center"/>
              <w:rPr>
                <w:rFonts w:ascii="宋体" w:eastAsia="宋体" w:cs="宋体"/>
                <w:b/>
                <w:sz w:val="24"/>
                <w:szCs w:val="24"/>
              </w:rPr>
            </w:pPr>
            <w:r>
              <w:rPr>
                <w:rFonts w:hint="eastAsia" w:ascii="宋体" w:eastAsia="宋体" w:cs="宋体"/>
                <w:b/>
                <w:w w:val="114"/>
                <w:sz w:val="24"/>
                <w:szCs w:val="24"/>
              </w:rPr>
              <w:t>3</w:t>
            </w:r>
          </w:p>
        </w:tc>
        <w:tc>
          <w:tcPr>
            <w:tcW w:w="1103" w:type="pct"/>
            <w:shd w:val="clear" w:color="auto" w:fill="F6F6F6"/>
          </w:tcPr>
          <w:p>
            <w:pPr>
              <w:pStyle w:val="40"/>
              <w:rPr>
                <w:rFonts w:ascii="宋体" w:eastAsia="宋体" w:cs="宋体"/>
                <w:sz w:val="24"/>
                <w:szCs w:val="24"/>
              </w:rPr>
            </w:pPr>
          </w:p>
        </w:tc>
        <w:tc>
          <w:tcPr>
            <w:tcW w:w="1103" w:type="pct"/>
            <w:shd w:val="clear" w:color="auto" w:fill="F6F6F6"/>
          </w:tcPr>
          <w:p>
            <w:pPr>
              <w:pStyle w:val="40"/>
              <w:rPr>
                <w:rFonts w:ascii="宋体" w:eastAsia="宋体" w:cs="宋体"/>
                <w:sz w:val="24"/>
                <w:szCs w:val="24"/>
              </w:rPr>
            </w:pPr>
          </w:p>
        </w:tc>
        <w:tc>
          <w:tcPr>
            <w:tcW w:w="1035" w:type="pct"/>
            <w:shd w:val="clear" w:color="auto" w:fill="F6F6F6"/>
          </w:tcPr>
          <w:p>
            <w:pPr>
              <w:pStyle w:val="40"/>
              <w:rPr>
                <w:rFonts w:ascii="宋体" w:eastAsia="宋体" w:cs="宋体"/>
                <w:sz w:val="24"/>
                <w:szCs w:val="24"/>
              </w:rPr>
            </w:pPr>
          </w:p>
        </w:tc>
        <w:tc>
          <w:tcPr>
            <w:tcW w:w="1109" w:type="pct"/>
            <w:shd w:val="clear" w:color="auto" w:fill="F6F6F6"/>
          </w:tcPr>
          <w:p>
            <w:pPr>
              <w:pStyle w:val="40"/>
              <w:rPr>
                <w:rFonts w:ascii="宋体" w:eastAsia="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648" w:type="pct"/>
          </w:tcPr>
          <w:p>
            <w:pPr>
              <w:pStyle w:val="40"/>
              <w:spacing w:line="337" w:lineRule="exact"/>
              <w:ind w:left="85"/>
              <w:jc w:val="center"/>
              <w:rPr>
                <w:rFonts w:ascii="宋体" w:eastAsia="宋体" w:cs="宋体"/>
                <w:b/>
                <w:sz w:val="24"/>
                <w:szCs w:val="24"/>
              </w:rPr>
            </w:pPr>
            <w:r>
              <w:rPr>
                <w:rFonts w:hint="eastAsia" w:ascii="宋体" w:eastAsia="宋体" w:cs="宋体"/>
                <w:b/>
                <w:w w:val="114"/>
                <w:sz w:val="24"/>
                <w:szCs w:val="24"/>
              </w:rPr>
              <w:t>4</w:t>
            </w:r>
          </w:p>
        </w:tc>
        <w:tc>
          <w:tcPr>
            <w:tcW w:w="1103" w:type="pct"/>
          </w:tcPr>
          <w:p>
            <w:pPr>
              <w:pStyle w:val="40"/>
              <w:rPr>
                <w:rFonts w:ascii="宋体" w:eastAsia="宋体" w:cs="宋体"/>
                <w:sz w:val="24"/>
                <w:szCs w:val="24"/>
              </w:rPr>
            </w:pPr>
          </w:p>
        </w:tc>
        <w:tc>
          <w:tcPr>
            <w:tcW w:w="1103" w:type="pct"/>
          </w:tcPr>
          <w:p>
            <w:pPr>
              <w:pStyle w:val="40"/>
              <w:rPr>
                <w:rFonts w:ascii="宋体" w:eastAsia="宋体" w:cs="宋体"/>
                <w:sz w:val="24"/>
                <w:szCs w:val="24"/>
              </w:rPr>
            </w:pPr>
          </w:p>
        </w:tc>
        <w:tc>
          <w:tcPr>
            <w:tcW w:w="1035" w:type="pct"/>
          </w:tcPr>
          <w:p>
            <w:pPr>
              <w:pStyle w:val="40"/>
              <w:rPr>
                <w:rFonts w:ascii="宋体" w:eastAsia="宋体" w:cs="宋体"/>
                <w:sz w:val="24"/>
                <w:szCs w:val="24"/>
              </w:rPr>
            </w:pPr>
          </w:p>
        </w:tc>
        <w:tc>
          <w:tcPr>
            <w:tcW w:w="1109" w:type="pct"/>
          </w:tcPr>
          <w:p>
            <w:pPr>
              <w:pStyle w:val="40"/>
              <w:rPr>
                <w:rFonts w:ascii="宋体" w:eastAsia="宋体" w:cs="宋体"/>
                <w:sz w:val="24"/>
                <w:szCs w:val="24"/>
              </w:rPr>
            </w:pPr>
          </w:p>
        </w:tc>
      </w:tr>
      <w:tr>
        <w:tblPrEx>
          <w:tblBorders>
            <w:top w:val="single" w:color="B3C2D7" w:sz="6" w:space="0"/>
            <w:left w:val="single" w:color="B3C2D7" w:sz="6" w:space="0"/>
            <w:bottom w:val="single" w:color="B3C2D7" w:sz="6" w:space="0"/>
            <w:right w:val="single" w:color="B3C2D7" w:sz="6" w:space="0"/>
            <w:insideH w:val="single" w:color="B3C2D7" w:sz="6" w:space="0"/>
            <w:insideV w:val="single" w:color="B3C2D7" w:sz="6" w:space="0"/>
          </w:tblBorders>
          <w:tblCellMar>
            <w:top w:w="0" w:type="dxa"/>
            <w:left w:w="0" w:type="dxa"/>
            <w:bottom w:w="0" w:type="dxa"/>
            <w:right w:w="0" w:type="dxa"/>
          </w:tblCellMar>
        </w:tblPrEx>
        <w:trPr>
          <w:trHeight w:val="357" w:hRule="atLeast"/>
        </w:trPr>
        <w:tc>
          <w:tcPr>
            <w:tcW w:w="648" w:type="pct"/>
            <w:shd w:val="clear" w:color="auto" w:fill="F6F6F6"/>
          </w:tcPr>
          <w:p>
            <w:pPr>
              <w:pStyle w:val="40"/>
              <w:spacing w:line="337" w:lineRule="exact"/>
              <w:ind w:left="514"/>
              <w:rPr>
                <w:rFonts w:ascii="宋体" w:eastAsia="宋体" w:cs="宋体"/>
                <w:b/>
                <w:sz w:val="24"/>
                <w:szCs w:val="24"/>
              </w:rPr>
            </w:pPr>
            <w:r>
              <w:rPr>
                <w:rFonts w:hint="eastAsia" w:ascii="宋体" w:eastAsia="宋体" w:cs="宋体"/>
                <w:b/>
                <w:w w:val="104"/>
                <w:sz w:val="24"/>
                <w:szCs w:val="24"/>
              </w:rPr>
              <w:t>…</w:t>
            </w:r>
          </w:p>
        </w:tc>
        <w:tc>
          <w:tcPr>
            <w:tcW w:w="1103" w:type="pct"/>
            <w:shd w:val="clear" w:color="auto" w:fill="F6F6F6"/>
          </w:tcPr>
          <w:p>
            <w:pPr>
              <w:pStyle w:val="40"/>
              <w:rPr>
                <w:rFonts w:ascii="宋体" w:eastAsia="宋体" w:cs="宋体"/>
                <w:sz w:val="24"/>
                <w:szCs w:val="24"/>
              </w:rPr>
            </w:pPr>
          </w:p>
        </w:tc>
        <w:tc>
          <w:tcPr>
            <w:tcW w:w="1103" w:type="pct"/>
            <w:shd w:val="clear" w:color="auto" w:fill="F6F6F6"/>
          </w:tcPr>
          <w:p>
            <w:pPr>
              <w:pStyle w:val="40"/>
              <w:rPr>
                <w:rFonts w:ascii="宋体" w:eastAsia="宋体" w:cs="宋体"/>
                <w:sz w:val="24"/>
                <w:szCs w:val="24"/>
              </w:rPr>
            </w:pPr>
          </w:p>
        </w:tc>
        <w:tc>
          <w:tcPr>
            <w:tcW w:w="1035" w:type="pct"/>
            <w:shd w:val="clear" w:color="auto" w:fill="F6F6F6"/>
          </w:tcPr>
          <w:p>
            <w:pPr>
              <w:pStyle w:val="40"/>
              <w:rPr>
                <w:rFonts w:ascii="宋体" w:eastAsia="宋体" w:cs="宋体"/>
                <w:sz w:val="24"/>
                <w:szCs w:val="24"/>
              </w:rPr>
            </w:pPr>
          </w:p>
        </w:tc>
        <w:tc>
          <w:tcPr>
            <w:tcW w:w="1109" w:type="pct"/>
            <w:shd w:val="clear" w:color="auto" w:fill="F6F6F6"/>
          </w:tcPr>
          <w:p>
            <w:pPr>
              <w:pStyle w:val="40"/>
              <w:rPr>
                <w:rFonts w:ascii="宋体" w:eastAsia="宋体" w:cs="宋体"/>
                <w:sz w:val="24"/>
                <w:szCs w:val="24"/>
              </w:rPr>
            </w:pPr>
          </w:p>
        </w:tc>
      </w:tr>
    </w:tbl>
    <w:p>
      <w:pPr>
        <w:pStyle w:val="11"/>
        <w:spacing w:before="2"/>
        <w:rPr>
          <w:rFonts w:ascii="宋体" w:cs="宋体"/>
          <w:b/>
          <w:sz w:val="24"/>
          <w:szCs w:val="24"/>
        </w:rPr>
      </w:pPr>
    </w:p>
    <w:p>
      <w:pPr>
        <w:jc w:val="center"/>
        <w:rPr>
          <w:rFonts w:ascii="宋体" w:cs="宋体"/>
          <w:sz w:val="24"/>
          <w:szCs w:val="24"/>
        </w:rPr>
      </w:pPr>
      <w:r>
        <w:rPr>
          <w:rFonts w:hint="eastAsia" w:ascii="宋体" w:cs="宋体"/>
          <w:sz w:val="24"/>
          <w:szCs w:val="24"/>
        </w:rPr>
        <w:t>供应商根据上述业绩情况后附销售或服务合同复印件。上述材料必须真实可信，如有弄虚作假，一旦被发现将按废标处理，并报请相关部门严肃处理，追究有关单位和人员的责任。</w:t>
      </w:r>
    </w:p>
    <w:p>
      <w:pPr>
        <w:rPr>
          <w:rFonts w:ascii="宋体" w:cs="宋体"/>
          <w:sz w:val="24"/>
          <w:szCs w:val="24"/>
        </w:rPr>
      </w:pPr>
    </w:p>
    <w:p>
      <w:pPr>
        <w:pStyle w:val="3"/>
        <w:spacing w:after="120"/>
        <w:rPr>
          <w:rFonts w:ascii="宋体" w:cs="宋体"/>
          <w:sz w:val="24"/>
          <w:szCs w:val="24"/>
        </w:rPr>
      </w:pPr>
    </w:p>
    <w:p>
      <w:pPr>
        <w:rPr>
          <w:rFonts w:ascii="宋体" w:cs="宋体"/>
          <w:sz w:val="24"/>
          <w:szCs w:val="24"/>
        </w:rPr>
      </w:pPr>
    </w:p>
    <w:p>
      <w:pPr>
        <w:pStyle w:val="3"/>
        <w:spacing w:after="120"/>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rPr>
          <w:rFonts w:ascii="宋体" w:cs="宋体"/>
          <w:sz w:val="24"/>
          <w:szCs w:val="24"/>
        </w:rPr>
      </w:pPr>
    </w:p>
    <w:p>
      <w:pPr>
        <w:pStyle w:val="3"/>
        <w:spacing w:after="120"/>
        <w:jc w:val="center"/>
        <w:rPr>
          <w:rFonts w:hint="eastAsia" w:ascii="宋体" w:eastAsia="宋体" w:cs="宋体"/>
          <w:lang w:eastAsia="zh-CN"/>
        </w:rPr>
      </w:pPr>
      <w:r>
        <w:rPr>
          <w:rFonts w:hint="eastAsia" w:ascii="宋体" w:cs="宋体"/>
          <w:lang w:eastAsia="zh-CN"/>
        </w:rPr>
        <w:t>八</w:t>
      </w:r>
      <w:r>
        <w:rPr>
          <w:rFonts w:hint="eastAsia" w:ascii="宋体" w:cs="宋体"/>
        </w:rPr>
        <w:t>、</w:t>
      </w:r>
      <w:r>
        <w:rPr>
          <w:rFonts w:hint="eastAsia" w:ascii="宋体" w:cs="宋体"/>
          <w:lang w:eastAsia="zh-CN"/>
        </w:rPr>
        <w:t>实施方案及相关内容</w:t>
      </w:r>
    </w:p>
    <w:p>
      <w:pPr>
        <w:rPr>
          <w:rFonts w:ascii="宋体" w:cs="宋体"/>
          <w:sz w:val="24"/>
          <w:szCs w:val="24"/>
        </w:rPr>
      </w:pPr>
    </w:p>
    <w:p>
      <w:pPr>
        <w:ind w:firstLine="600" w:firstLineChars="200"/>
        <w:rPr>
          <w:rFonts w:hint="eastAsia" w:ascii="宋体" w:cs="宋体"/>
          <w:sz w:val="30"/>
          <w:szCs w:val="30"/>
          <w:lang w:val="en-US" w:eastAsia="zh-CN"/>
        </w:rPr>
      </w:pPr>
      <w:r>
        <w:rPr>
          <w:rFonts w:hint="eastAsia" w:ascii="宋体" w:cs="宋体"/>
          <w:sz w:val="30"/>
          <w:szCs w:val="30"/>
          <w:lang w:val="en-US" w:eastAsia="zh-CN"/>
        </w:rPr>
        <w:t>1、实施方案</w:t>
      </w:r>
    </w:p>
    <w:p>
      <w:pPr>
        <w:ind w:firstLine="600" w:firstLineChars="200"/>
        <w:rPr>
          <w:rFonts w:hint="eastAsia" w:ascii="宋体" w:cs="宋体"/>
          <w:sz w:val="30"/>
          <w:szCs w:val="30"/>
          <w:lang w:val="en-US" w:eastAsia="zh-CN"/>
        </w:rPr>
      </w:pPr>
      <w:r>
        <w:rPr>
          <w:rFonts w:hint="eastAsia" w:ascii="宋体" w:cs="宋体"/>
          <w:sz w:val="30"/>
          <w:szCs w:val="30"/>
          <w:lang w:val="en-US" w:eastAsia="zh-CN"/>
        </w:rPr>
        <w:t>2.质量保障措施</w:t>
      </w:r>
    </w:p>
    <w:p>
      <w:pPr>
        <w:ind w:firstLine="600" w:firstLineChars="200"/>
        <w:rPr>
          <w:rFonts w:hint="eastAsia" w:ascii="宋体" w:cs="宋体"/>
          <w:sz w:val="30"/>
          <w:szCs w:val="30"/>
          <w:lang w:val="en-US" w:eastAsia="zh-CN"/>
        </w:rPr>
      </w:pPr>
      <w:r>
        <w:rPr>
          <w:rFonts w:hint="eastAsia" w:ascii="宋体" w:cs="宋体"/>
          <w:sz w:val="30"/>
          <w:szCs w:val="30"/>
          <w:lang w:val="en-US" w:eastAsia="zh-CN"/>
        </w:rPr>
        <w:t>3.所投项目重点、难点分析</w:t>
      </w:r>
    </w:p>
    <w:p>
      <w:pPr>
        <w:ind w:firstLine="600" w:firstLineChars="200"/>
        <w:rPr>
          <w:rFonts w:hint="default" w:ascii="宋体" w:cs="宋体"/>
          <w:sz w:val="30"/>
          <w:szCs w:val="30"/>
          <w:lang w:val="en-US" w:eastAsia="zh-CN"/>
        </w:rPr>
      </w:pPr>
      <w:r>
        <w:rPr>
          <w:rFonts w:hint="eastAsia" w:ascii="宋体" w:cs="宋体"/>
          <w:sz w:val="30"/>
          <w:szCs w:val="30"/>
          <w:lang w:val="en-US" w:eastAsia="zh-CN"/>
        </w:rPr>
        <w:t>4.进度安排及保密措施</w:t>
      </w:r>
    </w:p>
    <w:p>
      <w:pPr>
        <w:rPr>
          <w:rFonts w:hint="default" w:ascii="宋体" w:eastAsia="宋体" w:cs="宋体"/>
          <w:sz w:val="30"/>
          <w:szCs w:val="30"/>
          <w:lang w:val="en-US" w:eastAsia="zh-CN"/>
        </w:rPr>
      </w:pPr>
      <w:r>
        <w:rPr>
          <w:rFonts w:hint="eastAsia" w:ascii="宋体" w:cs="宋体"/>
          <w:sz w:val="30"/>
          <w:szCs w:val="30"/>
          <w:lang w:val="en-US" w:eastAsia="zh-CN"/>
        </w:rPr>
        <w:t xml:space="preserve">    等</w:t>
      </w:r>
    </w:p>
    <w:sectPr>
      <w:footerReference r:id="rId8" w:type="default"/>
      <w:pgSz w:w="11900" w:h="16838"/>
      <w:pgMar w:top="1440" w:right="1080" w:bottom="1440" w:left="1080" w:header="0" w:footer="91"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Light">
    <w:altName w:val="华文中宋"/>
    <w:panose1 w:val="00000000000000000000"/>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等线">
    <w:altName w:val="华文中宋"/>
    <w:panose1 w:val="00000000000000000000"/>
    <w:charset w:val="86"/>
    <w:family w:val="auto"/>
    <w:pitch w:val="default"/>
    <w:sig w:usb0="00000000" w:usb1="00000000" w:usb2="00000016" w:usb3="00000000" w:csb0="0004000F" w:csb1="00000000"/>
  </w:font>
  <w:font w:name="微软雅黑">
    <w:altName w:val="方正黑体_GBK"/>
    <w:panose1 w:val="00000000000000000000"/>
    <w:charset w:val="86"/>
    <w:family w:val="auto"/>
    <w:pitch w:val="default"/>
    <w:sig w:usb0="00000000" w:usb1="00000000" w:usb2="00000016" w:usb3="00000000" w:csb0="0004001F"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0000009F" w:csb1="00000000"/>
  </w:font>
  <w:font w:name="Noto Sans Syriac Eastern">
    <w:panose1 w:val="02040503050306020203"/>
    <w:charset w:val="86"/>
    <w:family w:val="auto"/>
    <w:pitch w:val="default"/>
    <w:sig w:usb0="00000000" w:usb1="00000000" w:usb2="00000080" w:usb3="00000000" w:csb0="203E0161" w:csb1="D7FF0000"/>
  </w:font>
  <w:font w:name="楷体">
    <w:altName w:val="方正楷体_GBK"/>
    <w:panose1 w:val="00000000000000000000"/>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0000000000000000000"/>
    <w:charset w:val="86"/>
    <w:family w:val="auto"/>
    <w:pitch w:val="default"/>
    <w:sig w:usb0="00000000" w:usb1="00000000" w:usb2="00000016" w:usb3="00000000" w:csb0="00040001" w:csb1="00000000"/>
  </w:font>
  <w:font w:name="FZSSK--GBK1-0">
    <w:altName w:val="华文中宋"/>
    <w:panose1 w:val="00000000000000000000"/>
    <w:charset w:val="00"/>
    <w:family w:val="auto"/>
    <w:pitch w:val="default"/>
    <w:sig w:usb0="00000000" w:usb1="00000000" w:usb2="00000000" w:usb3="00000000" w:csb0="00000000" w:csb1="00000000"/>
  </w:font>
  <w:font w:name="E-BZ">
    <w:altName w:val="华文中宋"/>
    <w:panose1 w:val="00000000000000000000"/>
    <w:charset w:val="00"/>
    <w:family w:val="auto"/>
    <w:pitch w:val="default"/>
    <w:sig w:usb0="00000000" w:usb1="00000000" w:usb2="00000000" w:usb3="00000000" w:csb0="00000000" w:csb1="00000000"/>
  </w:font>
  <w:font w:name="楷体_GB2312">
    <w:altName w:val="方正楷体_GBK"/>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hint="eastAsia"/>
      </w:rPr>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hint="eastAsia"/>
      </w:rPr>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870"/>
        <w:tab w:val="clear" w:pos="4153"/>
      </w:tabs>
      <w:rPr>
        <w:rFonts w:hint="eastAsia"/>
      </w:rPr>
    </w:pPr>
    <w:r>
      <w:rPr>
        <w:rFonts w:hint="eastAsia"/>
      </w:rP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18"/>
                  <w:rPr>
                    <w:rFonts w:hint="eastAsia"/>
                  </w:rPr>
                </w:pPr>
                <w:r>
                  <w:t xml:space="preserve">第 </w:t>
                </w:r>
                <w:r>
                  <w:fldChar w:fldCharType="begin"/>
                </w:r>
                <w:r>
                  <w:instrText xml:space="preserve"> PAGE  \* MERGEFORMAT </w:instrText>
                </w:r>
                <w:r>
                  <w:fldChar w:fldCharType="separate"/>
                </w:r>
                <w:r>
                  <w:rPr>
                    <w:rFonts w:hint="eastAsia"/>
                  </w:rPr>
                  <w:t>19</w:t>
                </w:r>
                <w:r>
                  <w:rPr>
                    <w:rFonts w:hint="eastAsia"/>
                  </w:rPr>
                  <w:fldChar w:fldCharType="end"/>
                </w:r>
                <w:r>
                  <w:t xml:space="preserve"> 页</w:t>
                </w:r>
              </w:p>
            </w:txbxContent>
          </v:textbox>
        </v:shape>
      </w:pict>
    </w: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hint="eastAsia"/>
      </w:rPr>
    </w:pPr>
    <w:r>
      <w:rPr>
        <w:rFonts w:hint="eastAsia"/>
      </w:rPr>
      <w:pict>
        <v:shape id="_x0000_s1027" o:spid="_x0000_s102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path/>
          <v:fill on="f" focussize="0,0"/>
          <v:stroke on="f" weight="0.5pt" joinstyle="miter"/>
          <v:imagedata o:title=""/>
          <o:lock v:ext="edit"/>
          <v:textbox inset="0mm,0mm,0mm,0mm" style="mso-fit-shape-to-text:t;">
            <w:txbxContent>
              <w:p>
                <w:pPr>
                  <w:pStyle w:val="18"/>
                  <w:rPr>
                    <w:rFonts w:hint="eastAsia"/>
                  </w:rPr>
                </w:pPr>
                <w:r>
                  <w:t xml:space="preserve">第 </w:t>
                </w:r>
                <w:r>
                  <w:fldChar w:fldCharType="begin"/>
                </w:r>
                <w:r>
                  <w:instrText xml:space="preserve"> PAGE  \* MERGEFORMAT </w:instrText>
                </w:r>
                <w:r>
                  <w:fldChar w:fldCharType="separate"/>
                </w:r>
                <w:r>
                  <w:rPr>
                    <w:rFonts w:hint="eastAsia"/>
                  </w:rPr>
                  <w:t>32</w:t>
                </w:r>
                <w:r>
                  <w:rPr>
                    <w:rFonts w:hint="eastAsia"/>
                  </w:rPr>
                  <w:fldChar w:fldCharType="end"/>
                </w:r>
                <w:r>
                  <w:t xml:space="preserve"> 页</w:t>
                </w:r>
              </w:p>
            </w:txbxContent>
          </v:textbox>
        </v:shape>
      </w:pict>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eastAsia"/>
      </w:rP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eastAsia"/>
      </w:rP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323878"/>
    <w:multiLevelType w:val="multilevel"/>
    <w:tmpl w:val="42323878"/>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C3C6CD8"/>
    <w:multiLevelType w:val="multilevel"/>
    <w:tmpl w:val="4C3C6CD8"/>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9C762FC"/>
    <w:multiLevelType w:val="multilevel"/>
    <w:tmpl w:val="59C762FC"/>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62883BC9"/>
    <w:multiLevelType w:val="multilevel"/>
    <w:tmpl w:val="62883BC9"/>
    <w:lvl w:ilvl="0" w:tentative="0">
      <w:start w:val="1"/>
      <w:numFmt w:val="decimal"/>
      <w:pStyle w:val="44"/>
      <w:lvlText w:val="%1"/>
      <w:lvlJc w:val="left"/>
      <w:pPr>
        <w:tabs>
          <w:tab w:val="left" w:pos="0"/>
        </w:tabs>
        <w:ind w:left="425" w:hanging="425"/>
      </w:pPr>
    </w:lvl>
    <w:lvl w:ilvl="1" w:tentative="0">
      <w:start w:val="1"/>
      <w:numFmt w:val="decimal"/>
      <w:pStyle w:val="45"/>
      <w:lvlText w:val="%1.%2"/>
      <w:lvlJc w:val="left"/>
      <w:pPr>
        <w:tabs>
          <w:tab w:val="left" w:pos="0"/>
        </w:tabs>
        <w:ind w:left="992" w:hanging="567"/>
      </w:pPr>
    </w:lvl>
    <w:lvl w:ilvl="2" w:tentative="0">
      <w:start w:val="1"/>
      <w:numFmt w:val="decimal"/>
      <w:lvlText w:val="%1.%2.%3"/>
      <w:lvlJc w:val="left"/>
      <w:pPr>
        <w:tabs>
          <w:tab w:val="left" w:pos="0"/>
        </w:tabs>
        <w:ind w:left="1418" w:hanging="567"/>
      </w:pPr>
    </w:lvl>
    <w:lvl w:ilvl="3" w:tentative="0">
      <w:start w:val="1"/>
      <w:numFmt w:val="decimal"/>
      <w:lvlText w:val="%1.%2.%3.%4"/>
      <w:lvlJc w:val="left"/>
      <w:pPr>
        <w:tabs>
          <w:tab w:val="left" w:pos="0"/>
        </w:tabs>
        <w:ind w:left="1984" w:hanging="708"/>
      </w:pPr>
    </w:lvl>
    <w:lvl w:ilvl="4" w:tentative="0">
      <w:start w:val="1"/>
      <w:numFmt w:val="decimal"/>
      <w:lvlText w:val="%1.%2.%3.%4.%5"/>
      <w:lvlJc w:val="left"/>
      <w:pPr>
        <w:tabs>
          <w:tab w:val="left" w:pos="0"/>
        </w:tabs>
        <w:ind w:left="2551" w:hanging="850"/>
      </w:pPr>
    </w:lvl>
    <w:lvl w:ilvl="5" w:tentative="0">
      <w:start w:val="1"/>
      <w:numFmt w:val="decimal"/>
      <w:lvlText w:val="%1.%2.%3.%4.%5.%6"/>
      <w:lvlJc w:val="left"/>
      <w:pPr>
        <w:tabs>
          <w:tab w:val="left" w:pos="0"/>
        </w:tabs>
        <w:ind w:left="3260" w:hanging="1134"/>
      </w:pPr>
    </w:lvl>
    <w:lvl w:ilvl="6" w:tentative="0">
      <w:start w:val="1"/>
      <w:numFmt w:val="decimal"/>
      <w:lvlText w:val="%1.%2.%3.%4.%5.%6.%7"/>
      <w:lvlJc w:val="left"/>
      <w:pPr>
        <w:tabs>
          <w:tab w:val="left" w:pos="0"/>
        </w:tabs>
        <w:ind w:left="3827" w:hanging="1276"/>
      </w:pPr>
    </w:lvl>
    <w:lvl w:ilvl="7" w:tentative="0">
      <w:start w:val="1"/>
      <w:numFmt w:val="decimal"/>
      <w:lvlText w:val="%1.%2.%3.%4.%5.%6.%7.%8"/>
      <w:lvlJc w:val="left"/>
      <w:pPr>
        <w:tabs>
          <w:tab w:val="left" w:pos="0"/>
        </w:tabs>
        <w:ind w:left="4394" w:hanging="1418"/>
      </w:pPr>
    </w:lvl>
    <w:lvl w:ilvl="8" w:tentative="0">
      <w:start w:val="1"/>
      <w:numFmt w:val="decimal"/>
      <w:lvlText w:val="%1.%2.%3.%4.%5.%6.%7.%8.%9"/>
      <w:lvlJc w:val="left"/>
      <w:pPr>
        <w:tabs>
          <w:tab w:val="left" w:pos="0"/>
        </w:tabs>
        <w:ind w:left="5102" w:hanging="170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ulTrailSpace/>
    <w:doNotExpandShiftReturn/>
    <w:adjustLineHeightInTable/>
    <w:doNotWrapTextWithPunct/>
    <w:doNotUseEastAsianBreakRules/>
    <w:growAutofit/>
    <w:useFELayout/>
    <w:doNotUseIndentAsNumberingTabStop/>
    <w:useAltKinsokuLineBreakRules/>
    <w:compatSetting w:name="compatibilityMode" w:uri="http://schemas.microsoft.com/office/word" w:val="12"/>
  </w:compat>
  <w:docVars>
    <w:docVar w:name="commondata" w:val="eyJoZGlkIjoiNmYzYTY2MGYyNTY5NDkwNzFhYmUwYjRmOWM1NzA1YTQifQ=="/>
  </w:docVars>
  <w:rsids>
    <w:rsidRoot w:val="00DC7BED"/>
    <w:rsid w:val="0002333D"/>
    <w:rsid w:val="001F61E0"/>
    <w:rsid w:val="004F0EB3"/>
    <w:rsid w:val="0060530D"/>
    <w:rsid w:val="006D141B"/>
    <w:rsid w:val="00783509"/>
    <w:rsid w:val="00993D7D"/>
    <w:rsid w:val="00A00CD8"/>
    <w:rsid w:val="00D7593C"/>
    <w:rsid w:val="00DB1860"/>
    <w:rsid w:val="00DC7BED"/>
    <w:rsid w:val="00DD157B"/>
    <w:rsid w:val="00DF54DD"/>
    <w:rsid w:val="00E81325"/>
    <w:rsid w:val="01C54B55"/>
    <w:rsid w:val="05733C5A"/>
    <w:rsid w:val="05B31A95"/>
    <w:rsid w:val="05E7567E"/>
    <w:rsid w:val="07490409"/>
    <w:rsid w:val="0757624F"/>
    <w:rsid w:val="092D36EF"/>
    <w:rsid w:val="097359BC"/>
    <w:rsid w:val="0A3F7085"/>
    <w:rsid w:val="0B61083E"/>
    <w:rsid w:val="0E20482A"/>
    <w:rsid w:val="0ED40186"/>
    <w:rsid w:val="116F6CAF"/>
    <w:rsid w:val="12F700A3"/>
    <w:rsid w:val="13221AEE"/>
    <w:rsid w:val="13C92283"/>
    <w:rsid w:val="15FA4976"/>
    <w:rsid w:val="164D3776"/>
    <w:rsid w:val="16F10471"/>
    <w:rsid w:val="173E6AE4"/>
    <w:rsid w:val="178A6BEF"/>
    <w:rsid w:val="192A5B21"/>
    <w:rsid w:val="198B04B4"/>
    <w:rsid w:val="19A40F43"/>
    <w:rsid w:val="1A845395"/>
    <w:rsid w:val="1AA83ECE"/>
    <w:rsid w:val="1B2D295E"/>
    <w:rsid w:val="1B4461B3"/>
    <w:rsid w:val="1BDF159A"/>
    <w:rsid w:val="1C3B37AE"/>
    <w:rsid w:val="1F736B48"/>
    <w:rsid w:val="204F52F3"/>
    <w:rsid w:val="226F0499"/>
    <w:rsid w:val="22B645B0"/>
    <w:rsid w:val="22D306A5"/>
    <w:rsid w:val="23350ABD"/>
    <w:rsid w:val="24D1063E"/>
    <w:rsid w:val="25867FD4"/>
    <w:rsid w:val="27B9754B"/>
    <w:rsid w:val="28E374EB"/>
    <w:rsid w:val="290F078D"/>
    <w:rsid w:val="2B11A8E6"/>
    <w:rsid w:val="2DA72631"/>
    <w:rsid w:val="308756ED"/>
    <w:rsid w:val="30921592"/>
    <w:rsid w:val="33D416F9"/>
    <w:rsid w:val="33D95AC9"/>
    <w:rsid w:val="344D4B67"/>
    <w:rsid w:val="355668C6"/>
    <w:rsid w:val="35F2535E"/>
    <w:rsid w:val="37C2566E"/>
    <w:rsid w:val="37D672F1"/>
    <w:rsid w:val="38316AF8"/>
    <w:rsid w:val="3FEE56E9"/>
    <w:rsid w:val="3FF7AACF"/>
    <w:rsid w:val="412774F5"/>
    <w:rsid w:val="41BB0463"/>
    <w:rsid w:val="41C344DC"/>
    <w:rsid w:val="425D5B02"/>
    <w:rsid w:val="43A01854"/>
    <w:rsid w:val="4402719E"/>
    <w:rsid w:val="44D46E38"/>
    <w:rsid w:val="453A2A0A"/>
    <w:rsid w:val="4667651F"/>
    <w:rsid w:val="46762F99"/>
    <w:rsid w:val="495F4514"/>
    <w:rsid w:val="4ACB0EB5"/>
    <w:rsid w:val="4BA36F9E"/>
    <w:rsid w:val="4C7F6216"/>
    <w:rsid w:val="4ED36075"/>
    <w:rsid w:val="4EE6EFF1"/>
    <w:rsid w:val="4F7F146C"/>
    <w:rsid w:val="50E81598"/>
    <w:rsid w:val="53644F13"/>
    <w:rsid w:val="53BB6698"/>
    <w:rsid w:val="54897E19"/>
    <w:rsid w:val="55427724"/>
    <w:rsid w:val="56CD6DB7"/>
    <w:rsid w:val="56FE2104"/>
    <w:rsid w:val="578B78A2"/>
    <w:rsid w:val="582057F5"/>
    <w:rsid w:val="585D4315"/>
    <w:rsid w:val="58776F08"/>
    <w:rsid w:val="58F80A4D"/>
    <w:rsid w:val="59745301"/>
    <w:rsid w:val="59CD3253"/>
    <w:rsid w:val="5B6077EF"/>
    <w:rsid w:val="5B956E39"/>
    <w:rsid w:val="5BB44F67"/>
    <w:rsid w:val="5C4070FB"/>
    <w:rsid w:val="5DFDDEDA"/>
    <w:rsid w:val="5E822E53"/>
    <w:rsid w:val="5EB2507A"/>
    <w:rsid w:val="5EBE6AE4"/>
    <w:rsid w:val="5EF13A09"/>
    <w:rsid w:val="5F3B9BC4"/>
    <w:rsid w:val="62200F7B"/>
    <w:rsid w:val="638A0E49"/>
    <w:rsid w:val="65B60CEB"/>
    <w:rsid w:val="69FD748B"/>
    <w:rsid w:val="6AFD3A72"/>
    <w:rsid w:val="6B751A2D"/>
    <w:rsid w:val="6B9D7CBB"/>
    <w:rsid w:val="6C4FF050"/>
    <w:rsid w:val="6D0112BB"/>
    <w:rsid w:val="6D20128D"/>
    <w:rsid w:val="6D220C60"/>
    <w:rsid w:val="6E1B7A6C"/>
    <w:rsid w:val="6E3A103C"/>
    <w:rsid w:val="6FF25AE0"/>
    <w:rsid w:val="6FFF0B95"/>
    <w:rsid w:val="6FFF9A7B"/>
    <w:rsid w:val="71E35F77"/>
    <w:rsid w:val="71EE7186"/>
    <w:rsid w:val="72751D81"/>
    <w:rsid w:val="72985992"/>
    <w:rsid w:val="73BB013C"/>
    <w:rsid w:val="73F63E7A"/>
    <w:rsid w:val="753315F0"/>
    <w:rsid w:val="753C6B6B"/>
    <w:rsid w:val="76866FD1"/>
    <w:rsid w:val="76D22291"/>
    <w:rsid w:val="77403658"/>
    <w:rsid w:val="776D1CBB"/>
    <w:rsid w:val="77712B44"/>
    <w:rsid w:val="782D565A"/>
    <w:rsid w:val="783749E1"/>
    <w:rsid w:val="79D1185E"/>
    <w:rsid w:val="7A6B6797"/>
    <w:rsid w:val="7A734DAA"/>
    <w:rsid w:val="7BB7002D"/>
    <w:rsid w:val="7BFF4999"/>
    <w:rsid w:val="7D175FEF"/>
    <w:rsid w:val="7D9B2D02"/>
    <w:rsid w:val="7DBBFBA3"/>
    <w:rsid w:val="7DCD791A"/>
    <w:rsid w:val="7DEB1171"/>
    <w:rsid w:val="7EBA5794"/>
    <w:rsid w:val="7EDFD41B"/>
    <w:rsid w:val="7EFAA30E"/>
    <w:rsid w:val="7F676905"/>
    <w:rsid w:val="7F8B9512"/>
    <w:rsid w:val="7F9B3D14"/>
    <w:rsid w:val="7FA02704"/>
    <w:rsid w:val="7FBD763C"/>
    <w:rsid w:val="7FE6B2CA"/>
    <w:rsid w:val="7FF42FCB"/>
    <w:rsid w:val="7FFBEB3E"/>
    <w:rsid w:val="9F470690"/>
    <w:rsid w:val="BF3FCF2F"/>
    <w:rsid w:val="D3F58681"/>
    <w:rsid w:val="DBF80FB7"/>
    <w:rsid w:val="DFAFC275"/>
    <w:rsid w:val="DFEFA401"/>
    <w:rsid w:val="E77335C4"/>
    <w:rsid w:val="EBFE6E7A"/>
    <w:rsid w:val="EDFF7874"/>
    <w:rsid w:val="EFDCA94B"/>
    <w:rsid w:val="F9FA600E"/>
    <w:rsid w:val="FD6666A2"/>
    <w:rsid w:val="FDB2CA43"/>
    <w:rsid w:val="FDF84061"/>
    <w:rsid w:val="FF4B91B0"/>
    <w:rsid w:val="FF7D09B6"/>
    <w:rsid w:val="FF7EE4B7"/>
    <w:rsid w:val="FF7F5382"/>
    <w:rsid w:val="FF7FCD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35"/>
    <w:qFormat/>
    <w:uiPriority w:val="0"/>
    <w:pPr>
      <w:keepNext/>
      <w:keepLines/>
      <w:spacing w:after="120"/>
      <w:jc w:val="center"/>
      <w:outlineLvl w:val="0"/>
    </w:pPr>
    <w:rPr>
      <w:b/>
      <w:bCs/>
      <w:kern w:val="44"/>
      <w:sz w:val="44"/>
      <w:szCs w:val="44"/>
    </w:rPr>
  </w:style>
  <w:style w:type="paragraph" w:styleId="3">
    <w:name w:val="heading 2"/>
    <w:basedOn w:val="1"/>
    <w:next w:val="1"/>
    <w:qFormat/>
    <w:uiPriority w:val="0"/>
    <w:pPr>
      <w:keepNext/>
      <w:keepLines/>
      <w:spacing w:afterLines="50"/>
      <w:outlineLvl w:val="1"/>
    </w:pPr>
    <w:rPr>
      <w:rFonts w:ascii="等线 Light" w:hAnsi="等线 Light"/>
      <w:b/>
      <w:bCs/>
      <w:sz w:val="28"/>
      <w:szCs w:val="32"/>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bCs/>
      <w:kern w:val="0"/>
      <w:sz w:val="24"/>
      <w:szCs w:val="24"/>
      <w:u w:val="single"/>
    </w:rPr>
  </w:style>
  <w:style w:type="paragraph" w:styleId="5">
    <w:name w:val="heading 4"/>
    <w:basedOn w:val="1"/>
    <w:next w:val="1"/>
    <w:qFormat/>
    <w:uiPriority w:val="0"/>
    <w:pPr>
      <w:spacing w:beforeAutospacing="1" w:afterAutospacing="1"/>
      <w:jc w:val="left"/>
      <w:outlineLvl w:val="3"/>
    </w:pPr>
    <w:rPr>
      <w:rFonts w:ascii="宋体" w:cs="宋体"/>
      <w:b/>
      <w:bCs/>
      <w:kern w:val="0"/>
      <w:sz w:val="24"/>
      <w:szCs w:val="24"/>
    </w:rPr>
  </w:style>
  <w:style w:type="paragraph" w:styleId="6">
    <w:name w:val="heading 6"/>
    <w:basedOn w:val="1"/>
    <w:next w:val="1"/>
    <w:qFormat/>
    <w:uiPriority w:val="0"/>
    <w:pPr>
      <w:spacing w:beforeAutospacing="1" w:afterAutospacing="1"/>
      <w:jc w:val="left"/>
      <w:outlineLvl w:val="5"/>
    </w:pPr>
    <w:rPr>
      <w:rFonts w:ascii="宋体" w:cs="宋体"/>
      <w:b/>
      <w:bCs/>
      <w:kern w:val="0"/>
      <w:sz w:val="15"/>
      <w:szCs w:val="15"/>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7">
    <w:name w:val="table of authorities"/>
    <w:basedOn w:val="1"/>
    <w:next w:val="1"/>
    <w:qFormat/>
    <w:uiPriority w:val="0"/>
    <w:pPr>
      <w:ind w:left="200" w:leftChars="200"/>
    </w:pPr>
    <w:rPr>
      <w:rFonts w:ascii="Calibri" w:hAnsi="Calibri"/>
    </w:rPr>
  </w:style>
  <w:style w:type="paragraph" w:styleId="8">
    <w:name w:val="Normal Indent"/>
    <w:basedOn w:val="1"/>
    <w:qFormat/>
    <w:uiPriority w:val="0"/>
    <w:pPr>
      <w:ind w:firstLine="200" w:firstLineChars="200"/>
    </w:pPr>
    <w:rPr>
      <w:rFonts w:cs="宋体"/>
    </w:rPr>
  </w:style>
  <w:style w:type="paragraph" w:styleId="9">
    <w:name w:val="Document Map"/>
    <w:basedOn w:val="1"/>
    <w:next w:val="1"/>
    <w:qFormat/>
    <w:uiPriority w:val="0"/>
    <w:pPr>
      <w:shd w:val="clear" w:color="auto" w:fill="000080"/>
    </w:pPr>
    <w:rPr>
      <w:kern w:val="0"/>
      <w:sz w:val="20"/>
    </w:rPr>
  </w:style>
  <w:style w:type="paragraph" w:styleId="10">
    <w:name w:val="annotation text"/>
    <w:basedOn w:val="1"/>
    <w:qFormat/>
    <w:uiPriority w:val="0"/>
    <w:pPr>
      <w:jc w:val="left"/>
    </w:pPr>
  </w:style>
  <w:style w:type="paragraph" w:styleId="11">
    <w:name w:val="Body Text"/>
    <w:basedOn w:val="1"/>
    <w:qFormat/>
    <w:uiPriority w:val="0"/>
    <w:rPr>
      <w:kern w:val="0"/>
    </w:rPr>
  </w:style>
  <w:style w:type="paragraph" w:styleId="12">
    <w:name w:val="Body Text Indent"/>
    <w:basedOn w:val="1"/>
    <w:qFormat/>
    <w:uiPriority w:val="0"/>
    <w:pPr>
      <w:ind w:firstLine="352" w:firstLineChars="352"/>
    </w:pPr>
    <w:rPr>
      <w:rFonts w:ascii="仿宋_GB2312" w:eastAsia="仿宋_GB2312"/>
      <w:kern w:val="0"/>
      <w:sz w:val="32"/>
      <w:szCs w:val="32"/>
    </w:rPr>
  </w:style>
  <w:style w:type="paragraph" w:styleId="13">
    <w:name w:val="toc 3"/>
    <w:basedOn w:val="1"/>
    <w:next w:val="1"/>
    <w:qFormat/>
    <w:uiPriority w:val="0"/>
    <w:pPr>
      <w:widowControl/>
      <w:spacing w:after="100" w:line="259" w:lineRule="auto"/>
      <w:ind w:left="440"/>
      <w:jc w:val="left"/>
    </w:pPr>
    <w:rPr>
      <w:rFonts w:ascii="等线" w:eastAsia="等线"/>
      <w:kern w:val="0"/>
      <w:sz w:val="22"/>
      <w:szCs w:val="22"/>
    </w:rPr>
  </w:style>
  <w:style w:type="paragraph" w:styleId="14">
    <w:name w:val="Plain Text"/>
    <w:basedOn w:val="1"/>
    <w:qFormat/>
    <w:uiPriority w:val="0"/>
    <w:pPr>
      <w:widowControl/>
      <w:spacing w:before="100" w:beforeAutospacing="1" w:after="100" w:afterAutospacing="1"/>
      <w:jc w:val="left"/>
    </w:pPr>
    <w:rPr>
      <w:rFonts w:ascii="宋体" w:cs="宋体"/>
      <w:kern w:val="0"/>
      <w:sz w:val="24"/>
      <w:szCs w:val="24"/>
    </w:rPr>
  </w:style>
  <w:style w:type="paragraph" w:styleId="15">
    <w:name w:val="Date"/>
    <w:basedOn w:val="1"/>
    <w:next w:val="1"/>
    <w:qFormat/>
    <w:uiPriority w:val="0"/>
    <w:pPr>
      <w:ind w:left="2500" w:leftChars="2500"/>
    </w:pPr>
  </w:style>
  <w:style w:type="paragraph" w:styleId="16">
    <w:name w:val="Body Text Indent 2"/>
    <w:basedOn w:val="1"/>
    <w:qFormat/>
    <w:uiPriority w:val="0"/>
    <w:pPr>
      <w:spacing w:after="120" w:line="480" w:lineRule="auto"/>
      <w:ind w:left="200" w:leftChars="200"/>
    </w:pPr>
  </w:style>
  <w:style w:type="paragraph" w:styleId="17">
    <w:name w:val="Balloon Text"/>
    <w:basedOn w:val="1"/>
    <w:qFormat/>
    <w:uiPriority w:val="0"/>
    <w:rPr>
      <w:sz w:val="18"/>
      <w:szCs w:val="18"/>
    </w:rPr>
  </w:style>
  <w:style w:type="paragraph" w:styleId="18">
    <w:name w:val="footer"/>
    <w:basedOn w:val="1"/>
    <w:qFormat/>
    <w:uiPriority w:val="0"/>
    <w:pPr>
      <w:tabs>
        <w:tab w:val="center" w:pos="4153"/>
        <w:tab w:val="right" w:pos="8306"/>
      </w:tabs>
      <w:snapToGrid w:val="0"/>
      <w:jc w:val="left"/>
    </w:pPr>
    <w:rPr>
      <w:rFonts w:ascii="Calibri" w:hAnsi="Calibri" w:cs="Calibri"/>
      <w:sz w:val="18"/>
      <w:szCs w:val="18"/>
    </w:rPr>
  </w:style>
  <w:style w:type="paragraph" w:styleId="19">
    <w:name w:val="header"/>
    <w:basedOn w:val="1"/>
    <w:next w:val="20"/>
    <w:qFormat/>
    <w:uiPriority w:val="0"/>
    <w:pPr>
      <w:pBdr>
        <w:bottom w:val="single" w:color="auto" w:sz="6" w:space="1"/>
      </w:pBdr>
      <w:tabs>
        <w:tab w:val="center" w:pos="4153"/>
        <w:tab w:val="right" w:pos="8306"/>
      </w:tabs>
      <w:snapToGrid w:val="0"/>
      <w:jc w:val="center"/>
    </w:pPr>
    <w:rPr>
      <w:rFonts w:ascii="Calibri" w:hAnsi="Calibri" w:cs="Calibri"/>
      <w:sz w:val="18"/>
      <w:szCs w:val="18"/>
    </w:rPr>
  </w:style>
  <w:style w:type="paragraph" w:customStyle="1" w:styleId="20">
    <w:name w:val="Quote1"/>
    <w:basedOn w:val="1"/>
    <w:next w:val="1"/>
    <w:qFormat/>
    <w:uiPriority w:val="0"/>
    <w:pPr>
      <w:widowControl/>
      <w:wordWrap w:val="0"/>
      <w:spacing w:before="200" w:after="160"/>
      <w:ind w:left="864" w:right="864"/>
      <w:jc w:val="center"/>
    </w:pPr>
    <w:rPr>
      <w:rFonts w:ascii="宋体"/>
      <w:i/>
      <w:color w:val="404040"/>
    </w:rPr>
  </w:style>
  <w:style w:type="paragraph" w:styleId="21">
    <w:name w:val="toc 1"/>
    <w:basedOn w:val="1"/>
    <w:next w:val="1"/>
    <w:qFormat/>
    <w:uiPriority w:val="0"/>
    <w:pPr>
      <w:widowControl/>
      <w:spacing w:after="100" w:line="259" w:lineRule="auto"/>
      <w:jc w:val="left"/>
    </w:pPr>
    <w:rPr>
      <w:rFonts w:ascii="等线" w:eastAsia="等线"/>
      <w:kern w:val="0"/>
      <w:sz w:val="22"/>
      <w:szCs w:val="22"/>
    </w:rPr>
  </w:style>
  <w:style w:type="paragraph" w:styleId="22">
    <w:name w:val="toc 2"/>
    <w:basedOn w:val="1"/>
    <w:next w:val="1"/>
    <w:qFormat/>
    <w:uiPriority w:val="0"/>
    <w:pPr>
      <w:widowControl/>
      <w:spacing w:after="100" w:line="259" w:lineRule="auto"/>
      <w:ind w:left="220"/>
      <w:jc w:val="left"/>
    </w:pPr>
    <w:rPr>
      <w:rFonts w:ascii="等线" w:eastAsia="等线"/>
      <w:kern w:val="0"/>
      <w:sz w:val="22"/>
      <w:szCs w:val="22"/>
    </w:rPr>
  </w:style>
  <w:style w:type="paragraph" w:styleId="23">
    <w:name w:val="Body Text 2"/>
    <w:basedOn w:val="1"/>
    <w:qFormat/>
    <w:uiPriority w:val="0"/>
    <w:pPr>
      <w:spacing w:after="120" w:line="480" w:lineRule="auto"/>
    </w:pPr>
  </w:style>
  <w:style w:type="paragraph" w:styleId="24">
    <w:name w:val="Normal (Web)"/>
    <w:basedOn w:val="1"/>
    <w:qFormat/>
    <w:uiPriority w:val="0"/>
    <w:pPr>
      <w:widowControl/>
      <w:spacing w:before="100" w:beforeAutospacing="1" w:after="100" w:afterAutospacing="1"/>
      <w:jc w:val="left"/>
    </w:pPr>
    <w:rPr>
      <w:rFonts w:ascii="宋体" w:hAnsi="宋体" w:eastAsia="微软雅黑" w:cs="宋体"/>
      <w:kern w:val="0"/>
      <w:sz w:val="24"/>
      <w:szCs w:val="24"/>
    </w:rPr>
  </w:style>
  <w:style w:type="paragraph" w:styleId="25">
    <w:name w:val="Title"/>
    <w:basedOn w:val="1"/>
    <w:next w:val="1"/>
    <w:qFormat/>
    <w:uiPriority w:val="0"/>
    <w:pPr>
      <w:spacing w:before="240" w:after="60"/>
      <w:jc w:val="center"/>
      <w:outlineLvl w:val="0"/>
    </w:pPr>
    <w:rPr>
      <w:rFonts w:ascii="Cambria" w:hAnsi="Cambria"/>
      <w:b/>
      <w:kern w:val="0"/>
      <w:sz w:val="32"/>
      <w:szCs w:val="32"/>
    </w:rPr>
  </w:style>
  <w:style w:type="paragraph" w:styleId="26">
    <w:name w:val="Body Text First Indent 2"/>
    <w:basedOn w:val="12"/>
    <w:qFormat/>
    <w:uiPriority w:val="0"/>
    <w:pPr>
      <w:ind w:firstLine="200" w:firstLine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0"/>
    <w:rPr>
      <w:b/>
      <w:bCs/>
    </w:rPr>
  </w:style>
  <w:style w:type="character" w:styleId="31">
    <w:name w:val="FollowedHyperlink"/>
    <w:basedOn w:val="29"/>
    <w:qFormat/>
    <w:uiPriority w:val="0"/>
    <w:rPr>
      <w:color w:val="954F72"/>
      <w:u w:val="single"/>
    </w:rPr>
  </w:style>
  <w:style w:type="character" w:styleId="32">
    <w:name w:val="Emphasis"/>
    <w:basedOn w:val="29"/>
    <w:qFormat/>
    <w:uiPriority w:val="0"/>
    <w:rPr>
      <w:i/>
    </w:rPr>
  </w:style>
  <w:style w:type="character" w:styleId="33">
    <w:name w:val="Hyperlink"/>
    <w:basedOn w:val="29"/>
    <w:qFormat/>
    <w:uiPriority w:val="0"/>
    <w:rPr>
      <w:color w:val="0563C1"/>
      <w:u w:val="single"/>
    </w:rPr>
  </w:style>
  <w:style w:type="paragraph" w:customStyle="1" w:styleId="34">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character" w:customStyle="1" w:styleId="35">
    <w:name w:val="标题 1 Char"/>
    <w:basedOn w:val="29"/>
    <w:link w:val="2"/>
    <w:qFormat/>
    <w:uiPriority w:val="0"/>
    <w:rPr>
      <w:rFonts w:ascii="Times New Roman" w:hAnsi="Times New Roman" w:eastAsia="宋体" w:cs="Times New Roman"/>
      <w:b/>
      <w:bCs/>
      <w:kern w:val="44"/>
      <w:sz w:val="44"/>
      <w:szCs w:val="44"/>
      <w:lang w:val="en-US" w:eastAsia="zh-CN" w:bidi="ar-SA"/>
    </w:rPr>
  </w:style>
  <w:style w:type="paragraph" w:customStyle="1" w:styleId="36">
    <w:name w:val="列出段落1"/>
    <w:basedOn w:val="1"/>
    <w:qFormat/>
    <w:uiPriority w:val="0"/>
    <w:pPr>
      <w:ind w:firstLine="200" w:firstLineChars="200"/>
    </w:pPr>
  </w:style>
  <w:style w:type="paragraph" w:customStyle="1" w:styleId="37">
    <w:name w:val="无间隔1"/>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38">
    <w:name w:val="TOC 标题1"/>
    <w:basedOn w:val="2"/>
    <w:next w:val="1"/>
    <w:qFormat/>
    <w:uiPriority w:val="0"/>
    <w:pPr>
      <w:widowControl/>
      <w:spacing w:before="240" w:line="259" w:lineRule="auto"/>
      <w:jc w:val="left"/>
      <w:outlineLvl w:val="9"/>
    </w:pPr>
    <w:rPr>
      <w:rFonts w:ascii="等线 Light" w:eastAsia="等线 Light"/>
      <w:b w:val="0"/>
      <w:bCs w:val="0"/>
      <w:color w:val="2E75B6"/>
      <w:kern w:val="0"/>
      <w:sz w:val="32"/>
      <w:szCs w:val="32"/>
    </w:rPr>
  </w:style>
  <w:style w:type="paragraph" w:customStyle="1" w:styleId="39">
    <w:name w:val="样式1"/>
    <w:basedOn w:val="1"/>
    <w:qFormat/>
    <w:uiPriority w:val="0"/>
    <w:pPr>
      <w:tabs>
        <w:tab w:val="left" w:pos="709"/>
      </w:tabs>
      <w:adjustRightInd w:val="0"/>
      <w:ind w:left="709" w:hanging="709"/>
      <w:textAlignment w:val="baseline"/>
    </w:pPr>
    <w:rPr>
      <w:rFonts w:ascii="宋体" w:cs="Arial"/>
      <w:szCs w:val="22"/>
    </w:rPr>
  </w:style>
  <w:style w:type="paragraph" w:customStyle="1" w:styleId="40">
    <w:name w:val="Table Paragraph"/>
    <w:basedOn w:val="1"/>
    <w:qFormat/>
    <w:uiPriority w:val="0"/>
    <w:rPr>
      <w:rFonts w:ascii="楷体" w:eastAsia="楷体" w:cs="楷体"/>
      <w:lang w:val="zh-CN" w:bidi="zh-CN"/>
    </w:rPr>
  </w:style>
  <w:style w:type="paragraph" w:customStyle="1" w:styleId="41">
    <w:name w:val="列出段落2"/>
    <w:basedOn w:val="1"/>
    <w:qFormat/>
    <w:uiPriority w:val="0"/>
    <w:pPr>
      <w:ind w:firstLine="200" w:firstLineChars="200"/>
    </w:pPr>
    <w:rPr>
      <w:rFonts w:eastAsia="微软雅黑"/>
      <w:szCs w:val="24"/>
    </w:rPr>
  </w:style>
  <w:style w:type="paragraph" w:customStyle="1" w:styleId="42">
    <w:name w:val="p0"/>
    <w:basedOn w:val="1"/>
    <w:qFormat/>
    <w:uiPriority w:val="0"/>
    <w:pPr>
      <w:widowControl/>
    </w:pPr>
    <w:rPr>
      <w:rFonts w:eastAsia="微软雅黑"/>
      <w:kern w:val="0"/>
    </w:rPr>
  </w:style>
  <w:style w:type="paragraph" w:customStyle="1" w:styleId="43">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标题1"/>
    <w:basedOn w:val="2"/>
    <w:qFormat/>
    <w:uiPriority w:val="0"/>
    <w:pPr>
      <w:numPr>
        <w:ilvl w:val="0"/>
        <w:numId w:val="1"/>
      </w:numPr>
      <w:ind w:right="1" w:rightChars="1"/>
      <w:jc w:val="left"/>
    </w:pPr>
    <w:rPr>
      <w:rFonts w:ascii="仿宋" w:eastAsia="仿宋"/>
    </w:rPr>
  </w:style>
  <w:style w:type="paragraph" w:customStyle="1" w:styleId="45">
    <w:name w:val="标题2"/>
    <w:basedOn w:val="3"/>
    <w:qFormat/>
    <w:uiPriority w:val="0"/>
    <w:pPr>
      <w:numPr>
        <w:ilvl w:val="1"/>
        <w:numId w:val="1"/>
      </w:numPr>
      <w:spacing w:line="360" w:lineRule="auto"/>
      <w:ind w:right="1" w:rightChars="1"/>
      <w:jc w:val="left"/>
    </w:pPr>
    <w:rPr>
      <w:rFonts w:ascii="仿宋" w:eastAsia="仿宋"/>
      <w:sz w:val="36"/>
    </w:rPr>
  </w:style>
  <w:style w:type="paragraph" w:customStyle="1" w:styleId="46">
    <w:name w:val="列出段落3"/>
    <w:basedOn w:val="1"/>
    <w:qFormat/>
    <w:uiPriority w:val="0"/>
    <w:pPr>
      <w:ind w:firstLine="420"/>
    </w:pPr>
  </w:style>
  <w:style w:type="paragraph" w:customStyle="1" w:styleId="47">
    <w:name w:val="段"/>
    <w:qFormat/>
    <w:uiPriority w:val="0"/>
    <w:pPr>
      <w:tabs>
        <w:tab w:val="center" w:pos="4201"/>
        <w:tab w:val="right" w:leader="dot" w:pos="9298"/>
      </w:tabs>
      <w:autoSpaceDE w:val="0"/>
      <w:autoSpaceDN w:val="0"/>
      <w:ind w:firstLine="200" w:firstLineChars="200"/>
      <w:jc w:val="both"/>
    </w:pPr>
    <w:rPr>
      <w:rFonts w:ascii="宋体" w:hAnsi="Times New Roman" w:eastAsia="宋体" w:cs="Times New Roman"/>
      <w:lang w:val="en-US" w:eastAsia="zh-CN" w:bidi="ar-SA"/>
    </w:rPr>
  </w:style>
  <w:style w:type="paragraph" w:customStyle="1" w:styleId="48">
    <w:name w:val="表格2"/>
    <w:basedOn w:val="1"/>
    <w:qFormat/>
    <w:uiPriority w:val="0"/>
    <w:pPr>
      <w:adjustRightInd w:val="0"/>
      <w:snapToGrid w:val="0"/>
      <w:spacing w:line="360" w:lineRule="auto"/>
      <w:ind w:firstLine="200" w:firstLineChars="200"/>
    </w:pPr>
    <w:rPr>
      <w:szCs w:val="20"/>
    </w:rPr>
  </w:style>
  <w:style w:type="character" w:customStyle="1" w:styleId="49">
    <w:name w:val="displayarti"/>
    <w:basedOn w:val="29"/>
    <w:qFormat/>
    <w:uiPriority w:val="0"/>
    <w:rPr>
      <w:color w:val="FFFFFF"/>
      <w:shd w:val="clear" w:color="auto" w:fill="A00000"/>
    </w:rPr>
  </w:style>
  <w:style w:type="character" w:customStyle="1" w:styleId="50">
    <w:name w:val="prev"/>
    <w:basedOn w:val="29"/>
    <w:qFormat/>
    <w:uiPriority w:val="0"/>
    <w:rPr>
      <w:color w:val="888888"/>
    </w:rPr>
  </w:style>
  <w:style w:type="character" w:customStyle="1" w:styleId="51">
    <w:name w:val="prev1"/>
    <w:basedOn w:val="29"/>
    <w:qFormat/>
    <w:uiPriority w:val="0"/>
    <w:rPr>
      <w:rFonts w:ascii="微软雅黑" w:eastAsia="微软雅黑" w:cs="微软雅黑"/>
      <w:sz w:val="21"/>
      <w:szCs w:val="21"/>
    </w:rPr>
  </w:style>
  <w:style w:type="character" w:customStyle="1" w:styleId="52">
    <w:name w:val="gjfg"/>
    <w:basedOn w:val="29"/>
    <w:qFormat/>
    <w:uiPriority w:val="0"/>
  </w:style>
  <w:style w:type="character" w:customStyle="1" w:styleId="53">
    <w:name w:val="next2"/>
    <w:basedOn w:val="29"/>
    <w:qFormat/>
    <w:uiPriority w:val="0"/>
    <w:rPr>
      <w:color w:val="888888"/>
    </w:rPr>
  </w:style>
  <w:style w:type="character" w:customStyle="1" w:styleId="54">
    <w:name w:val="next3"/>
    <w:basedOn w:val="29"/>
    <w:qFormat/>
    <w:uiPriority w:val="0"/>
    <w:rPr>
      <w:rFonts w:ascii="微软雅黑" w:eastAsia="微软雅黑" w:cs="微软雅黑"/>
      <w:sz w:val="21"/>
      <w:szCs w:val="21"/>
    </w:rPr>
  </w:style>
  <w:style w:type="character" w:customStyle="1" w:styleId="55">
    <w:name w:val="qxdate"/>
    <w:basedOn w:val="29"/>
    <w:qFormat/>
    <w:uiPriority w:val="0"/>
    <w:rPr>
      <w:color w:val="333333"/>
      <w:sz w:val="18"/>
      <w:szCs w:val="18"/>
    </w:rPr>
  </w:style>
  <w:style w:type="character" w:customStyle="1" w:styleId="56">
    <w:name w:val="redfilenumber"/>
    <w:basedOn w:val="29"/>
    <w:qFormat/>
    <w:uiPriority w:val="0"/>
    <w:rPr>
      <w:color w:val="BA2636"/>
      <w:sz w:val="18"/>
      <w:szCs w:val="18"/>
    </w:rPr>
  </w:style>
  <w:style w:type="character" w:customStyle="1" w:styleId="57">
    <w:name w:val="redfilefwwh"/>
    <w:basedOn w:val="29"/>
    <w:qFormat/>
    <w:uiPriority w:val="0"/>
    <w:rPr>
      <w:color w:val="BA2636"/>
      <w:sz w:val="18"/>
      <w:szCs w:val="18"/>
    </w:rPr>
  </w:style>
  <w:style w:type="character" w:customStyle="1" w:styleId="58">
    <w:name w:val="cfdate"/>
    <w:basedOn w:val="29"/>
    <w:qFormat/>
    <w:uiPriority w:val="0"/>
    <w:rPr>
      <w:color w:val="333333"/>
      <w:sz w:val="18"/>
      <w:szCs w:val="18"/>
    </w:rPr>
  </w:style>
  <w:style w:type="character" w:customStyle="1" w:styleId="59">
    <w:name w:val="next"/>
    <w:basedOn w:val="29"/>
    <w:qFormat/>
    <w:uiPriority w:val="0"/>
    <w:rPr>
      <w:rFonts w:ascii="微软雅黑" w:eastAsia="微软雅黑" w:cs="微软雅黑"/>
      <w:sz w:val="21"/>
      <w:szCs w:val="21"/>
    </w:rPr>
  </w:style>
  <w:style w:type="character" w:customStyle="1" w:styleId="60">
    <w:name w:val="next1"/>
    <w:basedOn w:val="29"/>
    <w:qFormat/>
    <w:uiPriority w:val="0"/>
    <w:rPr>
      <w:color w:val="888888"/>
    </w:rPr>
  </w:style>
  <w:style w:type="character" w:customStyle="1" w:styleId="61">
    <w:name w:val="prev2"/>
    <w:basedOn w:val="29"/>
    <w:qFormat/>
    <w:uiPriority w:val="0"/>
    <w:rPr>
      <w:rFonts w:ascii="微软雅黑" w:eastAsia="微软雅黑" w:cs="微软雅黑"/>
      <w:sz w:val="21"/>
      <w:szCs w:val="21"/>
    </w:rPr>
  </w:style>
  <w:style w:type="character" w:customStyle="1" w:styleId="62">
    <w:name w:val="prev3"/>
    <w:basedOn w:val="29"/>
    <w:qFormat/>
    <w:uiPriority w:val="0"/>
    <w:rPr>
      <w:color w:val="888888"/>
    </w:rPr>
  </w:style>
  <w:style w:type="character" w:customStyle="1" w:styleId="63">
    <w:name w:val="font21"/>
    <w:basedOn w:val="29"/>
    <w:qFormat/>
    <w:uiPriority w:val="0"/>
    <w:rPr>
      <w:rFonts w:ascii="宋体" w:eastAsia="宋体" w:cs="宋体"/>
      <w:color w:val="000000"/>
      <w:sz w:val="20"/>
      <w:szCs w:val="20"/>
      <w:u w:val="none"/>
    </w:rPr>
  </w:style>
  <w:style w:type="character" w:customStyle="1" w:styleId="64">
    <w:name w:val="font11"/>
    <w:basedOn w:val="29"/>
    <w:qFormat/>
    <w:uiPriority w:val="0"/>
    <w:rPr>
      <w:rFonts w:ascii="宋体" w:eastAsia="宋体" w:cs="宋体"/>
      <w:color w:val="000000"/>
      <w:sz w:val="20"/>
      <w:szCs w:val="20"/>
      <w:u w:val="none"/>
    </w:rPr>
  </w:style>
  <w:style w:type="character" w:customStyle="1" w:styleId="65">
    <w:name w:val="font41"/>
    <w:basedOn w:val="29"/>
    <w:qFormat/>
    <w:uiPriority w:val="0"/>
    <w:rPr>
      <w:rFonts w:ascii="宋体" w:eastAsia="宋体" w:cs="宋体"/>
      <w:color w:val="000000"/>
      <w:sz w:val="20"/>
      <w:szCs w:val="20"/>
      <w:u w:val="none"/>
    </w:rPr>
  </w:style>
  <w:style w:type="character" w:customStyle="1" w:styleId="66">
    <w:name w:val="font141"/>
    <w:basedOn w:val="29"/>
    <w:qFormat/>
    <w:uiPriority w:val="0"/>
    <w:rPr>
      <w:rFonts w:ascii="FZSSK--GBK1-0" w:hAnsi="FZSSK--GBK1-0" w:eastAsia="FZSSK--GBK1-0" w:cs="FZSSK--GBK1-0"/>
      <w:color w:val="000000"/>
      <w:sz w:val="20"/>
      <w:szCs w:val="20"/>
      <w:u w:val="none"/>
    </w:rPr>
  </w:style>
  <w:style w:type="character" w:customStyle="1" w:styleId="67">
    <w:name w:val="font151"/>
    <w:basedOn w:val="29"/>
    <w:qFormat/>
    <w:uiPriority w:val="0"/>
    <w:rPr>
      <w:rFonts w:ascii="E-BZ" w:hAnsi="E-BZ" w:eastAsia="E-BZ" w:cs="E-BZ"/>
      <w:color w:val="000000"/>
      <w:sz w:val="20"/>
      <w:szCs w:val="20"/>
      <w:u w:val="none"/>
    </w:rPr>
  </w:style>
  <w:style w:type="character" w:customStyle="1" w:styleId="68">
    <w:name w:val="font51"/>
    <w:basedOn w:val="29"/>
    <w:qFormat/>
    <w:uiPriority w:val="0"/>
    <w:rPr>
      <w:rFonts w:ascii="等线" w:eastAsia="等线" w:cs="等线"/>
      <w:color w:val="000000"/>
      <w:sz w:val="20"/>
      <w:szCs w:val="20"/>
      <w:u w:val="none"/>
    </w:rPr>
  </w:style>
  <w:style w:type="paragraph" w:customStyle="1" w:styleId="69">
    <w:name w:val="列出段落4"/>
    <w:basedOn w:val="1"/>
    <w:qFormat/>
    <w:uiPriority w:val="0"/>
    <w:pPr>
      <w:ind w:firstLine="200" w:firstLineChars="200"/>
    </w:pPr>
    <w:rPr>
      <w:szCs w:val="20"/>
    </w:rPr>
  </w:style>
  <w:style w:type="paragraph" w:customStyle="1" w:styleId="70">
    <w:name w:val="Body Text 21"/>
    <w:basedOn w:val="1"/>
    <w:qFormat/>
    <w:uiPriority w:val="0"/>
    <w:pPr>
      <w:spacing w:line="480" w:lineRule="auto"/>
    </w:pPr>
    <w:rPr>
      <w:rFonts w:ascii="Calibri" w:hAnsi="Calibri"/>
      <w:sz w:val="20"/>
    </w:rPr>
  </w:style>
  <w:style w:type="paragraph" w:customStyle="1" w:styleId="71">
    <w:name w:val="标准文本"/>
    <w:basedOn w:val="1"/>
    <w:qFormat/>
    <w:uiPriority w:val="0"/>
    <w:pPr>
      <w:ind w:firstLine="480"/>
    </w:pPr>
    <w:rPr>
      <w:rFonts w:cs="宋体"/>
    </w:rPr>
  </w:style>
  <w:style w:type="paragraph" w:customStyle="1" w:styleId="72">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eastAsia="楷体_GB2312"/>
      <w:kern w:val="0"/>
      <w:sz w:val="24"/>
    </w:rPr>
  </w:style>
  <w:style w:type="character" w:customStyle="1" w:styleId="73">
    <w:name w:val="NormalCharacter"/>
    <w:qFormat/>
    <w:uiPriority w:val="0"/>
  </w:style>
  <w:style w:type="character" w:customStyle="1" w:styleId="74">
    <w:name w:val="font01"/>
    <w:basedOn w:val="29"/>
    <w:qFormat/>
    <w:uiPriority w:val="0"/>
    <w:rPr>
      <w:rFonts w:ascii="宋体" w:eastAsia="宋体" w:cs="宋体"/>
      <w:color w:val="000000"/>
      <w:sz w:val="18"/>
      <w:szCs w:val="18"/>
      <w:u w:val="none"/>
    </w:rPr>
  </w:style>
  <w:style w:type="paragraph" w:customStyle="1" w:styleId="75">
    <w:name w:val="正文2"/>
    <w:qFormat/>
    <w:uiPriority w:val="0"/>
    <w:pPr>
      <w:jc w:val="both"/>
    </w:pPr>
    <w:rPr>
      <w:rFonts w:ascii="Calibri" w:hAnsi="Calibri" w:eastAsia="宋体" w:cs="宋体"/>
      <w:kern w:val="2"/>
      <w:sz w:val="21"/>
      <w:szCs w:val="21"/>
      <w:lang w:val="en-US" w:eastAsia="zh-CN" w:bidi="ar-SA"/>
    </w:rPr>
  </w:style>
  <w:style w:type="paragraph" w:customStyle="1" w:styleId="76">
    <w:name w:val="首行缩进"/>
    <w:basedOn w:val="1"/>
    <w:qFormat/>
    <w:uiPriority w:val="0"/>
    <w:pPr>
      <w:spacing w:line="360" w:lineRule="auto"/>
      <w:ind w:firstLine="200" w:firstLineChars="200"/>
    </w:pPr>
    <w:rPr>
      <w:rFonts w:ascii="Calibri" w:hAnsi="Calibri"/>
      <w:sz w:val="24"/>
      <w:szCs w:val="22"/>
      <w:lang w:val="zh-CN"/>
    </w:rPr>
  </w:style>
  <w:style w:type="paragraph" w:customStyle="1" w:styleId="77">
    <w:name w:val="Normal_4"/>
    <w:qFormat/>
    <w:uiPriority w:val="0"/>
    <w:rPr>
      <w:rFonts w:ascii="Times New Roman" w:hAnsi="Times New Roman" w:eastAsia="Times New Roman" w:cs="Times New Roman"/>
      <w:sz w:val="24"/>
      <w:szCs w:val="24"/>
      <w:lang w:val="en-US" w:eastAsia="zh-CN" w:bidi="ar-SA"/>
    </w:rPr>
  </w:style>
  <w:style w:type="paragraph" w:customStyle="1" w:styleId="78">
    <w:name w:val="Table Text"/>
    <w:basedOn w:val="1"/>
    <w:semiHidden/>
    <w:qFormat/>
    <w:uiPriority w:val="0"/>
    <w:rPr>
      <w:rFonts w:ascii="宋体" w:hAnsi="宋体" w:cs="宋体"/>
      <w:sz w:val="19"/>
      <w:szCs w:val="19"/>
    </w:rPr>
  </w:style>
  <w:style w:type="table" w:customStyle="1" w:styleId="7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34</Pages>
  <Words>2430</Words>
  <Characters>13854</Characters>
  <Lines>115</Lines>
  <Paragraphs>32</Paragraphs>
  <TotalTime>19</TotalTime>
  <ScaleCrop>false</ScaleCrop>
  <LinksUpToDate>false</LinksUpToDate>
  <CharactersWithSpaces>16252</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2021-06-25T00:17:00Z</dcterms:created>
  <dc:creator>NTKO</dc:creator>
  <cp:lastModifiedBy>18504767118</cp:lastModifiedBy>
  <cp:lastPrinted>2021-05-28T18:46:00Z</cp:lastPrinted>
  <dcterms:modified xsi:type="dcterms:W3CDTF">2026-05-06T15:40:09Z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72084C8D166F4C85BDED3E0BD3A95D3F_13</vt:lpwstr>
  </property>
  <property fmtid="{D5CDD505-2E9C-101B-9397-08002B2CF9AE}" pid="4" name="KSOTemplateDocerSaveRecord">
    <vt:lpwstr>eyJoZGlkIjoiNmYzYTY2MGYyNTY5NDkwNzFhYmUwYjRmOWM1NzA1YTQiLCJ1c2VySWQiOiI0MjcyMjUwNTEifQ==</vt:lpwstr>
  </property>
</Properties>
</file>