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cs="宋体"/>
          <w:b/>
          <w:sz w:val="44"/>
          <w:szCs w:val="44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napToGrid w:val="0"/>
        <w:spacing w:line="578" w:lineRule="exact"/>
        <w:ind w:firstLine="0" w:firstLineChars="0"/>
        <w:jc w:val="center"/>
        <w:rPr>
          <w:rFonts w:hint="eastAsia" w:cs="宋体"/>
          <w:b/>
          <w:sz w:val="44"/>
          <w:szCs w:val="44"/>
          <w:lang w:val="en-US" w:eastAsia="zh-CN"/>
        </w:rPr>
      </w:pPr>
      <w:r>
        <w:rPr>
          <w:rFonts w:hint="eastAsia" w:cs="宋体"/>
          <w:b/>
          <w:sz w:val="44"/>
          <w:szCs w:val="44"/>
        </w:rPr>
        <w:t>内蒙古自治区赤峰市</w:t>
      </w:r>
      <w:r>
        <w:rPr>
          <w:rFonts w:hint="eastAsia" w:cs="宋体"/>
          <w:b/>
          <w:sz w:val="44"/>
          <w:szCs w:val="44"/>
          <w:lang w:val="en-US" w:eastAsia="zh-CN"/>
        </w:rPr>
        <w:t>宁城县蒙古族</w:t>
      </w:r>
    </w:p>
    <w:p>
      <w:pPr>
        <w:snapToGrid w:val="0"/>
        <w:spacing w:line="578" w:lineRule="exact"/>
        <w:ind w:firstLine="0" w:firstLineChars="0"/>
        <w:jc w:val="center"/>
        <w:rPr>
          <w:rFonts w:hint="eastAsia" w:cs="宋体"/>
          <w:b/>
          <w:sz w:val="44"/>
          <w:szCs w:val="44"/>
        </w:rPr>
      </w:pPr>
      <w:r>
        <w:rPr>
          <w:rFonts w:hint="eastAsia" w:cs="宋体"/>
          <w:b/>
          <w:sz w:val="44"/>
          <w:szCs w:val="44"/>
          <w:lang w:val="en-US" w:eastAsia="zh-CN"/>
        </w:rPr>
        <w:t>中学文体活动用房建设</w:t>
      </w:r>
      <w:r>
        <w:rPr>
          <w:rFonts w:hint="eastAsia" w:cs="宋体"/>
          <w:b/>
          <w:sz w:val="44"/>
          <w:szCs w:val="44"/>
        </w:rPr>
        <w:t>项目</w:t>
      </w:r>
    </w:p>
    <w:p>
      <w:pPr>
        <w:snapToGrid w:val="0"/>
        <w:spacing w:line="578" w:lineRule="exact"/>
        <w:ind w:firstLine="0" w:firstLineChars="0"/>
        <w:jc w:val="center"/>
        <w:rPr>
          <w:rFonts w:hint="eastAsia" w:cs="宋体"/>
          <w:b/>
          <w:sz w:val="44"/>
          <w:szCs w:val="44"/>
        </w:rPr>
      </w:pPr>
      <w:r>
        <w:rPr>
          <w:rFonts w:hint="eastAsia" w:cs="宋体"/>
          <w:b/>
          <w:sz w:val="44"/>
          <w:szCs w:val="44"/>
          <w:lang w:val="en-US" w:eastAsia="zh-CN"/>
        </w:rPr>
        <w:t>2025年度</w:t>
      </w:r>
      <w:r>
        <w:rPr>
          <w:rFonts w:hint="eastAsia" w:cs="宋体"/>
          <w:b/>
          <w:sz w:val="44"/>
          <w:szCs w:val="44"/>
        </w:rPr>
        <w:t>绩效自评报告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napToGrid w:val="0"/>
        <w:spacing w:line="578" w:lineRule="exact"/>
        <w:ind w:left="0" w:leftChars="0" w:firstLine="1120" w:firstLineChars="400"/>
        <w:rPr>
          <w:rFonts w:hint="default" w:cs="宋体"/>
          <w:bCs/>
          <w:sz w:val="28"/>
          <w:szCs w:val="32"/>
          <w:lang w:val="en-US" w:eastAsia="zh-CN"/>
        </w:rPr>
      </w:pPr>
      <w:r>
        <w:rPr>
          <w:rFonts w:hint="default" w:cs="宋体"/>
          <w:bCs/>
          <w:sz w:val="28"/>
          <w:szCs w:val="32"/>
          <w:lang w:val="en-US" w:eastAsia="zh-CN"/>
        </w:rPr>
        <w:t>项目名称：</w:t>
      </w:r>
      <w:r>
        <w:rPr>
          <w:rFonts w:hint="eastAsia" w:cs="宋体"/>
          <w:bCs/>
          <w:sz w:val="28"/>
          <w:szCs w:val="32"/>
          <w:lang w:val="en-US" w:eastAsia="zh-CN"/>
        </w:rPr>
        <w:t>宁城县蒙古族中学文体用房建设项目</w:t>
      </w:r>
    </w:p>
    <w:p>
      <w:pPr>
        <w:snapToGrid w:val="0"/>
        <w:spacing w:line="578" w:lineRule="exact"/>
        <w:ind w:firstLine="1120" w:firstLineChars="400"/>
        <w:rPr>
          <w:rFonts w:hint="default" w:cs="宋体"/>
          <w:bCs/>
          <w:sz w:val="28"/>
          <w:szCs w:val="32"/>
          <w:lang w:val="en-US" w:eastAsia="zh-CN"/>
        </w:rPr>
      </w:pPr>
      <w:r>
        <w:rPr>
          <w:rFonts w:hint="eastAsia" w:cs="宋体"/>
          <w:bCs/>
          <w:sz w:val="28"/>
          <w:szCs w:val="32"/>
          <w:lang w:val="en-US" w:eastAsia="zh-CN"/>
        </w:rPr>
        <w:t>中央主管部门</w:t>
      </w:r>
      <w:r>
        <w:rPr>
          <w:rFonts w:hint="default" w:cs="宋体"/>
          <w:bCs/>
          <w:sz w:val="28"/>
          <w:szCs w:val="32"/>
          <w:lang w:val="en-US" w:eastAsia="zh-CN"/>
        </w:rPr>
        <w:t>：</w:t>
      </w:r>
      <w:r>
        <w:rPr>
          <w:rFonts w:hint="eastAsia" w:cs="宋体"/>
          <w:bCs/>
          <w:sz w:val="28"/>
          <w:szCs w:val="32"/>
          <w:lang w:val="en-US" w:eastAsia="zh-CN"/>
        </w:rPr>
        <w:t>财政部</w:t>
      </w:r>
    </w:p>
    <w:p>
      <w:pPr>
        <w:snapToGrid w:val="0"/>
        <w:spacing w:line="578" w:lineRule="exact"/>
        <w:ind w:firstLine="1120" w:firstLineChars="400"/>
        <w:rPr>
          <w:rFonts w:hint="default" w:cs="宋体"/>
          <w:bCs/>
          <w:sz w:val="28"/>
          <w:szCs w:val="32"/>
          <w:lang w:val="en-US" w:eastAsia="zh-CN"/>
        </w:rPr>
      </w:pPr>
      <w:r>
        <w:rPr>
          <w:rFonts w:hint="eastAsia" w:cs="宋体"/>
          <w:bCs/>
          <w:sz w:val="28"/>
          <w:szCs w:val="32"/>
          <w:lang w:val="en-US" w:eastAsia="zh-CN"/>
        </w:rPr>
        <w:t>地方</w:t>
      </w:r>
      <w:r>
        <w:rPr>
          <w:rFonts w:hint="default" w:cs="宋体"/>
          <w:bCs/>
          <w:sz w:val="28"/>
          <w:szCs w:val="32"/>
          <w:lang w:val="en-US" w:eastAsia="zh-CN"/>
        </w:rPr>
        <w:t>主管部门：</w:t>
      </w:r>
      <w:r>
        <w:rPr>
          <w:rFonts w:hint="eastAsia" w:cs="宋体"/>
          <w:bCs/>
          <w:sz w:val="28"/>
          <w:szCs w:val="32"/>
          <w:lang w:val="en-US" w:eastAsia="zh-CN"/>
        </w:rPr>
        <w:t>宁城县财政局</w:t>
      </w:r>
    </w:p>
    <w:p>
      <w:pPr>
        <w:snapToGrid w:val="0"/>
        <w:spacing w:line="578" w:lineRule="exact"/>
        <w:ind w:firstLine="1120" w:firstLineChars="400"/>
        <w:rPr>
          <w:rFonts w:hint="default" w:cs="宋体"/>
          <w:bCs/>
          <w:sz w:val="28"/>
          <w:szCs w:val="32"/>
          <w:lang w:val="en-US" w:eastAsia="zh-CN"/>
        </w:rPr>
      </w:pPr>
      <w:r>
        <w:rPr>
          <w:rFonts w:hint="eastAsia" w:cs="宋体"/>
          <w:bCs/>
          <w:sz w:val="28"/>
          <w:szCs w:val="32"/>
          <w:lang w:val="en-US" w:eastAsia="zh-CN"/>
        </w:rPr>
        <w:t>日期：2026</w:t>
      </w:r>
      <w:r>
        <w:rPr>
          <w:rFonts w:hint="default" w:cs="宋体"/>
          <w:bCs/>
          <w:sz w:val="28"/>
          <w:szCs w:val="32"/>
          <w:lang w:val="en-US" w:eastAsia="zh-CN"/>
        </w:rPr>
        <w:t>年</w:t>
      </w:r>
      <w:r>
        <w:rPr>
          <w:rFonts w:hint="eastAsia" w:cs="宋体"/>
          <w:bCs/>
          <w:sz w:val="28"/>
          <w:szCs w:val="32"/>
          <w:lang w:val="en-US" w:eastAsia="zh-CN"/>
        </w:rPr>
        <w:t>6</w:t>
      </w:r>
      <w:r>
        <w:rPr>
          <w:rFonts w:hint="default" w:cs="宋体"/>
          <w:bCs/>
          <w:sz w:val="28"/>
          <w:szCs w:val="32"/>
          <w:lang w:val="en-US" w:eastAsia="zh-CN"/>
        </w:rPr>
        <w:t>月</w:t>
      </w:r>
      <w:r>
        <w:rPr>
          <w:rFonts w:hint="eastAsia" w:cs="宋体"/>
          <w:bCs/>
          <w:sz w:val="28"/>
          <w:szCs w:val="32"/>
          <w:lang w:val="en-US" w:eastAsia="zh-CN"/>
        </w:rPr>
        <w:t>10</w:t>
      </w:r>
      <w:r>
        <w:rPr>
          <w:rFonts w:hint="default" w:cs="宋体"/>
          <w:bCs/>
          <w:sz w:val="28"/>
          <w:szCs w:val="32"/>
          <w:lang w:val="en-US" w:eastAsia="zh-CN"/>
        </w:rPr>
        <w:t xml:space="preserve"> 日</w:t>
      </w:r>
    </w:p>
    <w:p>
      <w:pPr>
        <w:spacing w:line="560" w:lineRule="exact"/>
        <w:ind w:firstLine="0" w:firstLineChars="0"/>
        <w:rPr>
          <w:sz w:val="30"/>
          <w:szCs w:val="30"/>
        </w:rPr>
      </w:pP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12月16日提前</w:t>
      </w:r>
      <w:r>
        <w:rPr>
          <w:rFonts w:hint="eastAsia" w:ascii="仿宋" w:hAnsi="仿宋" w:eastAsia="仿宋" w:cs="仿宋"/>
          <w:sz w:val="32"/>
          <w:szCs w:val="32"/>
        </w:rPr>
        <w:t>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2025年第一批</w:t>
      </w:r>
      <w:r>
        <w:rPr>
          <w:rFonts w:hint="eastAsia" w:ascii="仿宋" w:hAnsi="仿宋" w:eastAsia="仿宋" w:cs="仿宋"/>
          <w:sz w:val="32"/>
          <w:szCs w:val="32"/>
        </w:rPr>
        <w:t>中央专项彩票公益金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用于建设赤峰市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宁城县蒙古族中学文体活动用房项目。项目是</w:t>
      </w:r>
      <w:bookmarkStart w:id="0" w:name="PO_zw"/>
      <w:r>
        <w:rPr>
          <w:rFonts w:hint="eastAsia" w:ascii="仿宋_GB2312" w:hAnsi="仿宋" w:eastAsia="仿宋_GB2312"/>
          <w:sz w:val="32"/>
          <w:szCs w:val="32"/>
        </w:rPr>
        <w:t>根据《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内蒙古自治区财政厅关于组织申报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2025年度中央、自治区财政专项彩票公益金支持项目的通知</w:t>
      </w:r>
      <w:r>
        <w:rPr>
          <w:rFonts w:hint="eastAsia" w:ascii="仿宋_GB2312" w:hAnsi="仿宋" w:eastAsia="仿宋_GB2312"/>
          <w:sz w:val="32"/>
          <w:szCs w:val="32"/>
        </w:rPr>
        <w:t>》（内财综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函</w:t>
      </w:r>
      <w:r>
        <w:rPr>
          <w:rFonts w:hint="eastAsia" w:ascii="仿宋_GB2312" w:hAnsi="仿宋" w:eastAsia="仿宋_GB2312"/>
          <w:sz w:val="32"/>
          <w:szCs w:val="32"/>
        </w:rPr>
        <w:t>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557</w:t>
      </w:r>
      <w:r>
        <w:rPr>
          <w:rFonts w:hint="eastAsia" w:ascii="仿宋_GB2312" w:hAnsi="仿宋" w:eastAsia="仿宋_GB2312"/>
          <w:sz w:val="32"/>
          <w:szCs w:val="32"/>
        </w:rPr>
        <w:t>号）</w:t>
      </w:r>
      <w:bookmarkEnd w:id="0"/>
      <w:r>
        <w:rPr>
          <w:rFonts w:hint="eastAsia" w:ascii="仿宋" w:hAnsi="仿宋" w:eastAsia="仿宋" w:cs="仿宋"/>
          <w:sz w:val="32"/>
          <w:szCs w:val="32"/>
        </w:rPr>
        <w:t>文件要求，经研究筛选，报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人民政府同意，确定上报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宁城县蒙古族中学文体活动用房新建设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。项目基本情况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宁城县蒙古族中学文体活动用房新建设项目，建筑面积达到3700平方米，包括多功能综合文体活动场地5处，用于改善高中办学条件，有益于教育事业的发展，本年度框架主体结构已完工，室内装修等待复工后完成。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二、绩效情况分析</w:t>
      </w:r>
    </w:p>
    <w:p>
      <w:pPr>
        <w:spacing w:line="560" w:lineRule="exact"/>
        <w:ind w:firstLine="643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（一）资金投入情况分析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该项目预计总投资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1300</w:t>
      </w:r>
      <w:r>
        <w:rPr>
          <w:rFonts w:hint="eastAsia" w:ascii="仿宋" w:hAnsi="仿宋" w:eastAsia="仿宋" w:cs="仿宋"/>
          <w:sz w:val="32"/>
          <w:szCs w:val="32"/>
        </w:rPr>
        <w:t>万元，建设资金来源为：中央专项彩票公益金支持地方社会公益事业发展资金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460</w:t>
      </w:r>
      <w:r>
        <w:rPr>
          <w:rFonts w:hint="eastAsia" w:ascii="仿宋" w:hAnsi="仿宋" w:eastAsia="仿宋" w:cs="仿宋"/>
          <w:sz w:val="32"/>
          <w:szCs w:val="32"/>
        </w:rPr>
        <w:t>万元，其他资金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840</w:t>
      </w:r>
      <w:r>
        <w:rPr>
          <w:rFonts w:hint="eastAsia" w:ascii="仿宋" w:hAnsi="仿宋" w:eastAsia="仿宋" w:cs="仿宋"/>
          <w:sz w:val="32"/>
          <w:szCs w:val="32"/>
        </w:rPr>
        <w:t>万元。本项目202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年度全年执行数为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</w:t>
      </w:r>
      <w:r>
        <w:rPr>
          <w:rFonts w:hint="eastAsia" w:ascii="仿宋" w:hAnsi="仿宋" w:eastAsia="仿宋" w:cs="仿宋"/>
          <w:sz w:val="32"/>
          <w:szCs w:val="32"/>
        </w:rPr>
        <w:t>万元，预算执行率为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86.95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spacing w:line="560" w:lineRule="exact"/>
        <w:ind w:firstLine="643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（二）资金管理情况分析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资金分配方面：</w:t>
      </w:r>
      <w:r>
        <w:rPr>
          <w:rFonts w:hint="eastAsia" w:ascii="仿宋" w:hAnsi="仿宋" w:eastAsia="仿宋" w:cs="仿宋"/>
          <w:sz w:val="32"/>
          <w:szCs w:val="32"/>
        </w:rPr>
        <w:t>本项目资金分配与项目计划相符，根据具体业务情况进行公平、合理分配；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资金下达方面：</w:t>
      </w:r>
      <w:r>
        <w:rPr>
          <w:rFonts w:hint="eastAsia" w:ascii="仿宋" w:hAnsi="仿宋" w:eastAsia="仿宋" w:cs="仿宋"/>
          <w:sz w:val="32"/>
          <w:szCs w:val="32"/>
        </w:rPr>
        <w:t>按照规定时间安排下达资金，为下一阶段的工作留出足够的时间；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资金拨付方面：</w:t>
      </w:r>
      <w:r>
        <w:rPr>
          <w:rFonts w:hint="eastAsia" w:ascii="仿宋" w:hAnsi="仿宋" w:eastAsia="仿宋" w:cs="仿宋"/>
          <w:sz w:val="32"/>
          <w:szCs w:val="32"/>
        </w:rPr>
        <w:t>按照相关规定程序和标准进行资金拨付，拨付合规；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资金使用方面：</w:t>
      </w:r>
      <w:r>
        <w:rPr>
          <w:rFonts w:hint="eastAsia" w:ascii="仿宋" w:hAnsi="仿宋" w:eastAsia="仿宋" w:cs="仿宋"/>
          <w:sz w:val="32"/>
          <w:szCs w:val="32"/>
        </w:rPr>
        <w:t>严格遵守相关法规，资金使用规范，不存在挪用、挤占、虚列资金等情况；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预算执行方面：</w:t>
      </w:r>
      <w:r>
        <w:rPr>
          <w:rFonts w:hint="eastAsia" w:ascii="仿宋" w:hAnsi="仿宋" w:eastAsia="仿宋" w:cs="仿宋"/>
          <w:sz w:val="32"/>
          <w:szCs w:val="32"/>
        </w:rPr>
        <w:t>在项目的实施过程中，严格遵照规划、设计、预算评审和招投标方面的规章制度，努力做到了公开透明、及时高效；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预算绩效管理方面：</w:t>
      </w:r>
      <w:r>
        <w:rPr>
          <w:rFonts w:hint="eastAsia" w:ascii="仿宋" w:hAnsi="仿宋" w:eastAsia="仿宋" w:cs="仿宋"/>
          <w:sz w:val="32"/>
          <w:szCs w:val="32"/>
        </w:rPr>
        <w:t>绩效管理制度健全，预算绩效管理工作开展情况良好；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支出责任履行方面：</w:t>
      </w:r>
      <w:r>
        <w:rPr>
          <w:rFonts w:hint="eastAsia" w:ascii="仿宋" w:hAnsi="仿宋" w:eastAsia="仿宋" w:cs="仿宋"/>
          <w:sz w:val="32"/>
          <w:szCs w:val="32"/>
        </w:rPr>
        <w:t>根据预算和审批程序，支出责任已得到有效履行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（三）总体绩效目标完成情况分析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预期目标：</w:t>
      </w:r>
      <w:r>
        <w:rPr>
          <w:rFonts w:hint="eastAsia" w:ascii="仿宋" w:hAnsi="仿宋" w:eastAsia="仿宋" w:cs="仿宋"/>
          <w:sz w:val="32"/>
          <w:szCs w:val="32"/>
        </w:rPr>
        <w:t>本项目改建总面积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3700</w:t>
      </w:r>
      <w:r>
        <w:rPr>
          <w:rFonts w:hint="eastAsia" w:ascii="仿宋" w:hAnsi="仿宋" w:eastAsia="仿宋" w:cs="仿宋"/>
          <w:sz w:val="32"/>
          <w:szCs w:val="32"/>
        </w:rPr>
        <w:t>平米。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因学生开学等因素，项目场地在校园内，施工不方便，考虑安全等因素，新开通了一条建设通道，方便运送材料等，预计整体工程年末竣工。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宁城县蒙古族中学文体活动用房建设项目，建筑面积达到3700平方米，本年度框架主体结构已完工，其他室内装修等待复工后完成。</w:t>
      </w:r>
    </w:p>
    <w:p>
      <w:pPr>
        <w:spacing w:line="560" w:lineRule="exact"/>
        <w:ind w:firstLine="643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（四）绩效指标完成情况分析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1.数量指标。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(1)新建文体活动用房面积（平方米）</w:t>
      </w:r>
      <w:r>
        <w:rPr>
          <w:rFonts w:ascii="仿宋" w:hAnsi="仿宋" w:eastAsia="仿宋" w:cs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3700平方米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3700平方米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ascii="仿宋" w:hAnsi="仿宋" w:eastAsia="仿宋" w:cs="仿宋"/>
          <w:sz w:val="32"/>
        </w:rPr>
        <w:t>2）</w:t>
      </w:r>
      <w:r>
        <w:rPr>
          <w:rFonts w:hint="eastAsia" w:ascii="仿宋" w:hAnsi="仿宋" w:eastAsia="仿宋" w:cs="仿宋"/>
          <w:sz w:val="32"/>
          <w:lang w:val="en-US" w:eastAsia="zh-CN"/>
        </w:rPr>
        <w:t>多功能综合文体活动场地</w:t>
      </w:r>
      <w:r>
        <w:rPr>
          <w:rFonts w:ascii="仿宋" w:hAnsi="仿宋" w:eastAsia="仿宋" w:cs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5处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5处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（3）直接受益青少年人数，3000人，完成值0人，未完成原因及整改措施：项目未竣工，未投入使用，项目投入使用后，受益人可达3000人以上。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质量指标。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ascii="仿宋" w:hAnsi="仿宋" w:eastAsia="仿宋" w:cs="仿宋"/>
          <w:b w:val="0"/>
          <w:bCs w:val="0"/>
          <w:sz w:val="32"/>
          <w:highlight w:val="none"/>
        </w:rPr>
        <w:t>1）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项目规划完整性、合规性</w:t>
      </w:r>
      <w:r>
        <w:rPr>
          <w:rFonts w:ascii="仿宋" w:hAnsi="仿宋" w:eastAsia="仿宋" w:cs="仿宋"/>
          <w:sz w:val="32"/>
          <w:highlight w:val="none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highlight w:val="none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100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highlight w:val="none"/>
        </w:rPr>
        <w:t>，完成值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lang w:val="en-US" w:eastAsia="zh-CN"/>
        </w:rPr>
        <w:t>(</w:t>
      </w:r>
      <w:r>
        <w:rPr>
          <w:rFonts w:ascii="仿宋" w:hAnsi="仿宋" w:eastAsia="仿宋" w:cs="仿宋"/>
          <w:sz w:val="32"/>
        </w:rPr>
        <w:t>2）</w:t>
      </w:r>
      <w:r>
        <w:rPr>
          <w:rFonts w:hint="eastAsia" w:ascii="仿宋" w:hAnsi="仿宋" w:eastAsia="仿宋" w:cs="仿宋"/>
          <w:sz w:val="32"/>
          <w:lang w:val="en-US" w:eastAsia="zh-CN"/>
        </w:rPr>
        <w:t>项目验收合格率</w:t>
      </w:r>
      <w:r>
        <w:rPr>
          <w:rFonts w:ascii="仿宋" w:hAnsi="仿宋" w:eastAsia="仿宋" w:cs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lang w:val="en-US" w:eastAsia="zh-CN"/>
        </w:rPr>
        <w:t>(3</w:t>
      </w:r>
      <w:r>
        <w:rPr>
          <w:rFonts w:ascii="仿宋" w:hAnsi="仿宋" w:eastAsia="仿宋" w:cs="仿宋"/>
          <w:sz w:val="32"/>
        </w:rPr>
        <w:t>）</w:t>
      </w:r>
      <w:r>
        <w:rPr>
          <w:rFonts w:hint="eastAsia" w:ascii="仿宋" w:hAnsi="仿宋" w:eastAsia="仿宋" w:cs="仿宋"/>
          <w:sz w:val="32"/>
          <w:lang w:val="en-US" w:eastAsia="zh-CN"/>
        </w:rPr>
        <w:t>按规定标明宣传标识，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3.时效指标。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ascii="仿宋" w:hAnsi="仿宋" w:eastAsia="仿宋" w:cs="仿宋"/>
          <w:sz w:val="32"/>
        </w:rPr>
        <w:t>1）</w:t>
      </w:r>
      <w:r>
        <w:rPr>
          <w:rFonts w:hint="eastAsia" w:ascii="仿宋" w:hAnsi="仿宋" w:eastAsia="仿宋" w:cs="仿宋"/>
          <w:sz w:val="32"/>
          <w:lang w:val="en-US" w:eastAsia="zh-CN"/>
        </w:rPr>
        <w:t>按时上报资金使用情况</w:t>
      </w:r>
      <w:r>
        <w:rPr>
          <w:rFonts w:ascii="仿宋" w:hAnsi="仿宋" w:eastAsia="仿宋" w:cs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ascii="仿宋" w:hAnsi="仿宋" w:eastAsia="仿宋" w:cs="仿宋"/>
          <w:sz w:val="32"/>
        </w:rPr>
        <w:t>2）</w:t>
      </w:r>
      <w:r>
        <w:rPr>
          <w:rFonts w:hint="eastAsia" w:ascii="仿宋" w:hAnsi="仿宋" w:eastAsia="仿宋" w:cs="仿宋"/>
          <w:sz w:val="32"/>
          <w:lang w:val="en-US" w:eastAsia="zh-CN"/>
        </w:rPr>
        <w:t>项目建设完成时间</w:t>
      </w:r>
      <w:r>
        <w:rPr>
          <w:rFonts w:ascii="仿宋" w:hAnsi="仿宋" w:eastAsia="仿宋" w:cs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（3）资金在规定时间下达，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2"/>
          <w:szCs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4.社会效益指标。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ascii="仿宋" w:hAnsi="仿宋" w:eastAsia="仿宋" w:cs="仿宋"/>
          <w:sz w:val="32"/>
        </w:rPr>
        <w:t>1）</w:t>
      </w:r>
      <w:r>
        <w:rPr>
          <w:rFonts w:hint="eastAsia" w:ascii="仿宋" w:hAnsi="仿宋" w:eastAsia="仿宋" w:cs="仿宋"/>
          <w:sz w:val="32"/>
          <w:lang w:val="en-US" w:eastAsia="zh-CN"/>
        </w:rPr>
        <w:t>促进民族地区教育事业发展</w:t>
      </w:r>
      <w:r>
        <w:rPr>
          <w:rFonts w:ascii="仿宋" w:hAnsi="仿宋" w:eastAsia="仿宋" w:cs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有效提升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有效提升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（2）提升学校高考综合改革能力，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有效提升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有效提升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5.可持续影响。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</w:rPr>
        <w:t>对文体事业、少数民族青少年团结进步创建工作可持续发展的影响程度</w:t>
      </w:r>
      <w:r>
        <w:rPr>
          <w:rFonts w:ascii="仿宋" w:hAnsi="仿宋" w:eastAsia="仿宋" w:cs="仿宋"/>
          <w:sz w:val="32"/>
        </w:rPr>
        <w:t>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有效提升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有效提升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firstLine="643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服务对象满意度指标。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受</w:t>
      </w:r>
      <w:r>
        <w:rPr>
          <w:rFonts w:hint="eastAsia" w:ascii="仿宋" w:hAnsi="仿宋" w:eastAsia="仿宋" w:cs="仿宋"/>
          <w:sz w:val="32"/>
          <w:lang w:val="en-US" w:eastAsia="zh-CN"/>
        </w:rPr>
        <w:t>益</w:t>
      </w:r>
      <w:r>
        <w:rPr>
          <w:rFonts w:ascii="仿宋" w:hAnsi="仿宋" w:eastAsia="仿宋" w:cs="仿宋"/>
          <w:sz w:val="32"/>
        </w:rPr>
        <w:t>师生满意度(%)，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sz w:val="32"/>
          <w:szCs w:val="32"/>
        </w:rPr>
        <w:t>≥95%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szCs w:val="32"/>
        </w:rPr>
        <w:t>≥95%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>
      <w:pPr>
        <w:spacing w:line="560" w:lineRule="exact"/>
        <w:ind w:firstLine="643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（一）偏离绩效目标的原因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因时间紧，任务重，工期短，已到开学季，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考虑安全因素等，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本年度框架主体结构已完工，其他室内装修等待复工后完成，</w:t>
      </w:r>
      <w:r>
        <w:rPr>
          <w:rFonts w:hint="eastAsia" w:ascii="仿宋" w:hAnsi="仿宋" w:eastAsia="仿宋" w:cs="仿宋"/>
          <w:sz w:val="32"/>
          <w:szCs w:val="32"/>
        </w:rPr>
        <w:t>尾工部分待进一步完善。</w:t>
      </w:r>
    </w:p>
    <w:p>
      <w:pPr>
        <w:spacing w:line="560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（二）下一步改进措施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加强安全管理，</w:t>
      </w:r>
      <w:r>
        <w:rPr>
          <w:rFonts w:hint="eastAsia" w:ascii="仿宋" w:hAnsi="仿宋" w:eastAsia="仿宋" w:cs="仿宋"/>
          <w:sz w:val="32"/>
          <w:szCs w:val="32"/>
        </w:rPr>
        <w:t>对欠规范的个别工程环节、尾工部分及时完善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（一）自评结果应用。</w:t>
      </w:r>
      <w:r>
        <w:rPr>
          <w:rFonts w:hint="eastAsia" w:ascii="仿宋" w:hAnsi="仿宋" w:eastAsia="仿宋" w:cs="仿宋"/>
          <w:sz w:val="32"/>
          <w:szCs w:val="32"/>
        </w:rPr>
        <w:t>绩效评价结果应用是绩效管理的核心环节之一。完成绩效自评后，学校将根据绩效评价情况，继续做好专项资金管理、项目推进、监督检查等后续工作，进一步加大绩效评价结果应用力度。</w:t>
      </w:r>
    </w:p>
    <w:p>
      <w:pPr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（二）公开情况。</w:t>
      </w:r>
      <w:r>
        <w:rPr>
          <w:rFonts w:hint="eastAsia" w:ascii="仿宋" w:hAnsi="仿宋" w:eastAsia="仿宋" w:cs="仿宋"/>
          <w:sz w:val="32"/>
          <w:szCs w:val="32"/>
        </w:rPr>
        <w:t>本次绩效自评结果将按照政府信息公开有关规定，按照相关文件要求及时公开。公开的载体包括部门官方网站、政府信息公开统一平台等。通过绩效评价结果公开，扩大政务公开面，接受社会公众监督，为进一步提升项目管理工作创造良好氛围。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五、其他需要说明的问题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无。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六、附件</w:t>
      </w:r>
    </w:p>
    <w:p>
      <w:pPr>
        <w:ind w:firstLine="64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宁城县蒙古族中学文体活动用房</w:t>
      </w:r>
      <w:r>
        <w:rPr>
          <w:rFonts w:hint="eastAsia" w:ascii="仿宋" w:hAnsi="仿宋" w:eastAsia="仿宋" w:cs="仿宋"/>
          <w:sz w:val="32"/>
          <w:szCs w:val="32"/>
        </w:rPr>
        <w:t>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</w:t>
      </w:r>
      <w:r>
        <w:rPr>
          <w:rFonts w:hint="eastAsia" w:ascii="仿宋" w:hAnsi="仿宋" w:eastAsia="仿宋" w:cs="仿宋"/>
          <w:sz w:val="32"/>
          <w:szCs w:val="32"/>
        </w:rPr>
        <w:t>项目绩效自评表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2142490</wp:posOffset>
              </wp:positionH>
              <wp:positionV relativeFrom="paragraph">
                <wp:posOffset>-95250</wp:posOffset>
              </wp:positionV>
              <wp:extent cx="751840" cy="365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840" cy="365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8.7pt;margin-top:-7.5pt;height:28.75pt;width:59.2pt;mso-position-horizontal-relative:margin;z-index:251658240;mso-width-relative:page;mso-height-relative:page;" filled="f" stroked="f" coordsize="21600,21600" o:gfxdata="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AG4z77ZAAAA&#10;CgEAAA8AAAAAAAAAAQAgAAAAIgAAAGRycy9kb3ducmV2LnhtbFBLAQIUABQAAAAIAIdO4kDB7+vX&#10;xwIAANYFAAAOAAAAAAAAAAEAIAAAACgBAABkcnMvZTJvRG9jLnhtbFBLBQYAAAAABgAGAFkBAABh&#10;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9EEC5"/>
    <w:multiLevelType w:val="singleLevel"/>
    <w:tmpl w:val="51D9EEC5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D3"/>
    <w:rsid w:val="002E08D3"/>
    <w:rsid w:val="003C69DA"/>
    <w:rsid w:val="00453D28"/>
    <w:rsid w:val="005003A2"/>
    <w:rsid w:val="00543570"/>
    <w:rsid w:val="00677D9C"/>
    <w:rsid w:val="00726127"/>
    <w:rsid w:val="00840E23"/>
    <w:rsid w:val="00897A36"/>
    <w:rsid w:val="009110B9"/>
    <w:rsid w:val="00912399"/>
    <w:rsid w:val="00944598"/>
    <w:rsid w:val="00B303CB"/>
    <w:rsid w:val="00C24AD3"/>
    <w:rsid w:val="00C942D6"/>
    <w:rsid w:val="00F2260E"/>
    <w:rsid w:val="0A955AA2"/>
    <w:rsid w:val="106F59AB"/>
    <w:rsid w:val="130D01D0"/>
    <w:rsid w:val="148B7A53"/>
    <w:rsid w:val="175011B4"/>
    <w:rsid w:val="1824564A"/>
    <w:rsid w:val="1ABB1195"/>
    <w:rsid w:val="1BA44DCF"/>
    <w:rsid w:val="1D57427B"/>
    <w:rsid w:val="1E351D29"/>
    <w:rsid w:val="20A5066E"/>
    <w:rsid w:val="24256078"/>
    <w:rsid w:val="29E94389"/>
    <w:rsid w:val="2D3022A0"/>
    <w:rsid w:val="2FFE0260"/>
    <w:rsid w:val="30EC24E9"/>
    <w:rsid w:val="3B7354ED"/>
    <w:rsid w:val="419B30F1"/>
    <w:rsid w:val="47A92F79"/>
    <w:rsid w:val="4EE05046"/>
    <w:rsid w:val="536E48FD"/>
    <w:rsid w:val="59807D22"/>
    <w:rsid w:val="5D6D7F38"/>
    <w:rsid w:val="61275885"/>
    <w:rsid w:val="63C01E3D"/>
    <w:rsid w:val="63CCEDE2"/>
    <w:rsid w:val="672C4F0A"/>
    <w:rsid w:val="6BA51D0D"/>
    <w:rsid w:val="6D205B05"/>
    <w:rsid w:val="6ED55749"/>
    <w:rsid w:val="6F8F6CE0"/>
    <w:rsid w:val="6FBB1ED8"/>
    <w:rsid w:val="7047769E"/>
    <w:rsid w:val="77C043E2"/>
    <w:rsid w:val="7A921BE7"/>
    <w:rsid w:val="7DD3FB39"/>
    <w:rsid w:val="BDF79B62"/>
    <w:rsid w:val="CA6C39E6"/>
    <w:rsid w:val="ED5CFC95"/>
    <w:rsid w:val="EDFF3A9E"/>
    <w:rsid w:val="F6BBD08F"/>
    <w:rsid w:val="FD5BD725"/>
    <w:rsid w:val="FFEDF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78" w:lineRule="exact"/>
      <w:ind w:firstLine="560" w:firstLineChars="20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2239</Words>
  <Characters>2470</Characters>
  <Lines>17</Lines>
  <Paragraphs>5</Paragraphs>
  <TotalTime>4</TotalTime>
  <ScaleCrop>false</ScaleCrop>
  <LinksUpToDate>false</LinksUpToDate>
  <CharactersWithSpaces>2477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2025-03-13T06:33:00Z</dcterms:created>
  <dc:creator>56914</dc:creator>
  <cp:lastModifiedBy>admin</cp:lastModifiedBy>
  <dcterms:modified xsi:type="dcterms:W3CDTF">2026-06-15T01:57:18Z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E7E19D0814B342B3BB95DD404C81DF1A_13</vt:lpwstr>
  </property>
  <property fmtid="{D5CDD505-2E9C-101B-9397-08002B2CF9AE}" pid="4" name="KSOTemplateDocerSaveRecord">
    <vt:lpwstr>eyJoZGlkIjoiNmEwM2E4ODkzMjI5MzQ5YmE0MGIwOWRkMmY1ZmIzNzkiLCJ1c2VySWQiOiIxMjAxOTAzNDgxIn0=</vt:lpwstr>
  </property>
</Properties>
</file>