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overflowPunct/>
        <w:spacing w:line="560" w:lineRule="exact"/>
        <w:jc w:val="left"/>
        <w:outlineLvl w:val="0"/>
        <w:rPr>
          <w:rFonts w:hint="eastAsia" w:ascii="黑体" w:hAnsi="黑体" w:eastAsia="黑体" w:cs="黑体"/>
          <w:spacing w:val="-10"/>
          <w:sz w:val="32"/>
          <w:szCs w:val="32"/>
        </w:rPr>
      </w:pPr>
      <w:r>
        <w:rPr>
          <w:rFonts w:hint="eastAsia" w:ascii="黑体" w:hAnsi="黑体" w:eastAsia="黑体" w:cs="黑体"/>
          <w:spacing w:val="-10"/>
          <w:sz w:val="32"/>
          <w:szCs w:val="32"/>
        </w:rPr>
        <w:t>附件1</w:t>
      </w:r>
    </w:p>
    <w:p>
      <w:pPr>
        <w:widowControl w:val="0"/>
        <w:overflowPunct w:val="0"/>
        <w:spacing w:line="360" w:lineRule="auto"/>
        <w:ind w:firstLine="720" w:firstLineChars="200"/>
        <w:jc w:val="center"/>
        <w:rPr>
          <w:rFonts w:hint="eastAsia" w:ascii="方正小标宋简体" w:hAnsi="方正小标宋简体" w:eastAsia="方正小标宋简体" w:cs="方正小标宋简体"/>
          <w:sz w:val="36"/>
          <w:szCs w:val="36"/>
        </w:rPr>
      </w:pPr>
    </w:p>
    <w:p>
      <w:pPr>
        <w:widowControl w:val="0"/>
        <w:overflowPunct w:val="0"/>
        <w:spacing w:line="360" w:lineRule="auto"/>
        <w:ind w:firstLine="880" w:firstLineChars="200"/>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44"/>
          <w:szCs w:val="44"/>
        </w:rPr>
        <w:t>2025年度行政事业单位内部控制评价基本指标</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2"/>
        <w:gridCol w:w="831"/>
        <w:gridCol w:w="1485"/>
        <w:gridCol w:w="5298"/>
        <w:gridCol w:w="597"/>
        <w:gridCol w:w="3854"/>
        <w:gridCol w:w="499"/>
        <w:tblGridChange w:id="0">
          <w:tblGrid>
            <w:gridCol w:w="862"/>
            <w:gridCol w:w="5"/>
            <w:gridCol w:w="826"/>
            <w:gridCol w:w="15"/>
            <w:gridCol w:w="1470"/>
            <w:gridCol w:w="38"/>
            <w:gridCol w:w="5260"/>
            <w:gridCol w:w="164"/>
            <w:gridCol w:w="433"/>
            <w:gridCol w:w="165"/>
            <w:gridCol w:w="3688"/>
            <w:gridCol w:w="1"/>
            <w:gridCol w:w="499"/>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评价</w:t>
            </w:r>
          </w:p>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类别</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一级评价指标</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二级评</w:t>
            </w:r>
          </w:p>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价指标</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评价内容</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分值</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评分细则</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b/>
                <w:i w:val="0"/>
                <w:color w:val="000000"/>
                <w:sz w:val="24"/>
                <w:szCs w:val="24"/>
                <w:u w:val="none"/>
                <w:lang w:bidi="ar"/>
              </w:rPr>
            </w:pPr>
            <w:r>
              <w:rPr>
                <w:rFonts w:hint="eastAsia" w:ascii="仿宋_GB2312" w:hAnsi="仿宋_GB2312" w:eastAsia="仿宋_GB2312" w:cs="仿宋_GB2312"/>
                <w:b/>
                <w:i w:val="0"/>
                <w:color w:val="000000"/>
                <w:kern w:val="0"/>
                <w:sz w:val="24"/>
                <w:szCs w:val="24"/>
                <w:u w:val="none"/>
                <w:lang w:val="en-US" w:eastAsia="zh-CN" w:bidi="ar"/>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atLeast"/>
        </w:trPr>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组织</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层面内部控制</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议事决策机制</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“三重一大”事项集体决策机制建立与实施情况</w:t>
            </w:r>
          </w:p>
        </w:tc>
        <w:tc>
          <w:tcPr>
            <w:tcW w:w="0" w:type="auto"/>
            <w:noWrap w:val="0"/>
            <w:vAlign w:val="center"/>
          </w:tcPr>
          <w:p>
            <w:pPr>
              <w:keepNext w:val="0"/>
              <w:keepLines w:val="0"/>
              <w:widowControl/>
              <w:suppressLineNumbers w:val="0"/>
              <w:spacing w:line="240" w:lineRule="auto"/>
              <w:jc w:val="left"/>
              <w:textAlignment w:val="auto"/>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单位是否建立健全“三重一大”事项集体决策机制，明确</w:t>
            </w:r>
            <w:r>
              <w:rPr>
                <w:rFonts w:hint="eastAsia" w:ascii="仿宋_GB2312" w:hAnsi="仿宋_GB2312" w:eastAsia="仿宋_GB2312" w:cs="仿宋_GB2312"/>
                <w:i w:val="0"/>
                <w:caps w:val="0"/>
                <w:color w:val="333333"/>
                <w:spacing w:val="0"/>
                <w:kern w:val="0"/>
                <w:sz w:val="24"/>
                <w:szCs w:val="24"/>
                <w:shd w:val="clear" w:fill="auto"/>
                <w:lang w:val="en-US" w:eastAsia="zh-CN" w:bidi="ar"/>
              </w:rPr>
              <w:t>“三重一大”事项的范围</w:t>
            </w:r>
            <w:r>
              <w:rPr>
                <w:rFonts w:hint="eastAsia" w:ascii="仿宋_GB2312" w:hAnsi="仿宋_GB2312" w:eastAsia="仿宋_GB2312" w:cs="仿宋_GB2312"/>
                <w:i w:val="0"/>
                <w:color w:val="000000"/>
                <w:kern w:val="0"/>
                <w:sz w:val="24"/>
                <w:szCs w:val="24"/>
                <w:u w:val="none"/>
                <w:lang w:val="en-US" w:eastAsia="zh-CN" w:bidi="ar"/>
              </w:rPr>
              <w:t>、决策形式、决策规则、决策程序等内容。</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已建立健全集体决策机制的，不扣分；每缺失一项机制或每发现一项机制建立不完善、覆盖不全面的，扣0.5分，扣完为止。</w:t>
            </w: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单位是否严格执行“三重一大”事项集体决策机制。</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有效实施集体决策机制的，不扣分；每发现一个事项未严格执行的，扣0.5分，扣完为止。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内部权力运行</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分事行权、分岗设权、分级授权</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对经济活动和相关业务活动的决策、执行、监督，单位是否明确分工、相互分离、分别行权。</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已建立健全分事行权机制并有效实施的，不扣分；每发现一项经济活动或业务活动未按规定执行的，扣0.5分，扣完为止。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单位是否编制岗位说明书，明确岗位责任，确保单位关键岗位实现不相容岗位相互分离。</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已建立健全分岗设权机制并有效实施的，不扣分；每发现一个关键岗位职责未明确的，扣0.5分，扣完为止。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单位是否根据不同管理层级和工作岗位，依法依规授予适当权限。</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已建立健全分级授权机制并有效执行的，不扣分；每发现一次授权不当、越权办事的，扣0.5分，扣完为止。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定期轮岗</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单位是否建立健全内部控制关键岗位干部交流或定期轮岗制度，明确轮岗范围、轮岗条件、轮岗周期、交接流程、责任追溯等要求，不具备轮岗条件的单位应当采用专项审计等控制措施。</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已建立健全关键岗位干部交流或定期轮岗制度的，不扣分；每发现一处制度建立不完善、覆盖不全面的，扣0.25分，扣完为止。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单位是否在轮岗周期内，对所有关键岗位定期执行轮岗或开展专项审计等控制措施。</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轮岗周期内已执行定期轮岗或开展专项审计等控制措施的，不扣分；每存在一个关键岗位既未执行定期轮岗也未开展专项审计等控制措施的，扣0.25分，扣完为止。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组织架构</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内部控制组织架构设置及运行情况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单位是否建立健全内部控制组织架构，成立内部控制领导机构，明确内部控制建设牵头部门、评价与监督部门。</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建立健全内部控制组织架构的，不扣分；未成立领导机构的，扣1分；未明确建设牵头部门的，扣0.5分；未明确评价与监督部门的，扣0.5分。</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评价年度内，单位内部控制领导机构是否召开会议，讨论单位内部控制工作相关问题。</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单位内部控制领导机构已召开会议且讨论单位内部控制工作相关问题的，不扣分；未召开会议或讨论内容与内部控制不相关的，扣1分。</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财务信息</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会计核算和财务报告</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单位是否按照政府会计准则制度的规定设置和使用会计科目、编制政府部门财务报告。</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未</w:t>
            </w:r>
            <w:r>
              <w:rPr>
                <w:rFonts w:hint="eastAsia" w:ascii="仿宋_GB2312" w:hAnsi="仿宋_GB2312" w:eastAsia="仿宋_GB2312" w:cs="仿宋_GB2312"/>
                <w:i w:val="0"/>
                <w:color w:val="auto"/>
                <w:kern w:val="0"/>
                <w:sz w:val="24"/>
                <w:szCs w:val="24"/>
                <w:u w:val="none"/>
                <w:lang w:val="en-US" w:eastAsia="zh-CN" w:bidi="ar"/>
              </w:rPr>
              <w:t>按照规定设置或使用会计科目的，扣0.5分；未按照规定编制政府部门财务报告的，扣0.5分</w:t>
            </w:r>
            <w:r>
              <w:rPr>
                <w:rFonts w:hint="eastAsia" w:ascii="仿宋_GB2312" w:hAnsi="仿宋_GB2312" w:eastAsia="仿宋_GB2312" w:cs="仿宋_GB2312"/>
                <w:i w:val="0"/>
                <w:color w:val="000000"/>
                <w:kern w:val="0"/>
                <w:sz w:val="24"/>
                <w:szCs w:val="24"/>
                <w:u w:val="none"/>
                <w:lang w:val="en-US" w:eastAsia="zh-CN" w:bidi="ar"/>
              </w:rPr>
              <w:t>。</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信息化</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内部控制信息化建设和使用情况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单位信息系统是否覆盖单位主要经济活动或业务活动。</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信息系统能够覆盖单位主要经济活动或业务活动的，不扣分；每存在一个主要经济活动或业务活动未覆盖的，扣0.5分，扣完为止。</w:t>
            </w:r>
          </w:p>
        </w:tc>
        <w:tc>
          <w:tcPr>
            <w:tcW w:w="0" w:type="auto"/>
            <w:noWrap w:val="0"/>
            <w:vAlign w:val="center"/>
          </w:tcPr>
          <w:p>
            <w:pPr>
              <w:spacing w:line="300" w:lineRule="exact"/>
              <w:jc w:val="both"/>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信息系统的设计、开发、运行、维护是否制定并履行相应的控制措施。</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已制定并执行信息系统相关控制措施的，不扣分；每发现一个环节控制措施缺失或未履行的，扣0.5分，扣完为止。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gridSpan w:val="4"/>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20</w:t>
            </w:r>
          </w:p>
        </w:tc>
        <w:tc>
          <w:tcPr>
            <w:tcW w:w="0" w:type="auto"/>
            <w:noWrap w:val="0"/>
            <w:vAlign w:val="center"/>
          </w:tcPr>
          <w:p>
            <w:pPr>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业务</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层面</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内部</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控制</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预算业务控制</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预算业务内部控制建立情况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单位是否依据法律法规、财政部门和主管部门工作要求、内部管理实际需要，建立健全涵盖预算编制、审批、执行、调剂、分析、决算与绩效管理等环节的预算业务内部控制制度。</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已建立健全预算业务内部控制制度的，不扣分；每发现缺失一个环节的，扣1分，扣完为止。</w:t>
            </w: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单位是否合理设置岗位，确保预算编制与审核，预算审批与执行，预算执行与分析，决算编制与审核等岗位职责分离。</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预算业务内部控制实施情况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单位预算编制主体、程序及标准是否符合预算相关制度规定。</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每发现一项内容未按照规定执行的，扣0.25分，扣完为止。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单位是否按照批复的预算开展相关活动并进行预算公开，涉及预算调剂的事项，先履行完相关审批或备案程序再组织执行。</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每发现一项活动或一个预算调剂事项未按照规定执行的，扣0.25分，扣完为止。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单位是否按照预算相关制度规定开展预算执行常态化监督预警信息核实、反馈，并按要求及时对违规问题进行整改，强化监督结果运用。</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每发现一条预警信息未按照规定执行的，扣0.25分，扣完为止。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单位是否按照预算相关制度规定开展决算编制、审核和批复、公开等程序。</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每发现一个环节未按照规定执行的，扣0.25分，扣完为止。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单位是否按照预算相关制度规定开展预算绩效管理工作。</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收支业务控制</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收支业务内部控制建立情况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单位是否依据法律法规、财政部门和主管部门工作要求、内部管理实际需要，建立健全涵盖收入、票据、支出等业务的内部控制制度。</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已建立健全收支业务内部控制制度的，不扣分；未建立健全收入内部控制制度的，扣1分；未建立健全票据内部控制制度的，扣1分；未建立健全支出内部控制制度的，扣2分。</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单位是否合理设置岗位，确保收款与会计核算，支出申请与审批，支出审批与付款，业务经办与会计核算等岗位职责分离。</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收支业务内部控制实施情况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单位是否按照收入相关制度规定执行各项收入应收尽收，及时、准确入账，涉及非税收入的，应及时、足额上缴国库或财政专户。</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每发现一笔收入未按照规定执行的，扣0.25分，扣完为止。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单位是否按照票据相关制度规定，开展票据的申领、启用、保管、登记、核销、销毁等程序。</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每发现一张票据未按照规定执行的，扣0.5分，扣完为止。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单位是否按照支出相关制度规定，开展支出审核、审批、支付控制、核算和归档等程序。</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每发现一笔支出未按照规定执行的，扣0.5分，扣完为止。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政府采购业务控制</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政府采购业务内部控制建立情况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单位是否依据法律法规、财政部门和主管部门工作要求、内部管理实际需要，建立健全涵盖政府采购预算与计划、政府采购需求、政府采购活动、履约验收、信息公开等环节的政府采购业务内部控制制度。</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已建立健全政府采购业务内部控制制度的，不扣分；每发现缺失一个环节的，扣1分，扣完为止。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单位是否合理设置岗位，确保采购需求提出与审核，采购方式确定与审核，采购执行与验收，采购验收与登记等岗位职责分离。</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政府采购业务内部控制实施情况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单位是否按照政府采购相关制度规定执行政府采购预算、计划管理。</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选择政府采购的模式（集中采购、分散采购）、采购方式（公开招标、邀请招标、竞争性谈判、询价、单一来源采购、框架协议采购、竞争性磋商采购、合作创新采购、其他）。</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单位是否按照政府采购相关制度规定执行采购方式变更审批程序、政府采购进口产品审批程序。</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政府采购信息公开的主体、范围、时间、内容、程序是否按照有关规定执行。</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单位是否按照政府采购相关制度规定执行政府采购履约验收程序。</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每发现一笔政府采购业务未按照规定执行的，扣0.25分，扣完为止。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 w:author="admin" w:date="2026-01-28T11:04:02Z">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blPrExChange>
        </w:tblPrEx>
        <w:trPr>
          <w:trHeight w:val="1234" w:hRule="atLeast"/>
        </w:trPr>
        <w:tc>
          <w:tcPr>
            <w:tcW w:w="0" w:type="auto"/>
            <w:vMerge w:val="continue"/>
            <w:noWrap w:val="0"/>
            <w:vAlign w:val="center"/>
            <w:tcPrChange w:id="2" w:author="admin" w:date="2026-01-28T11:04:02Z">
              <w:tcPr>
                <w:tcW w:w="0" w:type="auto"/>
                <w:gridSpan w:val="2"/>
                <w:vMerge w:val="continue"/>
                <w:noWrap w:val="0"/>
                <w:vAlign w:val="center"/>
              </w:tcPr>
            </w:tcPrChange>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Change w:id="3" w:author="admin" w:date="2026-01-28T11:04:02Z">
              <w:tcPr>
                <w:tcW w:w="0" w:type="auto"/>
                <w:gridSpan w:val="2"/>
                <w:vMerge w:val="restart"/>
                <w:noWrap w:val="0"/>
                <w:vAlign w:val="center"/>
              </w:tcPr>
            </w:tcPrChange>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资产控制</w:t>
            </w:r>
          </w:p>
        </w:tc>
        <w:tc>
          <w:tcPr>
            <w:tcW w:w="0" w:type="auto"/>
            <w:vMerge w:val="restart"/>
            <w:noWrap w:val="0"/>
            <w:vAlign w:val="center"/>
            <w:tcPrChange w:id="4" w:author="admin" w:date="2026-01-28T11:04:02Z">
              <w:tcPr>
                <w:tcW w:w="0" w:type="auto"/>
                <w:gridSpan w:val="2"/>
                <w:vMerge w:val="restart"/>
                <w:noWrap w:val="0"/>
                <w:vAlign w:val="center"/>
              </w:tcPr>
            </w:tcPrChange>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资产内部控制建立情况</w:t>
            </w:r>
          </w:p>
        </w:tc>
        <w:tc>
          <w:tcPr>
            <w:tcW w:w="0" w:type="auto"/>
            <w:noWrap w:val="0"/>
            <w:vAlign w:val="center"/>
            <w:tcPrChange w:id="5" w:author="admin" w:date="2026-01-28T11:04:02Z">
              <w:tcPr>
                <w:tcW w:w="0" w:type="auto"/>
                <w:gridSpan w:val="2"/>
                <w:noWrap w:val="0"/>
                <w:vAlign w:val="center"/>
              </w:tcPr>
            </w:tcPrChange>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单位是否依据法律法规、财政部门和主管部门工作要求、内部管理实际需要，建立健全涵盖货币资金、实物资产、无形资产、对外投资等资产类别的内部控制制度。</w:t>
            </w:r>
          </w:p>
        </w:tc>
        <w:tc>
          <w:tcPr>
            <w:tcW w:w="0" w:type="auto"/>
            <w:noWrap w:val="0"/>
            <w:vAlign w:val="center"/>
            <w:tcPrChange w:id="6" w:author="admin" w:date="2026-01-28T11:04:02Z">
              <w:tcPr>
                <w:tcW w:w="0" w:type="auto"/>
                <w:gridSpan w:val="2"/>
                <w:noWrap w:val="0"/>
                <w:vAlign w:val="center"/>
              </w:tcPr>
            </w:tcPrChange>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Change w:id="7" w:author="admin" w:date="2026-01-28T11:04:02Z">
              <w:tcPr>
                <w:tcW w:w="0" w:type="auto"/>
                <w:noWrap w:val="0"/>
                <w:vAlign w:val="center"/>
              </w:tcPr>
            </w:tcPrChange>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已建立健全资产内部控制制度的，不扣分；每发现一类资产未建立健全内部控制制度的，扣1分，扣完为止。</w:t>
            </w:r>
          </w:p>
        </w:tc>
        <w:tc>
          <w:tcPr>
            <w:tcW w:w="0" w:type="auto"/>
            <w:noWrap w:val="0"/>
            <w:vAlign w:val="center"/>
            <w:tcPrChange w:id="8" w:author="admin" w:date="2026-01-28T11:04:02Z">
              <w:tcPr>
                <w:tcW w:w="0" w:type="auto"/>
                <w:gridSpan w:val="2"/>
                <w:noWrap w:val="0"/>
                <w:vAlign w:val="center"/>
              </w:tcPr>
            </w:tcPrChange>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单位是否合理设置岗位，确保货币资金保管、稽核与账目登记，资产财务账与实物账，资产保管与清查，对外投资立项申报与审核等岗位职责分离。</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资产内部控制实施情况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单位是否按照资产相关制度规定，保管单位收付款项所需印章、银行密钥等，单位银行账户的开立、变更、销户是否按照相关规定执行。</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每发现一个印章（银行密钥）或银行账户未按照规定执行的，扣0.25分，扣完为止。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单位是否按照资产相关制度规定，开展银行存款对账，对库存现金、固定资产、存货等资产开展定期清查盘点。</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每发现一类资产未按照规定执行的，扣0.5分，扣完为止。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单位是否按照资产相关制度规定规范执行资产的配置、处置、使用及资产收益等程序。</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每发现一项资产未按照规定执行的，扣0.5分，扣完为止。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7"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建设项目控制</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建设项目内部控制建立情况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建设项目立项、决策、概预算编制、合同签署、工程变更、验收、价款支付、监理、决算、审计等全部经济活动和主要业务活动的建设项目内部控制制度。</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已建立健全建设项目内部控制制度的，不扣分；每发现缺失一个环节的，扣1分，扣完为止。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单位是否合理设置岗位，确保项目立项申请与审核，概预算编制与审核，项目实施与价款支付，竣工决算与审计等岗位职责分离。</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建设项目内部控制实施情况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单位是否严格按照建设项目相关制度规定，开展建设项目可行性研究、项目决策、概预算编制等经济业务活动。</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每发现一个建设项目未按制度执行的，扣0.25分，扣完为止。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项目建议书、可行性研究报告、概预算、竣工决算报告等是否经相关工作人员或根据国家有关规定委托具有相应资质的中介机构进行审核，出具评审意见。</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每发现一份材料不符合相关规定的，扣0.25分，扣完为止。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单位是否按照建设项目相关制度规定开展工程变更审批程序。</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每发现一次工程变更未按照规定执行的，扣0.25分，扣完为止。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单位是否按照审批单位下达的投资计划和预算对建设项目资金实行专款专用。</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发现建设项目资金未实行专款专用的，扣1分。</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单位是否及时办理资产交付使用手续。</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发现建设项目未及时办理资产交付使用手续的，扣1分。</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合同控制</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合同内部控制建立情况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单位是否依据法律法规、财政部门和主管部门工作要求、内部管理实际需要，建立健全涵盖合同订立、合同登记、履行监督审查、合同执行、合同纠纷处理、印章管理等环节的合同管理内部控制制度。</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已建立健全合同内部控制制度的，不扣分；每发现缺失一个环节的，扣1分，扣完为止。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单位是否合理设置岗位，确保合同拟订与审核，合同订立与合同章管理，合同订立与登记台账，合同执行与监督等岗位职责分离。</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每发现一处不相容岗位未分离的，扣0.25分，扣完为止。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合同内部控制实施情况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单位是否按照合同相关制度规定，对合同实施归口管理。</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未实现合同归口管理的，扣1分。</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单位是否按照合同相关制度规定，开展合同订立。</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每发现一份合同未按照规定订立的，扣0.25分，扣完为止。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单位是否按照合同相关制度规定，开展合同履行监督审查。</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每发现一份合同未按照规定开展合同履行监督审查的，扣0.25分，扣完为止。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合同归口管理部门是否按照合同相关制度规定，登记合同的订立、履行和变更情况。</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每发现一份合同未按照规定进行登记的，扣0.25分，扣完为止。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单位是否规范管理并使用印章（公章、合同章、人名章等）。</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每发现一份合同未按照规定使用印章的，扣0.25分，扣完为止。</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gridSpan w:val="4"/>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val="en-US" w:bidi="ar"/>
              </w:rPr>
            </w:pPr>
            <w:r>
              <w:rPr>
                <w:rFonts w:hint="eastAsia" w:ascii="仿宋_GB2312" w:hAnsi="仿宋_GB2312" w:eastAsia="仿宋_GB2312" w:cs="仿宋_GB2312"/>
                <w:i w:val="0"/>
                <w:color w:val="000000"/>
                <w:kern w:val="0"/>
                <w:sz w:val="24"/>
                <w:szCs w:val="24"/>
                <w:u w:val="none"/>
                <w:lang w:val="en-US" w:eastAsia="zh-CN" w:bidi="ar"/>
              </w:rPr>
              <w:t>60</w:t>
            </w:r>
          </w:p>
        </w:tc>
        <w:tc>
          <w:tcPr>
            <w:tcW w:w="0" w:type="auto"/>
            <w:noWrap w:val="0"/>
            <w:vAlign w:val="center"/>
          </w:tcPr>
          <w:p>
            <w:pPr>
              <w:spacing w:line="300" w:lineRule="exact"/>
              <w:jc w:val="left"/>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内部</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监督</w:t>
            </w: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内部监督机制建立情况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职责分离情况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评价与监督部门（岗位）是否与内部控制建设牵头部门（岗位）相互分离。</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已实现评价与监督部门（岗位）和建设牵头部门（岗位）分离的，不扣分；未实现的，扣2分。</w:t>
            </w: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内部会计监督情况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单位是否建立健全内部会计监督制度，并将其纳入本单位内部控制制度。</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已建立健全内部会计监督制度的，不扣分；制度不完善或已建立但未纳入内部控制制度的，扣1分；未建立的，扣2分。</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restart"/>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内部监督机制实施情况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开展检查情况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单位是否按规定开展内部控制相关内部监督检查工作或定期开展内部控制制度执行情况自查。</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2</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相关内部监督检查工作已开展的，不扣分；未开展的，扣2分。</w:t>
            </w:r>
          </w:p>
        </w:tc>
        <w:tc>
          <w:tcPr>
            <w:tcW w:w="0" w:type="auto"/>
            <w:noWrap w:val="0"/>
            <w:vAlign w:val="center"/>
          </w:tcPr>
          <w:p>
            <w:pPr>
              <w:spacing w:line="300" w:lineRule="exact"/>
              <w:jc w:val="center"/>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vMerge w:val="continue"/>
            <w:noWrap w:val="0"/>
            <w:vAlign w:val="center"/>
          </w:tcPr>
          <w:p>
            <w:pPr>
              <w:spacing w:line="300" w:lineRule="exact"/>
              <w:jc w:val="left"/>
              <w:rPr>
                <w:rFonts w:hint="eastAsia" w:ascii="仿宋_GB2312" w:hAnsi="仿宋_GB2312" w:eastAsia="仿宋_GB2312" w:cs="仿宋_GB2312"/>
                <w:i w:val="0"/>
                <w:color w:val="000000"/>
                <w:sz w:val="24"/>
                <w:szCs w:val="24"/>
                <w:u w:val="none"/>
                <w:lang w:val="en-US" w:eastAsia="zh-CN" w:bidi="ar"/>
              </w:rPr>
            </w:pP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问题整改情况</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上年度巡视巡察、纪检监察、审计、财会监督、内部控制评价等发现的内部控制相关问题的整改落实情况。</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4</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每发现一个问题逾期未整改完成的，扣1分，扣完为止。</w:t>
            </w:r>
          </w:p>
        </w:tc>
        <w:tc>
          <w:tcPr>
            <w:tcW w:w="0" w:type="auto"/>
            <w:noWrap w:val="0"/>
            <w:vAlign w:val="center"/>
          </w:tcPr>
          <w:p>
            <w:pPr>
              <w:spacing w:line="300" w:lineRule="exact"/>
              <w:rPr>
                <w:rFonts w:hint="eastAsia" w:ascii="仿宋_GB2312" w:hAnsi="仿宋_GB2312" w:eastAsia="仿宋_GB2312" w:cs="仿宋_GB2312"/>
                <w:i w:val="0"/>
                <w:color w:val="000000"/>
                <w:sz w:val="24"/>
                <w:szCs w:val="24"/>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gridSpan w:val="4"/>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val="en-US"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补充</w:t>
            </w:r>
          </w:p>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指标</w:t>
            </w:r>
          </w:p>
        </w:tc>
        <w:tc>
          <w:tcPr>
            <w:tcW w:w="0" w:type="auto"/>
            <w:gridSpan w:val="2"/>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补充指标</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结合内部管理实际，由部门细化，单位可进行补充。</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0" w:type="auto"/>
            <w:noWrap w:val="0"/>
            <w:vAlign w:val="center"/>
          </w:tcPr>
          <w:p>
            <w:pPr>
              <w:keepNext w:val="0"/>
              <w:keepLines w:val="0"/>
              <w:widowControl/>
              <w:suppressLineNumbers w:val="0"/>
              <w:spacing w:line="300" w:lineRule="exact"/>
              <w:jc w:val="left"/>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自行制定评分细则。</w:t>
            </w: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gridSpan w:val="4"/>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小计</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10</w:t>
            </w: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0" w:type="auto"/>
            <w:gridSpan w:val="4"/>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合计</w:t>
            </w:r>
          </w:p>
        </w:tc>
        <w:tc>
          <w:tcPr>
            <w:tcW w:w="0" w:type="auto"/>
            <w:noWrap w:val="0"/>
            <w:vAlign w:val="center"/>
          </w:tcPr>
          <w:p>
            <w:pPr>
              <w:keepNext w:val="0"/>
              <w:keepLines w:val="0"/>
              <w:widowControl/>
              <w:suppressLineNumbers w:val="0"/>
              <w:spacing w:line="300" w:lineRule="exact"/>
              <w:jc w:val="center"/>
              <w:textAlignment w:val="center"/>
              <w:rPr>
                <w:rFonts w:hint="eastAsia" w:ascii="仿宋_GB2312" w:hAnsi="仿宋_GB2312" w:eastAsia="仿宋_GB2312" w:cs="仿宋_GB2312"/>
                <w:i w:val="0"/>
                <w:color w:val="000000"/>
                <w:sz w:val="24"/>
                <w:szCs w:val="24"/>
                <w:u w:val="none"/>
                <w:lang w:bidi="ar"/>
              </w:rPr>
            </w:pPr>
            <w:r>
              <w:rPr>
                <w:rFonts w:hint="eastAsia" w:ascii="仿宋_GB2312" w:hAnsi="仿宋_GB2312" w:eastAsia="仿宋_GB2312" w:cs="仿宋_GB2312"/>
                <w:i w:val="0"/>
                <w:color w:val="000000"/>
                <w:kern w:val="0"/>
                <w:sz w:val="24"/>
                <w:szCs w:val="24"/>
                <w:u w:val="none"/>
                <w:lang w:val="en-US" w:eastAsia="zh-CN" w:bidi="ar"/>
              </w:rPr>
              <w:t>100</w:t>
            </w: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c>
          <w:tcPr>
            <w:tcW w:w="0" w:type="auto"/>
            <w:noWrap w:val="0"/>
            <w:vAlign w:val="center"/>
          </w:tcPr>
          <w:p>
            <w:pPr>
              <w:spacing w:line="300" w:lineRule="exact"/>
              <w:jc w:val="both"/>
              <w:textAlignment w:val="center"/>
              <w:rPr>
                <w:rFonts w:hint="eastAsia" w:ascii="仿宋_GB2312" w:hAnsi="仿宋_GB2312" w:eastAsia="仿宋_GB2312" w:cs="仿宋_GB2312"/>
                <w:i w:val="0"/>
                <w:color w:val="000000"/>
                <w:sz w:val="24"/>
                <w:szCs w:val="24"/>
                <w:u w:val="none"/>
                <w:lang w:bidi="ar"/>
              </w:rPr>
            </w:pPr>
          </w:p>
        </w:tc>
      </w:tr>
    </w:tbl>
    <w:p>
      <w:pPr>
        <w:keepNext w:val="0"/>
        <w:keepLines w:val="0"/>
        <w:pageBreakBefore w:val="0"/>
        <w:widowControl w:val="0"/>
        <w:kinsoku/>
        <w:wordWrap/>
        <w:overflowPunct w:val="0"/>
        <w:topLinePunct w:val="0"/>
        <w:autoSpaceDE/>
        <w:autoSpaceDN/>
        <w:bidi w:val="0"/>
        <w:adjustRightInd/>
        <w:snapToGrid/>
        <w:spacing w:line="360" w:lineRule="auto"/>
        <w:ind w:firstLine="480" w:firstLineChars="2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注</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1.因单位不涉及某类业务</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导致某项指标不适用的</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该项指标不</w:t>
      </w:r>
      <w:r>
        <w:rPr>
          <w:rFonts w:hint="eastAsia" w:ascii="仿宋_GB2312" w:hAnsi="仿宋_GB2312" w:eastAsia="仿宋_GB2312" w:cs="仿宋_GB2312"/>
          <w:sz w:val="24"/>
          <w:szCs w:val="24"/>
          <w:lang w:val="en-US" w:eastAsia="zh-CN"/>
        </w:rPr>
        <w:t>评</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得分换算公式如下</w:t>
      </w:r>
      <w:r>
        <w:rPr>
          <w:rFonts w:hint="eastAsia" w:ascii="仿宋_GB2312" w:hAnsi="仿宋_GB2312" w:eastAsia="仿宋_GB2312" w:cs="仿宋_GB2312"/>
          <w:sz w:val="24"/>
          <w:szCs w:val="24"/>
          <w:lang w:eastAsia="zh-CN"/>
        </w:rPr>
        <w:t>：</w:t>
      </w:r>
    </w:p>
    <w:p>
      <w:pPr>
        <w:keepNext w:val="0"/>
        <w:keepLines w:val="0"/>
        <w:pageBreakBefore w:val="0"/>
        <w:widowControl w:val="0"/>
        <w:kinsoku/>
        <w:wordWrap/>
        <w:overflowPunct w:val="0"/>
        <w:topLinePunct w:val="0"/>
        <w:autoSpaceDE/>
        <w:autoSpaceDN/>
        <w:bidi w:val="0"/>
        <w:adjustRightInd/>
        <w:snapToGrid/>
        <w:spacing w:line="360" w:lineRule="auto"/>
        <w:ind w:firstLine="960" w:firstLineChars="400"/>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color w:val="auto"/>
          <w:sz w:val="24"/>
          <w:szCs w:val="24"/>
          <w:lang w:eastAsia="zh-CN"/>
        </w:rPr>
        <w:t>换算后的</w:t>
      </w:r>
      <w:r>
        <w:rPr>
          <w:rFonts w:hint="eastAsia" w:ascii="仿宋_GB2312" w:hAnsi="仿宋_GB2312" w:eastAsia="仿宋_GB2312" w:cs="仿宋_GB2312"/>
          <w:sz w:val="24"/>
          <w:szCs w:val="24"/>
        </w:rPr>
        <w:t>得分</w:t>
      </w:r>
      <w:r>
        <w:rPr>
          <w:rFonts w:hint="eastAsia" w:ascii="仿宋_GB2312" w:hAnsi="仿宋_GB2312" w:eastAsia="仿宋_GB2312" w:cs="仿宋_GB2312"/>
          <w:sz w:val="24"/>
          <w:szCs w:val="24"/>
          <w:lang w:eastAsia="zh-CN"/>
        </w:rPr>
        <w:t>合计</w:t>
      </w:r>
      <w:r>
        <w:rPr>
          <w:rFonts w:hint="eastAsia" w:ascii="仿宋_GB2312" w:hAnsi="仿宋_GB2312" w:eastAsia="仿宋_GB2312" w:cs="仿宋_GB2312"/>
          <w:sz w:val="24"/>
          <w:szCs w:val="24"/>
        </w:rPr>
        <w:t>=</w:t>
      </w:r>
      <w:r>
        <w:rPr>
          <w:rFonts w:hint="eastAsia" w:ascii="仿宋_GB2312" w:hAnsi="仿宋_GB2312" w:eastAsia="仿宋_GB2312" w:cs="仿宋_GB2312"/>
          <w:color w:val="auto"/>
          <w:sz w:val="24"/>
          <w:szCs w:val="24"/>
          <w:lang w:eastAsia="zh-CN"/>
        </w:rPr>
        <w:t>换算前的</w:t>
      </w:r>
      <w:r>
        <w:rPr>
          <w:rFonts w:hint="eastAsia" w:ascii="仿宋_GB2312" w:hAnsi="仿宋_GB2312" w:eastAsia="仿宋_GB2312" w:cs="仿宋_GB2312"/>
          <w:sz w:val="24"/>
          <w:szCs w:val="24"/>
        </w:rPr>
        <w:t>得分</w:t>
      </w:r>
      <w:r>
        <w:rPr>
          <w:rFonts w:hint="eastAsia" w:ascii="仿宋_GB2312" w:hAnsi="仿宋_GB2312" w:eastAsia="仿宋_GB2312" w:cs="仿宋_GB2312"/>
          <w:sz w:val="24"/>
          <w:szCs w:val="24"/>
          <w:lang w:eastAsia="zh-CN"/>
        </w:rPr>
        <w:t>合计</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100-不适用指标分值</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*100分</w:t>
      </w:r>
      <w:r>
        <w:rPr>
          <w:rFonts w:hint="eastAsia" w:ascii="仿宋_GB2312" w:hAnsi="仿宋_GB2312" w:eastAsia="仿宋_GB2312" w:cs="仿宋_GB2312"/>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单位内部控制评价</w:t>
      </w:r>
      <w:r>
        <w:rPr>
          <w:rFonts w:hint="eastAsia" w:ascii="仿宋_GB2312" w:hAnsi="仿宋_GB2312" w:eastAsia="仿宋_GB2312" w:cs="仿宋_GB2312"/>
          <w:sz w:val="24"/>
          <w:szCs w:val="24"/>
          <w:lang w:val="en-US" w:eastAsia="zh-CN"/>
        </w:rPr>
        <w:t>补充指标</w:t>
      </w:r>
      <w:r>
        <w:rPr>
          <w:rFonts w:hint="eastAsia" w:ascii="仿宋_GB2312" w:hAnsi="仿宋_GB2312" w:eastAsia="仿宋_GB2312" w:cs="仿宋_GB2312"/>
          <w:sz w:val="24"/>
          <w:szCs w:val="24"/>
        </w:rPr>
        <w:t>总分1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应当结合单位业务特点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风险防控重点设置</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可由部门统一确定，也可由部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960" w:firstLineChars="400"/>
        <w:textAlignment w:val="auto"/>
        <w:rPr>
          <w:sz w:val="24"/>
          <w:szCs w:val="24"/>
        </w:rPr>
      </w:pPr>
      <w:r>
        <w:rPr>
          <w:rFonts w:hint="eastAsia" w:ascii="仿宋_GB2312" w:hAnsi="仿宋_GB2312" w:eastAsia="仿宋_GB2312" w:cs="仿宋_GB2312"/>
          <w:sz w:val="24"/>
          <w:szCs w:val="24"/>
          <w:lang w:val="en-US" w:eastAsia="zh-CN"/>
        </w:rPr>
        <w:t>门及所属单位共同确定。若未设置补充指标，则得分合计换算规则同上。</w:t>
      </w:r>
      <w:bookmarkStart w:id="0" w:name="_GoBack"/>
      <w:bookmarkEnd w:id="0"/>
    </w:p>
    <w:sectPr>
      <w:footerReference r:id="rId3" w:type="default"/>
      <w:pgSz w:w="16838" w:h="11906" w:orient="landscape"/>
      <w:pgMar w:top="1480" w:right="1644" w:bottom="1480" w:left="1984" w:header="851" w:footer="992" w:gutter="0"/>
      <w:pgNumType w:fmt="decimal" w:start="8"/>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4E371C"/>
    <w:rsid w:val="03251DC7"/>
    <w:rsid w:val="0B2B111D"/>
    <w:rsid w:val="1869193F"/>
    <w:rsid w:val="1DB75877"/>
    <w:rsid w:val="2F6F34DE"/>
    <w:rsid w:val="2F7B76E9"/>
    <w:rsid w:val="34C57760"/>
    <w:rsid w:val="3B9D7EED"/>
    <w:rsid w:val="3DEFAAED"/>
    <w:rsid w:val="3FEBC5EC"/>
    <w:rsid w:val="4FEFFD2D"/>
    <w:rsid w:val="5B7C0F56"/>
    <w:rsid w:val="614E371C"/>
    <w:rsid w:val="687419EA"/>
    <w:rsid w:val="771F68D2"/>
    <w:rsid w:val="797978F4"/>
    <w:rsid w:val="797FE4D6"/>
    <w:rsid w:val="7AAE92A0"/>
    <w:rsid w:val="7BEF22DD"/>
    <w:rsid w:val="7D3690E4"/>
    <w:rsid w:val="7D508970"/>
    <w:rsid w:val="7FCC9E14"/>
    <w:rsid w:val="872E342E"/>
    <w:rsid w:val="9E773D88"/>
    <w:rsid w:val="9ECF2B1A"/>
    <w:rsid w:val="A72DDD54"/>
    <w:rsid w:val="C3FF48EB"/>
    <w:rsid w:val="D5F59F95"/>
    <w:rsid w:val="DFEF0D1F"/>
    <w:rsid w:val="E4FF67C5"/>
    <w:rsid w:val="EA73C2CF"/>
    <w:rsid w:val="EEFF96B2"/>
    <w:rsid w:val="EFF73427"/>
    <w:rsid w:val="F5DB7D4C"/>
    <w:rsid w:val="F7BF33CC"/>
    <w:rsid w:val="F7F8B22C"/>
    <w:rsid w:val="FBE76FCE"/>
    <w:rsid w:val="FBEE2EE6"/>
    <w:rsid w:val="FD3F1385"/>
    <w:rsid w:val="FED72DDD"/>
    <w:rsid w:val="FFD40944"/>
    <w:rsid w:val="FFFB79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5064</Words>
  <Characters>5196</Characters>
  <Lines>0</Lines>
  <Paragraphs>0</Paragraphs>
  <TotalTime>1</TotalTime>
  <ScaleCrop>false</ScaleCrop>
  <LinksUpToDate>false</LinksUpToDate>
  <CharactersWithSpaces>5196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2026-01-16T00:59:00Z</dcterms:created>
  <dc:creator>小不点儿</dc:creator>
  <cp:lastModifiedBy>admin</cp:lastModifiedBy>
  <cp:lastPrinted>2026-01-29T03:36:00Z</cp:lastPrinted>
  <dcterms:modified xsi:type="dcterms:W3CDTF">2026-01-28T14:46:22Z</dcterms:modified>
  <dc:title>附件1</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34967E328CFA4527ADD1BAC4922E28D6_13</vt:lpwstr>
  </property>
  <property fmtid="{D5CDD505-2E9C-101B-9397-08002B2CF9AE}" pid="4" name="KSOTemplateDocerSaveRecord">
    <vt:lpwstr>eyJoZGlkIjoiZWU2NmMxYjY0YTYzZDhkNzc4MDdhYzQyODY4OTJmZDUiLCJ1c2VySWQiOiIxMjg5NDQ5MDU3In0=</vt:lpwstr>
  </property>
</Properties>
</file>