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343636B">
      <w:pPr>
        <w:spacing w:line="360" w:lineRule="auto"/>
        <w:jc w:val="center"/>
        <w:rPr>
          <w:rFonts w:hint="eastAsia" w:ascii="宋体" w:hAnsi="宋体"/>
          <w:b/>
          <w:bCs/>
          <w:sz w:val="52"/>
          <w:szCs w:val="52"/>
        </w:rPr>
      </w:pPr>
      <w:r>
        <w:rPr>
          <w:rFonts w:ascii="宋体" w:hAnsi="宋体"/>
          <w:b/>
          <w:bCs/>
          <w:sz w:val="52"/>
          <w:szCs w:val="52"/>
        </w:rPr>
        <w:t>2025</w:t>
      </w:r>
      <w:r>
        <w:rPr>
          <w:rFonts w:hint="eastAsia" w:ascii="宋体" w:hAnsi="宋体"/>
          <w:b/>
          <w:bCs/>
          <w:sz w:val="52"/>
          <w:szCs w:val="52"/>
        </w:rPr>
        <w:t>年度赤峰市文学艺术事业</w:t>
      </w:r>
    </w:p>
    <w:p w14:paraId="77E6C3D2">
      <w:pPr>
        <w:spacing w:line="360" w:lineRule="auto"/>
        <w:jc w:val="center"/>
        <w:rPr>
          <w:rFonts w:ascii="宋体" w:hAnsi="宋体"/>
          <w:b/>
          <w:bCs/>
          <w:sz w:val="52"/>
          <w:szCs w:val="52"/>
        </w:rPr>
      </w:pPr>
      <w:r>
        <w:rPr>
          <w:rFonts w:hint="eastAsia" w:ascii="宋体" w:hAnsi="宋体"/>
          <w:b/>
          <w:bCs/>
          <w:sz w:val="52"/>
          <w:szCs w:val="52"/>
        </w:rPr>
        <w:t>发展中心公开报告</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1D89E7A7">
      <w:pPr>
        <w:spacing w:line="360" w:lineRule="auto"/>
        <w:ind w:firstLine="1800" w:firstLineChars="500"/>
        <w:jc w:val="both"/>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单位名称：赤峰市文学艺术事业发展中心</w:t>
      </w:r>
    </w:p>
    <w:p w14:paraId="39B7013E">
      <w:pPr>
        <w:pStyle w:val="19"/>
        <w:ind w:left="0" w:leftChars="0" w:firstLine="1440" w:firstLineChars="4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单位负责人：呼钦</w:t>
      </w:r>
    </w:p>
    <w:p w14:paraId="493FAA12">
      <w:pPr>
        <w:pStyle w:val="19"/>
        <w:ind w:left="0" w:leftChars="0" w:firstLine="1440" w:firstLineChars="4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财务负责人：呼钦</w:t>
      </w:r>
    </w:p>
    <w:p w14:paraId="06127C03">
      <w:pPr>
        <w:pStyle w:val="19"/>
        <w:ind w:left="0" w:leftChars="0" w:firstLine="2160" w:firstLineChars="6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编制人：宋芸霏</w:t>
      </w:r>
    </w:p>
    <w:p w14:paraId="5FAAF19E">
      <w:pPr>
        <w:pStyle w:val="19"/>
        <w:ind w:left="0" w:leftChars="0" w:firstLine="1800" w:firstLineChars="500"/>
        <w:rPr>
          <w:rFonts w:hint="eastAsia" w:ascii="仿宋_GB2312" w:hAnsi="仿宋_GB2312" w:eastAsia="仿宋_GB2312" w:cs="仿宋_GB2312"/>
          <w:b w:val="0"/>
          <w:bCs w:val="0"/>
          <w:sz w:val="36"/>
          <w:szCs w:val="36"/>
          <w:lang w:val="en-US" w:eastAsia="zh-CN"/>
        </w:rPr>
      </w:pPr>
      <w:r>
        <w:rPr>
          <w:rFonts w:hint="eastAsia" w:ascii="仿宋_GB2312" w:hAnsi="仿宋_GB2312" w:eastAsia="仿宋_GB2312" w:cs="仿宋_GB2312"/>
          <w:b w:val="0"/>
          <w:bCs w:val="0"/>
          <w:sz w:val="36"/>
          <w:szCs w:val="36"/>
          <w:lang w:eastAsia="zh-CN"/>
        </w:rPr>
        <w:t>报送日期：</w:t>
      </w:r>
      <w:r>
        <w:rPr>
          <w:rFonts w:hint="eastAsia" w:ascii="仿宋_GB2312" w:hAnsi="仿宋_GB2312" w:eastAsia="仿宋_GB2312" w:cs="仿宋_GB2312"/>
          <w:b w:val="0"/>
          <w:bCs w:val="0"/>
          <w:sz w:val="36"/>
          <w:szCs w:val="36"/>
          <w:lang w:val="en-US" w:eastAsia="zh-CN"/>
        </w:rPr>
        <w:t>2026年8月</w:t>
      </w:r>
    </w:p>
    <w:p w14:paraId="06DD5480">
      <w:pPr>
        <w:spacing w:line="360" w:lineRule="auto"/>
        <w:jc w:val="center"/>
        <w:rPr>
          <w:rFonts w:ascii="宋体" w:hAnsi="宋体"/>
          <w:b/>
          <w:bCs/>
          <w:sz w:val="52"/>
          <w:szCs w:val="52"/>
        </w:rPr>
      </w:pPr>
    </w:p>
    <w:p w14:paraId="454CAC92">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1C9A9517">
      <w:pPr>
        <w:pStyle w:val="30"/>
        <w:widowControl/>
        <w:spacing w:after="240"/>
        <w:jc w:val="center"/>
        <w:rPr>
          <w:rFonts w:ascii="Times New Roman" w:hAnsi="Times New Roman" w:eastAsia="Times New Roman" w:cs="Times New Roman"/>
          <w:kern w:val="0"/>
          <w:sz w:val="24"/>
        </w:rPr>
      </w:pPr>
      <w:bookmarkStart w:id="0" w:name="a000"/>
      <w:r>
        <w:rPr>
          <w:rFonts w:ascii="FangSong_GB2312" w:hAnsi="FangSong_GB2312" w:eastAsia="FangSong_GB2312" w:cs="FangSong_GB2312"/>
          <w:b/>
          <w:bCs/>
          <w:kern w:val="0"/>
          <w:sz w:val="48"/>
          <w:szCs w:val="48"/>
        </w:rPr>
        <w:t>目录</w:t>
      </w:r>
    </w:p>
    <w:p w14:paraId="4306CFA4">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038800B4">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14:paraId="1E7399F3">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一、主要职能、职责</w:t>
      </w:r>
    </w:p>
    <w:p w14:paraId="33741C1A">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二、部门（单位）机构设置及决算单位构成情况</w:t>
      </w:r>
    </w:p>
    <w:p w14:paraId="7E97A947">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年度部门（单位）主要工作完成情况</w:t>
      </w:r>
    </w:p>
    <w:p w14:paraId="4BEB3204">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14:paraId="2F34E6A3">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一、收入支出决算总体情况说明</w:t>
      </w:r>
    </w:p>
    <w:p w14:paraId="45FE0BF7">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二、收入决算情况说明</w:t>
      </w:r>
    </w:p>
    <w:p w14:paraId="3374A8E3">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三、支出决算情况说明</w:t>
      </w:r>
    </w:p>
    <w:p w14:paraId="5CFCA08D">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四、财政拨款收入支出决算总体情况说明</w:t>
      </w:r>
    </w:p>
    <w:p w14:paraId="0B9F5274">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五、一般公共预算财政拨款支出决算情况说明</w:t>
      </w:r>
    </w:p>
    <w:p w14:paraId="0092ADFD">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六、一般公共预算财政拨款基本支出决算情况说明</w:t>
      </w:r>
    </w:p>
    <w:p w14:paraId="38911DD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七、一般公共预算财政拨款项目支出决算情况说明</w:t>
      </w:r>
    </w:p>
    <w:p w14:paraId="63359E0B">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八、财政拨款“三公”经费支出决算情况说明</w:t>
      </w:r>
    </w:p>
    <w:p w14:paraId="172C13B5">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九、政府性基金预算财政拨款支出决算情况说明</w:t>
      </w:r>
    </w:p>
    <w:p w14:paraId="74877EBC">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十、国有资本经营预算财政拨款支出决算情况说明</w:t>
      </w:r>
    </w:p>
    <w:p w14:paraId="0CE528B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十一、机关运行经费（公用经费）支出决算情况说明</w:t>
      </w:r>
    </w:p>
    <w:p w14:paraId="40CF1DF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十二、政府采购支出决算情况说明</w:t>
      </w:r>
    </w:p>
    <w:p w14:paraId="7C37FF86">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十三、国有资产占用情况说明</w:t>
      </w:r>
    </w:p>
    <w:p w14:paraId="034B2051">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十四、预算绩效情况说明</w:t>
      </w:r>
    </w:p>
    <w:p w14:paraId="4DD7D4B8">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39E669BF">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16184542">
      <w:pPr>
        <w:pStyle w:val="30"/>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14:paraId="13782F22">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一、收入支出决算总表</w:t>
      </w:r>
    </w:p>
    <w:p w14:paraId="3C6059BF">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二、收入决算表</w:t>
      </w:r>
    </w:p>
    <w:p w14:paraId="63FA6C59">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三、支出决算表</w:t>
      </w:r>
    </w:p>
    <w:p w14:paraId="5AC32E78">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四、财政拨款收入支出决算总表</w:t>
      </w:r>
    </w:p>
    <w:p w14:paraId="5E1CA9EB">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五、一般公共预算财政拨款支出决算表</w:t>
      </w:r>
    </w:p>
    <w:p w14:paraId="24701660">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六、一般公共预算财政拨款基本支出决算明细表</w:t>
      </w:r>
    </w:p>
    <w:p w14:paraId="1ED26F93">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七、一般公共预算财政拨款项目支出决算明细表</w:t>
      </w:r>
    </w:p>
    <w:p w14:paraId="44E37DBE">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八、政府性基金预算财政拨款收入支出决算表</w:t>
      </w:r>
    </w:p>
    <w:p w14:paraId="51481938">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九、国有资本经营预算财政拨款收入支出决算表</w:t>
      </w:r>
    </w:p>
    <w:p w14:paraId="2520528E">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十、财政拨款“三公”经费支出决算表</w:t>
      </w:r>
    </w:p>
    <w:p w14:paraId="50350FAB">
      <w:pPr>
        <w:pStyle w:val="30"/>
        <w:widowControl/>
        <w:spacing w:before="240" w:after="240" w:line="360" w:lineRule="auto"/>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十一、机关运行经费支出、国有资产占用情况及政府采购支出信息表</w:t>
      </w:r>
    </w:p>
    <w:p w14:paraId="33C29E3B">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14:paraId="434A82A8">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650FBC43">
      <w:pPr>
        <w:ind w:firstLine="640"/>
        <w:rPr>
          <w:rFonts w:hint="default" w:ascii="FangSong_GB2312" w:hAnsi="FangSong_GB2312" w:eastAsia="FangSong_GB2312" w:cs="FangSong_GB2312"/>
          <w:kern w:val="0"/>
          <w:sz w:val="32"/>
          <w:szCs w:val="32"/>
          <w:lang w:val="en-US" w:eastAsia="zh-CN" w:bidi="ar-SA"/>
        </w:rPr>
      </w:pPr>
      <w:r>
        <w:rPr>
          <w:rFonts w:hint="default" w:ascii="FangSong_GB2312" w:hAnsi="FangSong_GB2312" w:eastAsia="FangSong_GB2312" w:cs="FangSong_GB2312"/>
          <w:kern w:val="0"/>
          <w:sz w:val="32"/>
          <w:szCs w:val="32"/>
          <w:lang w:val="en-US" w:eastAsia="zh-CN" w:bidi="ar-SA"/>
        </w:rPr>
        <w:t>（一）</w:t>
      </w:r>
      <w:r>
        <w:rPr>
          <w:rFonts w:hint="eastAsia" w:ascii="FangSong_GB2312" w:hAnsi="FangSong_GB2312" w:eastAsia="FangSong_GB2312" w:cs="FangSong_GB2312"/>
          <w:kern w:val="0"/>
          <w:sz w:val="32"/>
          <w:szCs w:val="32"/>
          <w:lang w:val="en-US" w:eastAsia="zh-CN" w:bidi="ar-SA"/>
        </w:rPr>
        <w:t>坚持把铸牢中华民族共同体意识作为文学艺术事业发展工作的主线，贯穿于开展文学艺术作品创作展示、期刊出版发行、文艺人才引进培养推介、文化交流等全过程各方面。</w:t>
      </w:r>
    </w:p>
    <w:p w14:paraId="5F65F897">
      <w:pPr>
        <w:numPr>
          <w:ilvl w:val="0"/>
          <w:numId w:val="0"/>
        </w:numPr>
        <w:ind w:firstLine="640" w:firstLineChars="200"/>
        <w:rPr>
          <w:rFonts w:hint="eastAsia" w:ascii="FangSong_GB2312" w:hAnsi="FangSong_GB2312" w:eastAsia="FangSong_GB2312" w:cs="FangSong_GB2312"/>
          <w:kern w:val="0"/>
          <w:sz w:val="32"/>
          <w:szCs w:val="32"/>
          <w:lang w:val="en-US" w:eastAsia="zh-CN" w:bidi="ar-SA"/>
        </w:rPr>
      </w:pPr>
      <w:r>
        <w:rPr>
          <w:rFonts w:hint="default" w:ascii="FangSong_GB2312" w:hAnsi="FangSong_GB2312" w:eastAsia="FangSong_GB2312" w:cs="FangSong_GB2312"/>
          <w:kern w:val="0"/>
          <w:sz w:val="32"/>
          <w:szCs w:val="32"/>
          <w:lang w:val="en-US" w:eastAsia="zh-CN" w:bidi="ar-SA"/>
        </w:rPr>
        <w:t>（二）</w:t>
      </w:r>
      <w:r>
        <w:rPr>
          <w:rFonts w:hint="eastAsia" w:ascii="FangSong_GB2312" w:hAnsi="FangSong_GB2312" w:eastAsia="FangSong_GB2312" w:cs="FangSong_GB2312"/>
          <w:kern w:val="0"/>
          <w:sz w:val="32"/>
          <w:szCs w:val="32"/>
          <w:lang w:val="en-US" w:eastAsia="zh-CN" w:bidi="ar-SA"/>
        </w:rPr>
        <w:t>承担文艺人才引进、培养、服务和推介工作，宣传展示各类优秀作品和人才，扶持、引领和带动文艺人才成长。</w:t>
      </w:r>
    </w:p>
    <w:p w14:paraId="40A9E2CC">
      <w:pPr>
        <w:numPr>
          <w:ilvl w:val="0"/>
          <w:numId w:val="0"/>
        </w:numPr>
        <w:ind w:firstLine="640" w:firstLineChars="200"/>
        <w:rPr>
          <w:rFonts w:hint="default"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（三）承担《百柳》和《西拉沐沦》文学期刊的组稿、编辑、出版、印刷、发行工作。协助市文学艺术界联合会培养文学创作人才，繁荣文学创作。</w:t>
      </w:r>
    </w:p>
    <w:p w14:paraId="71EA07A6">
      <w:pPr>
        <w:numPr>
          <w:ilvl w:val="0"/>
          <w:numId w:val="0"/>
        </w:numPr>
        <w:ind w:firstLine="640" w:firstLineChars="200"/>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（四）承担统筹实施重大主题文艺创作和主题实践活动、主题文艺创作工程、创作扶持计划项目，做好文艺精品创作方向引导。协助做好创作奖励扶持工作。</w:t>
      </w:r>
    </w:p>
    <w:p w14:paraId="3243272D">
      <w:pPr>
        <w:numPr>
          <w:ilvl w:val="0"/>
          <w:numId w:val="0"/>
        </w:numPr>
        <w:ind w:firstLine="640" w:firstLineChars="200"/>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（五）负责促进文艺事业繁荣发展工作，协助开展文化交流活动。</w:t>
      </w:r>
    </w:p>
    <w:p w14:paraId="47BA5D0F">
      <w:pPr>
        <w:numPr>
          <w:ilvl w:val="0"/>
          <w:numId w:val="0"/>
        </w:numPr>
        <w:ind w:firstLine="640" w:firstLineChars="200"/>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（六）承担市文学艺术界联合会交办的其他任务。</w:t>
      </w:r>
    </w:p>
    <w:p w14:paraId="0DF9A4DC">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14:paraId="51F0498A">
      <w:pPr>
        <w:pStyle w:val="30"/>
        <w:widowControl/>
        <w:spacing w:before="240" w:after="240" w:line="60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根据单位职责分工，本单位内设机构包括</w:t>
      </w:r>
      <w:r>
        <w:rPr>
          <w:rFonts w:hint="eastAsia" w:ascii="FangSong_GB2312" w:hAnsi="FangSong_GB2312" w:eastAsia="FangSong_GB2312" w:cs="FangSong_GB2312"/>
          <w:kern w:val="0"/>
          <w:sz w:val="32"/>
          <w:szCs w:val="32"/>
          <w:lang w:eastAsia="zh-CN"/>
        </w:rPr>
        <w:t>《百柳》编辑部、《西拉沐沦》编辑部</w:t>
      </w:r>
      <w:r>
        <w:rPr>
          <w:rFonts w:ascii="FangSong_GB2312" w:hAnsi="FangSong_GB2312" w:eastAsia="FangSong_GB2312" w:cs="FangSong_GB2312"/>
          <w:kern w:val="0"/>
          <w:sz w:val="32"/>
          <w:szCs w:val="32"/>
        </w:rPr>
        <w:t>。本单位</w:t>
      </w:r>
      <w:r>
        <w:rPr>
          <w:rFonts w:ascii="FangSong_GB2312" w:hAnsi="FangSong_GB2312" w:eastAsia="FangSong_GB2312" w:cs="FangSong_GB2312"/>
          <w:color w:val="000000"/>
          <w:kern w:val="0"/>
          <w:sz w:val="32"/>
          <w:szCs w:val="32"/>
        </w:rPr>
        <w:t>所属</w:t>
      </w:r>
      <w:r>
        <w:rPr>
          <w:rFonts w:ascii="FangSong_GB2312" w:hAnsi="FangSong_GB2312" w:eastAsia="FangSong_GB2312" w:cs="FangSong_GB2312"/>
          <w:kern w:val="0"/>
          <w:sz w:val="32"/>
          <w:szCs w:val="32"/>
        </w:rPr>
        <w:t>单位</w:t>
      </w:r>
      <w:r>
        <w:rPr>
          <w:rFonts w:hint="eastAsia" w:ascii="FangSong_GB2312" w:hAnsi="FangSong_GB2312" w:eastAsia="FangSong_GB2312" w:cs="FangSong_GB2312"/>
          <w:kern w:val="0"/>
          <w:sz w:val="32"/>
          <w:szCs w:val="32"/>
          <w:lang w:eastAsia="zh-CN"/>
        </w:rPr>
        <w:t>：赤峰市文学艺术界联合会</w:t>
      </w:r>
      <w:r>
        <w:rPr>
          <w:rFonts w:ascii="FangSong_GB2312" w:hAnsi="FangSong_GB2312" w:eastAsia="FangSong_GB2312" w:cs="FangSong_GB2312"/>
          <w:kern w:val="0"/>
          <w:sz w:val="32"/>
          <w:szCs w:val="32"/>
        </w:rPr>
        <w:t>。</w:t>
      </w: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从决算单位构成看，纳入本单位决算编制范围的预算单位共计</w:t>
      </w:r>
      <w:r>
        <w:rPr>
          <w:rFonts w:hint="eastAsia"/>
          <w:kern w:val="0"/>
          <w:sz w:val="32"/>
          <w:szCs w:val="32"/>
          <w:u w:val="single"/>
          <w:lang w:val="en-US" w:eastAsia="zh-CN"/>
        </w:rPr>
        <w:t>1</w:t>
      </w:r>
      <w:r>
        <w:rPr>
          <w:rFonts w:ascii="FangSong_GB2312" w:hAnsi="FangSong_GB2312" w:eastAsia="FangSong_GB2312" w:cs="FangSong_GB2312"/>
          <w:kern w:val="0"/>
          <w:sz w:val="32"/>
          <w:szCs w:val="32"/>
        </w:rPr>
        <w:t>家，具体包括：</w:t>
      </w:r>
      <w:r>
        <w:rPr>
          <w:rFonts w:hint="eastAsia" w:ascii="FangSong_GB2312" w:hAnsi="FangSong_GB2312" w:eastAsia="FangSong_GB2312" w:cs="FangSong_GB2312"/>
          <w:kern w:val="0"/>
          <w:sz w:val="32"/>
          <w:szCs w:val="32"/>
          <w:lang w:eastAsia="zh-CN"/>
        </w:rPr>
        <w:t>赤峰市文学艺术事业发展中心。</w:t>
      </w:r>
      <w:r>
        <w:rPr>
          <w:rFonts w:ascii="FangSong_GB2312" w:hAnsi="FangSong_GB2312" w:eastAsia="FangSong_GB2312" w:cs="FangSong_GB2312"/>
          <w:kern w:val="0"/>
          <w:sz w:val="32"/>
          <w:szCs w:val="32"/>
        </w:rPr>
        <w:t>详细情况见表：</w:t>
      </w:r>
    </w:p>
    <w:tbl>
      <w:tblPr>
        <w:tblStyle w:val="20"/>
        <w:tblW w:w="7080" w:type="dxa"/>
        <w:jc w:val="center"/>
        <w:tblLayout w:type="fixed"/>
        <w:tblCellMar>
          <w:top w:w="15" w:type="dxa"/>
          <w:left w:w="15" w:type="dxa"/>
          <w:bottom w:w="15" w:type="dxa"/>
          <w:right w:w="15" w:type="dxa"/>
        </w:tblCellMar>
      </w:tblPr>
      <w:tblGrid>
        <w:gridCol w:w="583"/>
        <w:gridCol w:w="1600"/>
        <w:gridCol w:w="4897"/>
      </w:tblGrid>
      <w:tr w14:paraId="59C3B235">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300A131">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序号</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7A76625">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单位名称</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22D67D5">
            <w:pPr>
              <w:widowControl/>
              <w:jc w:val="center"/>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单位性质</w:t>
            </w:r>
          </w:p>
        </w:tc>
      </w:tr>
      <w:tr w14:paraId="38D3F164">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5B9DE2A">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b w:val="0"/>
                <w:bCs w:val="0"/>
                <w:i w:val="0"/>
                <w:iCs w:val="0"/>
                <w:smallCaps w:val="0"/>
                <w:color w:val="000000"/>
                <w:kern w:val="0"/>
                <w:sz w:val="24"/>
                <w:lang w:val="en-US" w:eastAsia="zh-CN"/>
              </w:rPr>
              <w:t>1</w:t>
            </w:r>
          </w:p>
        </w:tc>
        <w:tc>
          <w:tcPr>
            <w:tcW w:w="160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04D598E">
            <w:pPr>
              <w:widowControl/>
              <w:jc w:val="left"/>
              <w:rPr>
                <w:rFonts w:ascii="Times New Roman" w:hAnsi="Times New Roman" w:eastAsia="Times New Roman" w:cs="Times New Roman"/>
                <w:b w:val="0"/>
                <w:bCs w:val="0"/>
                <w:i w:val="0"/>
                <w:iCs w:val="0"/>
                <w:smallCaps w:val="0"/>
                <w:color w:val="000000"/>
                <w:kern w:val="0"/>
                <w:sz w:val="24"/>
              </w:rPr>
            </w:pPr>
            <w:r>
              <w:rPr>
                <w:rFonts w:hint="eastAsia" w:ascii="FangSong_GB2312" w:hAnsi="FangSong_GB2312" w:eastAsia="FangSong_GB2312" w:cs="FangSong_GB2312"/>
                <w:b w:val="0"/>
                <w:bCs w:val="0"/>
                <w:i w:val="0"/>
                <w:iCs w:val="0"/>
                <w:smallCaps w:val="0"/>
                <w:color w:val="000000"/>
                <w:kern w:val="0"/>
                <w:sz w:val="24"/>
                <w:lang w:eastAsia="zh-CN"/>
              </w:rPr>
              <w:t>赤峰市文学艺术事业发展中心</w:t>
            </w:r>
          </w:p>
        </w:tc>
        <w:tc>
          <w:tcPr>
            <w:tcW w:w="4897"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25B1FDB">
            <w:pPr>
              <w:widowControl/>
              <w:jc w:val="left"/>
              <w:rPr>
                <w:rFonts w:ascii="Times New Roman" w:hAnsi="Times New Roman" w:eastAsia="Times New Roman" w:cs="Times New Roman"/>
                <w:b w:val="0"/>
                <w:bCs w:val="0"/>
                <w:i w:val="0"/>
                <w:iCs w:val="0"/>
                <w:smallCaps w:val="0"/>
                <w:color w:val="000000"/>
                <w:kern w:val="0"/>
                <w:sz w:val="24"/>
              </w:rPr>
            </w:pPr>
            <w:r>
              <w:rPr>
                <w:rFonts w:ascii="FangSong_GB2312" w:hAnsi="FangSong_GB2312" w:eastAsia="FangSong_GB2312" w:cs="FangSong_GB2312"/>
                <w:b w:val="0"/>
                <w:bCs w:val="0"/>
                <w:i w:val="0"/>
                <w:iCs w:val="0"/>
                <w:smallCaps w:val="0"/>
                <w:color w:val="000000"/>
                <w:kern w:val="0"/>
                <w:sz w:val="24"/>
              </w:rPr>
              <w:t>公益一类事业单位</w:t>
            </w:r>
          </w:p>
        </w:tc>
      </w:tr>
    </w:tbl>
    <w:p w14:paraId="74B15956">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年度单位主要工作完成情况</w:t>
      </w:r>
    </w:p>
    <w:p w14:paraId="0410370D">
      <w:pPr>
        <w:ind w:firstLine="640" w:firstLineChars="200"/>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承担《百柳》和《西拉沐沦》文学期刊的组稿、编辑、出版、印刷、发行工作。协助市文学艺术界联合会培养文学创作人才，繁荣文学创作。2025年《百柳》《西拉沐沦》发行数量有12000余本，发行字数达到120余万字。</w:t>
      </w:r>
    </w:p>
    <w:p w14:paraId="491648C0">
      <w:pPr>
        <w:ind w:firstLine="640" w:firstLineChars="200"/>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承担统筹实施重大主题文艺创作和主题实践活动、主题文艺创作工程、创作扶持计划项目，做好文艺精品创作方向引导。协助做好创作奖励扶持工作。</w:t>
      </w:r>
    </w:p>
    <w:p w14:paraId="7ED5AC81">
      <w:pPr>
        <w:widowControl/>
        <w:spacing w:before="240" w:after="240"/>
        <w:ind w:firstLine="480" w:firstLineChars="200"/>
        <w:jc w:val="left"/>
        <w:rPr>
          <w:rFonts w:ascii="Times New Roman" w:hAnsi="Times New Roman" w:eastAsia="Times New Roman" w:cs="Times New Roman"/>
          <w:kern w:val="0"/>
          <w:sz w:val="24"/>
        </w:rPr>
      </w:pPr>
    </w:p>
    <w:p w14:paraId="0D51A47A">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kern w:val="0"/>
          <w:sz w:val="36"/>
          <w:szCs w:val="36"/>
        </w:rPr>
        <w:t>单位决算情况说明</w:t>
      </w:r>
    </w:p>
    <w:p w14:paraId="5DAC1DA4">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554CA05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赤峰市文学艺术事业发展中心 </w:t>
      </w:r>
      <w:r>
        <w:rPr>
          <w:rFonts w:eastAsia="Times New Roman"/>
          <w:kern w:val="0"/>
          <w:sz w:val="32"/>
          <w:szCs w:val="32"/>
          <w:lang w:eastAsia="en-US"/>
        </w:rPr>
        <w:t>2025</w:t>
      </w:r>
      <w:r>
        <w:rPr>
          <w:rFonts w:ascii="FangSong_GB2312" w:hAnsi="FangSong_GB2312" w:eastAsia="FangSong_GB2312" w:cs="FangSong_GB2312"/>
          <w:kern w:val="0"/>
          <w:sz w:val="32"/>
          <w:szCs w:val="32"/>
        </w:rPr>
        <w:t>年度收入、支出决算总计均为</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万元。与年初预算相比，收、支总计各增加（减少）</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本单位</w:t>
      </w:r>
      <w:r>
        <w:rPr>
          <w:rFonts w:hint="eastAsia" w:ascii="FangSong_GB2312" w:hAnsi="FangSong_GB2312" w:eastAsia="FangSong_GB2312" w:cs="FangSong_GB2312"/>
          <w:kern w:val="0"/>
          <w:sz w:val="32"/>
          <w:szCs w:val="32"/>
          <w:lang w:val="en-US" w:eastAsia="zh-CN"/>
        </w:rPr>
        <w:t>2025年新成立</w:t>
      </w:r>
      <w:r>
        <w:rPr>
          <w:rFonts w:ascii="FangSong_GB2312" w:hAnsi="FangSong_GB2312" w:eastAsia="FangSong_GB2312" w:cs="FangSong_GB2312"/>
          <w:kern w:val="0"/>
          <w:sz w:val="32"/>
          <w:szCs w:val="32"/>
        </w:rPr>
        <w:t>；与上年决算相比，收、支总计各增加（减少）</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601C2E9B">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14.26</w:t>
      </w:r>
      <w:r>
        <w:rPr>
          <w:rFonts w:ascii="楷体" w:hAnsi="楷体" w:eastAsia="楷体" w:cs="楷体"/>
          <w:b/>
          <w:bCs/>
          <w:kern w:val="0"/>
          <w:sz w:val="32"/>
          <w:szCs w:val="32"/>
        </w:rPr>
        <w:t>万元。包括：</w:t>
      </w:r>
    </w:p>
    <w:p w14:paraId="4D512C30">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本年收入决算合计</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w:t>
      </w:r>
      <w:r>
        <w:rPr>
          <w:rFonts w:ascii="FangSong_GB2312" w:hAnsi="FangSong_GB2312" w:eastAsia="FangSong_GB2312" w:cs="FangSong_GB2312"/>
          <w:kern w:val="0"/>
          <w:sz w:val="32"/>
          <w:szCs w:val="32"/>
        </w:rPr>
        <w:t>。</w:t>
      </w:r>
    </w:p>
    <w:p w14:paraId="2BF874A0">
      <w:pPr>
        <w:pStyle w:val="30"/>
        <w:widowControl/>
        <w:spacing w:before="240" w:after="240" w:line="560" w:lineRule="atLeast"/>
        <w:ind w:firstLine="640"/>
        <w:jc w:val="left"/>
        <w:rPr>
          <w:rFonts w:ascii="Times New Roman" w:hAnsi="Times New Roman" w:eastAsia="Times New Roman" w:cs="Times New Roman"/>
          <w:kern w:val="0"/>
          <w:sz w:val="24"/>
        </w:rPr>
      </w:pPr>
      <w:bookmarkStart w:id="1" w:name="_GoBack"/>
      <w:bookmarkEnd w:id="1"/>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使用非财政拨款结余（含专用结余）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w:t>
      </w:r>
    </w:p>
    <w:p w14:paraId="5FE4C532">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年初结转和结余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w:t>
      </w:r>
    </w:p>
    <w:p w14:paraId="0EDEA749">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14.26</w:t>
      </w:r>
      <w:r>
        <w:rPr>
          <w:rFonts w:ascii="楷体" w:hAnsi="楷体" w:eastAsia="楷体" w:cs="楷体"/>
          <w:b/>
          <w:bCs/>
          <w:kern w:val="0"/>
          <w:sz w:val="32"/>
          <w:szCs w:val="32"/>
        </w:rPr>
        <w:t>万元。包括：</w:t>
      </w:r>
    </w:p>
    <w:p w14:paraId="41725F88">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本年支出决算合计</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w:t>
      </w:r>
      <w:r>
        <w:rPr>
          <w:rFonts w:ascii="FangSong_GB2312" w:hAnsi="FangSong_GB2312" w:eastAsia="FangSong_GB2312" w:cs="FangSong_GB2312"/>
          <w:kern w:val="0"/>
          <w:sz w:val="32"/>
          <w:szCs w:val="32"/>
        </w:rPr>
        <w:t>。</w:t>
      </w:r>
    </w:p>
    <w:p w14:paraId="06FC2F50">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结余分配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万元。结余分配事项：</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w:t>
      </w:r>
    </w:p>
    <w:p w14:paraId="1C613A19">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年末结转和结余</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万元。结转和结余事项：</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。与上年决算相比，增加</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w:t>
      </w:r>
    </w:p>
    <w:p w14:paraId="14BC2F92">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28A75E9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赤峰市文学艺术事业发展中心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年度本年收入决算合计</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万元，其中：</w:t>
      </w:r>
    </w:p>
    <w:p w14:paraId="670F473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一般公共预算财政拨款收入</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5628C74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政府性基金预算财政拨款收入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53995C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国有资本经营预算财政拨款收入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FD6BEC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上级补助收入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BF7007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事业收入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2F16E7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70ECD3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附属单位上缴收入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4030FC0A">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其他收入</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A7E6E37">
      <w:pPr>
        <w:widowControl/>
        <w:spacing w:before="240" w:after="240"/>
        <w:rPr>
          <w:rFonts w:ascii="Times New Roman" w:hAnsi="Times New Roman" w:eastAsia="Times New Roman" w:cs="Times New Roman"/>
          <w:kern w:val="0"/>
          <w:sz w:val="24"/>
        </w:rPr>
      </w:pPr>
    </w:p>
    <w:p w14:paraId="3F14E4C0">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486400" cy="3429635"/>
            <wp:effectExtent l="0" t="0" r="0" b="1841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486400" cy="342963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14:paraId="5358D20C">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w:t>
      </w:r>
      <w:r>
        <w:rPr>
          <w:rFonts w:ascii="times_new_roman" w:hAnsi="times_new_roman" w:eastAsia="times_new_roman" w:cs="times_new_roman"/>
          <w:kern w:val="0"/>
          <w:sz w:val="27"/>
          <w:szCs w:val="27"/>
        </w:rPr>
        <w:t>1</w:t>
      </w:r>
      <w:r>
        <w:rPr>
          <w:rFonts w:ascii="FangSong_GB2312" w:hAnsi="FangSong_GB2312" w:eastAsia="FangSong_GB2312" w:cs="FangSong_GB2312"/>
          <w:kern w:val="0"/>
          <w:sz w:val="27"/>
          <w:szCs w:val="27"/>
        </w:rPr>
        <w:t>.收入决算图</w:t>
      </w:r>
    </w:p>
    <w:p w14:paraId="407F437D">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759F198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年度本年支出决算合计</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万元，其中：</w:t>
      </w:r>
    </w:p>
    <w:p w14:paraId="2127BCBC">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基本支出</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7E0E1571">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项目支出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65D1B6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上缴上级支出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99C8C6A">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经营支出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4FCD0D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对附属单位补助支出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20107C6">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alt="" type="#_x0000_t75" style="height:316.85pt;width:506.95pt;" filled="f" o:preferrelative="t" stroked="f" coordsize="21600,21600">
            <v:path/>
            <v:fill on="f" focussize="0,0"/>
            <v:stroke on="f"/>
            <v:imagedata r:id="rId7" o:title=""/>
            <o:lock v:ext="edit" aspectratio="t"/>
            <w10:wrap type="none"/>
            <w10:anchorlock/>
          </v:shape>
        </w:pict>
      </w:r>
      <w:r>
        <w:rPr>
          <w:rFonts w:ascii="Times New Roman" w:hAnsi="Times New Roman" w:eastAsia="Times New Roman" w:cs="Times New Roman"/>
          <w:kern w:val="0"/>
          <w:sz w:val="24"/>
        </w:rPr>
        <w:t xml:space="preserve">   </w:t>
      </w:r>
    </w:p>
    <w:p w14:paraId="6D4523A3">
      <w:pPr>
        <w:widowControl/>
        <w:spacing w:before="240" w:after="240"/>
        <w:jc w:val="center"/>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图2.支出决算图</w:t>
      </w:r>
    </w:p>
    <w:p w14:paraId="2CE7CF92">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279C907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w:t>
      </w:r>
      <w:r>
        <w:rPr>
          <w:rFonts w:ascii="FangSong_GB2312" w:hAnsi="FangSong_GB2312" w:eastAsia="FangSong_GB2312" w:cs="FangSong_GB2312"/>
          <w:kern w:val="0"/>
          <w:sz w:val="32"/>
          <w:szCs w:val="32"/>
        </w:rPr>
        <w:t>。</w:t>
      </w:r>
    </w:p>
    <w:p w14:paraId="5B8E45D6">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54A9718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5C765056">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14:paraId="5990EDB7">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万元，与年初预算相比增加（减少）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w:t>
      </w:r>
    </w:p>
    <w:p w14:paraId="622B44B8">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．人大事务（款）行政运行（项）。年初预算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47F4A077">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rPr>
        <w:t>．</w:t>
      </w:r>
      <w:r>
        <w:rPr>
          <w:rFonts w:ascii="FangSong_GB2312" w:hAnsi="FangSong_GB2312" w:eastAsia="FangSong_GB2312" w:cs="FangSong_GB2312"/>
          <w:kern w:val="0"/>
          <w:sz w:val="32"/>
          <w:szCs w:val="32"/>
          <w:lang w:eastAsia="en-US"/>
        </w:rPr>
        <w:t>……</w:t>
      </w:r>
    </w:p>
    <w:p w14:paraId="78BB013A">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（二）公共安全（类）</w:t>
      </w:r>
    </w:p>
    <w:p w14:paraId="0C87D349">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公共安全（类）决算数为</w:t>
      </w:r>
      <w:r>
        <w:rPr>
          <w:rFonts w:eastAsia="Times New Roman"/>
          <w:kern w:val="0"/>
          <w:sz w:val="32"/>
          <w:szCs w:val="32"/>
          <w:u w:val="single"/>
          <w:lang w:eastAsia="en-US"/>
        </w:rPr>
        <w:t> 0</w:t>
      </w:r>
      <w:r>
        <w:rPr>
          <w:rFonts w:ascii="FangSong_GB2312" w:hAnsi="FangSong_GB2312" w:eastAsia="FangSong_GB2312" w:cs="FangSong_GB2312"/>
          <w:kern w:val="0"/>
          <w:sz w:val="32"/>
          <w:szCs w:val="32"/>
        </w:rPr>
        <w:t>万元，与年初预算相比增加（减少）</w:t>
      </w:r>
      <w:r>
        <w:rPr>
          <w:rFonts w:eastAsia="Times New Roman"/>
          <w:kern w:val="0"/>
          <w:sz w:val="32"/>
          <w:szCs w:val="32"/>
          <w:u w:val="single"/>
          <w:lang w:eastAsia="en-US"/>
        </w:rPr>
        <w:t> 0</w:t>
      </w:r>
      <w:r>
        <w:rPr>
          <w:rFonts w:ascii="FangSong_GB2312" w:hAnsi="FangSong_GB2312" w:eastAsia="FangSong_GB2312" w:cs="FangSong_GB2312"/>
          <w:kern w:val="0"/>
          <w:sz w:val="32"/>
          <w:szCs w:val="32"/>
        </w:rPr>
        <w:t>万元。其中：</w:t>
      </w:r>
    </w:p>
    <w:p w14:paraId="0414AF2F">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．公安（款）行政运行（项）。年初预算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0D6DCBC4">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Times New Roman" w:hAnsi="Times New Roman" w:eastAsia="Times New Roman" w:cs="Times New Roman"/>
          <w:kern w:val="0"/>
          <w:sz w:val="32"/>
          <w:szCs w:val="32"/>
          <w:lang w:eastAsia="en-US"/>
        </w:rPr>
        <w:t>……</w:t>
      </w:r>
    </w:p>
    <w:p w14:paraId="411655DF">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（三）社会保障和就业支出（类）</w:t>
      </w:r>
    </w:p>
    <w:p w14:paraId="23EBA7A4">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 xml:space="preserve"> 1.65</w:t>
      </w:r>
      <w:r>
        <w:rPr>
          <w:rFonts w:ascii="FangSong_GB2312" w:hAnsi="FangSong_GB2312" w:eastAsia="FangSong_GB2312" w:cs="FangSong_GB2312"/>
          <w:kern w:val="0"/>
          <w:sz w:val="32"/>
          <w:szCs w:val="32"/>
        </w:rPr>
        <w:t>万元，与年初预算相比增加（减少）</w:t>
      </w:r>
      <w:r>
        <w:rPr>
          <w:rFonts w:eastAsia="Times New Roman"/>
          <w:kern w:val="0"/>
          <w:sz w:val="32"/>
          <w:szCs w:val="32"/>
          <w:u w:val="single"/>
          <w:lang w:eastAsia="en-US"/>
        </w:rPr>
        <w:t> 1.65</w:t>
      </w:r>
      <w:r>
        <w:rPr>
          <w:rFonts w:ascii="FangSong_GB2312" w:hAnsi="FangSong_GB2312" w:eastAsia="FangSong_GB2312" w:cs="FangSong_GB2312"/>
          <w:kern w:val="0"/>
          <w:sz w:val="32"/>
          <w:szCs w:val="32"/>
        </w:rPr>
        <w:t>万元。其中：</w:t>
      </w:r>
    </w:p>
    <w:p w14:paraId="76A2B22B">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．行政事业单位养老支出（款）行政单位离退休（项）。年初预算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48E0231E">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rPr>
        <w:t>．行政事业单位养老支出（款）事业单位离退休（项）。年初预算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7D7AA44">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rPr>
        <w:t>．行政事业单位养老支出（款）机关事业单位基本养老保险缴费支出（项）。年初预算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1.59</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2025年新成立单位无年初预算数</w:t>
      </w:r>
      <w:r>
        <w:rPr>
          <w:rFonts w:ascii="FangSong_GB2312" w:hAnsi="FangSong_GB2312" w:eastAsia="FangSong_GB2312" w:cs="FangSong_GB2312"/>
          <w:kern w:val="0"/>
          <w:sz w:val="32"/>
          <w:szCs w:val="32"/>
        </w:rPr>
        <w:t>。</w:t>
      </w:r>
    </w:p>
    <w:p w14:paraId="2B797F06">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4</w:t>
      </w:r>
      <w:r>
        <w:rPr>
          <w:rFonts w:ascii="FangSong_GB2312" w:hAnsi="FangSong_GB2312" w:eastAsia="FangSong_GB2312" w:cs="FangSong_GB2312"/>
          <w:kern w:val="0"/>
          <w:sz w:val="32"/>
          <w:szCs w:val="32"/>
        </w:rPr>
        <w:t>．行政事业单位养老支出（款）机关事业单位职业年金缴费支出（项）。年初预算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不存在此项内容</w:t>
      </w:r>
      <w:r>
        <w:rPr>
          <w:rFonts w:ascii="FangSong_GB2312" w:hAnsi="FangSong_GB2312" w:eastAsia="FangSong_GB2312" w:cs="FangSong_GB2312"/>
          <w:kern w:val="0"/>
          <w:sz w:val="32"/>
          <w:szCs w:val="32"/>
        </w:rPr>
        <w:t>。</w:t>
      </w:r>
    </w:p>
    <w:p w14:paraId="725E9367">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（四）卫生健康支出（类）</w:t>
      </w:r>
    </w:p>
    <w:p w14:paraId="16D2F3D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 xml:space="preserve"> 0.91</w:t>
      </w:r>
      <w:r>
        <w:rPr>
          <w:rFonts w:ascii="FangSong_GB2312" w:hAnsi="FangSong_GB2312" w:eastAsia="FangSong_GB2312" w:cs="FangSong_GB2312"/>
          <w:kern w:val="0"/>
          <w:sz w:val="32"/>
          <w:szCs w:val="32"/>
        </w:rPr>
        <w:t>万元，与年初预算相比增加（减少）</w:t>
      </w:r>
      <w:r>
        <w:rPr>
          <w:rFonts w:eastAsia="Times New Roman"/>
          <w:kern w:val="0"/>
          <w:sz w:val="32"/>
          <w:szCs w:val="32"/>
          <w:u w:val="single"/>
          <w:lang w:eastAsia="en-US"/>
        </w:rPr>
        <w:t> 0.91</w:t>
      </w:r>
      <w:r>
        <w:rPr>
          <w:rFonts w:ascii="FangSong_GB2312" w:hAnsi="FangSong_GB2312" w:eastAsia="FangSong_GB2312" w:cs="FangSong_GB2312"/>
          <w:kern w:val="0"/>
          <w:sz w:val="32"/>
          <w:szCs w:val="32"/>
        </w:rPr>
        <w:t>万元。其中：</w:t>
      </w:r>
    </w:p>
    <w:p w14:paraId="14E6ED31">
      <w:pPr>
        <w:pStyle w:val="30"/>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1</w:t>
      </w:r>
      <w:r>
        <w:rPr>
          <w:rFonts w:ascii="FangSong_GB2312" w:hAnsi="FangSong_GB2312" w:eastAsia="FangSong_GB2312" w:cs="FangSong_GB2312"/>
          <w:kern w:val="0"/>
          <w:sz w:val="32"/>
          <w:szCs w:val="32"/>
        </w:rPr>
        <w:t>．行政事业单位医疗（款）事业单位医疗（项）。年初预算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0.91</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2025年新成立单位无年初预算数</w:t>
      </w:r>
      <w:r>
        <w:rPr>
          <w:rFonts w:ascii="FangSong_GB2312" w:hAnsi="FangSong_GB2312" w:eastAsia="FangSong_GB2312" w:cs="FangSong_GB2312"/>
          <w:kern w:val="0"/>
          <w:sz w:val="32"/>
          <w:szCs w:val="32"/>
        </w:rPr>
        <w:t>。</w:t>
      </w:r>
    </w:p>
    <w:p w14:paraId="79409374">
      <w:pPr>
        <w:pStyle w:val="30"/>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（五）住房保障支出（类）</w:t>
      </w:r>
    </w:p>
    <w:p w14:paraId="5F248751">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 xml:space="preserve"> 1.19</w:t>
      </w:r>
      <w:r>
        <w:rPr>
          <w:rFonts w:ascii="FangSong_GB2312" w:hAnsi="FangSong_GB2312" w:eastAsia="FangSong_GB2312" w:cs="FangSong_GB2312"/>
          <w:kern w:val="0"/>
          <w:sz w:val="32"/>
          <w:szCs w:val="32"/>
        </w:rPr>
        <w:t>万元，与年初预算相比增加（减少）</w:t>
      </w:r>
      <w:r>
        <w:rPr>
          <w:rFonts w:eastAsia="Times New Roman"/>
          <w:kern w:val="0"/>
          <w:sz w:val="32"/>
          <w:szCs w:val="32"/>
          <w:u w:val="single"/>
          <w:lang w:eastAsia="en-US"/>
        </w:rPr>
        <w:t> 1.19</w:t>
      </w:r>
      <w:r>
        <w:rPr>
          <w:rFonts w:ascii="FangSong_GB2312" w:hAnsi="FangSong_GB2312" w:eastAsia="FangSong_GB2312" w:cs="FangSong_GB2312"/>
          <w:kern w:val="0"/>
          <w:sz w:val="32"/>
          <w:szCs w:val="32"/>
        </w:rPr>
        <w:t>万元。其中：</w:t>
      </w:r>
    </w:p>
    <w:p w14:paraId="505B7C03">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．住房改革支出（款）住房公积金（项）。年初预算</w:t>
      </w:r>
      <w:r>
        <w:rPr>
          <w:rFonts w:hint="eastAsia"/>
          <w:kern w:val="0"/>
          <w:sz w:val="32"/>
          <w:szCs w:val="32"/>
          <w:u w:val="single"/>
          <w:lang w:val="en-US" w:eastAsia="zh-CN"/>
        </w:rPr>
        <w:t>0</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1.19</w:t>
      </w:r>
      <w:r>
        <w:rPr>
          <w:rFonts w:ascii="FangSong_GB2312" w:hAnsi="FangSong_GB2312" w:eastAsia="FangSong_GB2312" w:cs="FangSong_GB2312"/>
          <w:kern w:val="0"/>
          <w:sz w:val="32"/>
          <w:szCs w:val="32"/>
        </w:rPr>
        <w:t>万元，完成年初预算的</w:t>
      </w:r>
      <w:r>
        <w:rPr>
          <w:rFonts w:hint="eastAsia" w:ascii="FangSong_GB2312" w:hAnsi="FangSong_GB2312" w:eastAsia="FangSong_GB2312" w:cs="FangSong_GB2312"/>
          <w:kern w:val="0"/>
          <w:sz w:val="32"/>
          <w:szCs w:val="32"/>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FangSong_GB2312" w:hAnsi="FangSong_GB2312" w:eastAsia="FangSong_GB2312" w:cs="FangSong_GB2312"/>
          <w:kern w:val="0"/>
          <w:sz w:val="32"/>
          <w:szCs w:val="32"/>
          <w:lang w:eastAsia="zh-CN"/>
        </w:rPr>
        <w:t>本单位是</w:t>
      </w:r>
      <w:r>
        <w:rPr>
          <w:rFonts w:hint="eastAsia" w:ascii="FangSong_GB2312" w:hAnsi="FangSong_GB2312" w:eastAsia="FangSong_GB2312" w:cs="FangSong_GB2312"/>
          <w:kern w:val="0"/>
          <w:sz w:val="32"/>
          <w:szCs w:val="32"/>
          <w:lang w:val="en-US" w:eastAsia="zh-CN"/>
        </w:rPr>
        <w:t>2025年新成立单位无年初预算数</w:t>
      </w:r>
      <w:r>
        <w:rPr>
          <w:rFonts w:ascii="FangSong_GB2312" w:hAnsi="FangSong_GB2312" w:eastAsia="FangSong_GB2312" w:cs="FangSong_GB2312"/>
          <w:kern w:val="0"/>
          <w:sz w:val="32"/>
          <w:szCs w:val="32"/>
        </w:rPr>
        <w:t>。</w:t>
      </w:r>
    </w:p>
    <w:p w14:paraId="71AEE93E">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18187CB6">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 xml:space="preserve"> 14.26</w:t>
      </w:r>
      <w:r>
        <w:rPr>
          <w:rFonts w:ascii="FangSong_GB2312" w:hAnsi="FangSong_GB2312" w:eastAsia="FangSong_GB2312" w:cs="FangSong_GB2312"/>
          <w:kern w:val="0"/>
          <w:sz w:val="32"/>
          <w:szCs w:val="32"/>
        </w:rPr>
        <w:t>万元，其中：</w:t>
      </w:r>
    </w:p>
    <w:p w14:paraId="1FE5649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14.26</w:t>
      </w:r>
      <w:r>
        <w:rPr>
          <w:rFonts w:ascii="楷体" w:hAnsi="楷体" w:eastAsia="楷体" w:cs="楷体"/>
          <w:b/>
          <w:bCs/>
          <w:kern w:val="0"/>
          <w:sz w:val="32"/>
          <w:szCs w:val="32"/>
        </w:rPr>
        <w:t>万元。</w:t>
      </w:r>
      <w:r>
        <w:rPr>
          <w:rFonts w:ascii="FangSong_GB2312" w:hAnsi="FangSong_GB2312" w:eastAsia="FangSong_GB2312" w:cs="FangSong_GB2312"/>
          <w:kern w:val="0"/>
          <w:sz w:val="32"/>
          <w:szCs w:val="32"/>
        </w:rPr>
        <w:t>主要包括：基本工资、津贴补贴、奖金、伙食补助费、绩效工资、机关事业单位基本养老保险缴费、职业年金缴费、职工基本医疗保险缴费、公务员医疗补助缴费、住房公积金、其他工资福利支出、离休费、退休费、抚恤金、生活补助、医疗费补助、奖励金、其他对个人和家庭的补助支出等。</w:t>
      </w:r>
    </w:p>
    <w:p w14:paraId="46123766">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印刷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p>
    <w:p w14:paraId="2D47BEA0">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0C117F0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w:t>
      </w:r>
    </w:p>
    <w:p w14:paraId="40225275">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（一）工资福利支出</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14:paraId="201EF45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（二）商品和服务支出</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印刷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25616FA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（三）资本性支出</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房屋建筑物构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w:t>
      </w:r>
    </w:p>
    <w:p w14:paraId="64282FC0">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77939CBC">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47FF4A1C">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。其中：因公出国（境）费全年预算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年度一般公共预算财政拨款“三公”经费全年预算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万元，与预算差异原因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1EE1120E">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7F1F88B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0C426AAD">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378B5B4C">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w:t>
      </w:r>
    </w:p>
    <w:p w14:paraId="247F0B9F">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辆，开支内容：</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。与上年决算相比，增加（减少）</w:t>
      </w:r>
      <w:r>
        <w:rPr>
          <w:rFonts w:eastAsia="Times New Roman"/>
          <w:kern w:val="0"/>
          <w:sz w:val="32"/>
          <w:szCs w:val="32"/>
          <w:u w:val="single"/>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2553C633">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维修费、过桥过路费、保险费、安全奖励费用等支出。截至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辆。与上年决算相比，增加（减少）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07F2479A">
      <w:pPr>
        <w:pStyle w:val="30"/>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；国（境）外公务接待支出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。与上年决算相比，增加（减少）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2F310DDC">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4781B86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年度政府性基金预算财政拨款支出决算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2E3B9FCB">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6E12844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eastAsia="Times New Roman"/>
          <w:kern w:val="0"/>
          <w:sz w:val="32"/>
          <w:szCs w:val="32"/>
          <w:lang w:eastAsia="en-US"/>
        </w:rPr>
        <w:t>2025</w:t>
      </w:r>
      <w:r>
        <w:rPr>
          <w:rFonts w:ascii="FangSong_GB2312" w:hAnsi="FangSong_GB2312" w:eastAsia="FangSong_GB2312" w:cs="FangSong_GB2312"/>
          <w:kern w:val="0"/>
          <w:sz w:val="32"/>
          <w:szCs w:val="32"/>
        </w:rPr>
        <w:t>年度国有资本经营预算财政拨款支出决算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062E20E3">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073ABF1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xml:space="preserve">赤峰市文学艺术事业发展中心 </w:t>
      </w:r>
      <w:r>
        <w:rPr>
          <w:rFonts w:eastAsia="Times New Roman"/>
          <w:kern w:val="0"/>
          <w:sz w:val="32"/>
          <w:szCs w:val="32"/>
          <w:lang w:eastAsia="en-US"/>
        </w:rPr>
        <w:t>2025</w:t>
      </w:r>
      <w:r>
        <w:rPr>
          <w:rFonts w:ascii="FangSong_GB2312" w:hAnsi="FangSong_GB2312" w:eastAsia="FangSong_GB2312" w:cs="FangSong_GB2312"/>
          <w:kern w:val="0"/>
          <w:sz w:val="32"/>
          <w:szCs w:val="32"/>
        </w:rPr>
        <w:t>年度公用经费支出决算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。其中，机关运行经费支出决算</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万元。比上年决算相比，增加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不存在此内容</w:t>
      </w:r>
      <w:r>
        <w:rPr>
          <w:rFonts w:ascii="FangSong_GB2312" w:hAnsi="FangSong_GB2312" w:eastAsia="FangSong_GB2312" w:cs="FangSong_GB2312"/>
          <w:kern w:val="0"/>
          <w:sz w:val="32"/>
          <w:szCs w:val="32"/>
        </w:rPr>
        <w:t>。</w:t>
      </w:r>
    </w:p>
    <w:p w14:paraId="232FB7A1">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1AC5AB0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年度政府采购支出总额</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万元，其中：政府采购货物支出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万元、政府采购工程支出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万元、政府采购服务支出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万元。政府采购授予中小企业合同金额</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万元，占政府采购支出总额的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，其中：授予小微企业合同金额</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万元，占政府采购支出总额的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；货物采购授予中小企业合同金额占货物支出金额的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，工程采购授予中小企业合同金额占工程支出金额的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，服务采购授予中小企业合同金额占服务支出金额的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BCC0DF7">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57F78B3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日，本部门（单位）共有车辆</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辆，其中：副部（省）级及以上领导用车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辆、主要负责人用车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辆、机要通信用车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辆、应急保障用车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辆、执法执勤用车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辆、特种专业技术用车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辆、离退休干部服务用车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辆、其他用车</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辆，其他用车主要是……；单价</w:t>
      </w:r>
      <w:r>
        <w:rPr>
          <w:rFonts w:eastAsia="Times New Roman"/>
          <w:kern w:val="0"/>
          <w:sz w:val="32"/>
          <w:szCs w:val="32"/>
          <w:lang w:eastAsia="en-US"/>
        </w:rPr>
        <w:t>100</w:t>
      </w:r>
      <w:r>
        <w:rPr>
          <w:rFonts w:ascii="FangSong_GB2312" w:hAnsi="FangSong_GB2312" w:eastAsia="FangSong_GB2312" w:cs="FangSong_GB2312"/>
          <w:kern w:val="0"/>
          <w:sz w:val="32"/>
          <w:szCs w:val="32"/>
        </w:rPr>
        <w:t>万元（含）以上设备（不含车辆）</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台（套）。</w:t>
      </w:r>
    </w:p>
    <w:p w14:paraId="233A450F">
      <w:pPr>
        <w:pStyle w:val="30"/>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7C97AB57">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26C8D6F0">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赤峰市文学艺术事业发展中心根据预算绩效管理要求组织对</w:t>
      </w:r>
      <w:r>
        <w:rPr>
          <w:rFonts w:eastAsia="Times New Roman"/>
          <w:kern w:val="0"/>
          <w:sz w:val="32"/>
          <w:szCs w:val="32"/>
          <w:lang w:eastAsia="en-US"/>
        </w:rPr>
        <w:t>2025</w:t>
      </w:r>
      <w:r>
        <w:rPr>
          <w:rFonts w:ascii="FangSong_GB2312" w:hAnsi="FangSong_GB2312" w:eastAsia="FangSong_GB2312" w:cs="FangSong_GB2312"/>
          <w:kern w:val="0"/>
          <w:sz w:val="32"/>
          <w:szCs w:val="32"/>
        </w:rPr>
        <w:t>年一般公共预算项目支出全面开展绩效自评，共涉及项目</w:t>
      </w:r>
      <w:r>
        <w:rPr>
          <w:rFonts w:hint="eastAsia" w:ascii="FangSong_GB2312" w:hAnsi="FangSong_GB2312" w:eastAsia="FangSong_GB2312" w:cs="FangSong_GB2312"/>
          <w:kern w:val="0"/>
          <w:sz w:val="32"/>
          <w:szCs w:val="32"/>
          <w:lang w:val="en-US" w:eastAsia="zh-CN"/>
        </w:rPr>
        <w:t>0</w:t>
      </w:r>
      <w:r>
        <w:rPr>
          <w:rFonts w:ascii="FangSong_GB2312" w:hAnsi="FangSong_GB2312" w:eastAsia="FangSong_GB2312" w:cs="FangSong_GB2312"/>
          <w:kern w:val="0"/>
          <w:sz w:val="32"/>
          <w:szCs w:val="32"/>
        </w:rPr>
        <w:t>个，资金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万元，占一般公共预算项目支出总额的</w:t>
      </w:r>
      <w:r>
        <w:rPr>
          <w:rFonts w:eastAsia="Times New Roman"/>
          <w:kern w:val="0"/>
          <w:sz w:val="32"/>
          <w:szCs w:val="32"/>
          <w:lang w:eastAsia="en-US"/>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；政府性基金预算项目</w:t>
      </w:r>
      <w:r>
        <w:rPr>
          <w:rFonts w:hint="eastAsia"/>
          <w:kern w:val="0"/>
          <w:sz w:val="32"/>
          <w:szCs w:val="32"/>
          <w:u w:val="single"/>
          <w:lang w:val="en-US" w:eastAsia="zh-CN"/>
        </w:rPr>
        <w:t>0</w:t>
      </w:r>
      <w:r>
        <w:rPr>
          <w:rFonts w:ascii="FangSong_GB2312" w:hAnsi="FangSong_GB2312" w:eastAsia="FangSong_GB2312" w:cs="FangSong_GB2312"/>
          <w:kern w:val="0"/>
          <w:sz w:val="32"/>
          <w:szCs w:val="32"/>
        </w:rPr>
        <w:t>个，共涉及资金</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万元，占政府性基金预算项目支出总额的</w:t>
      </w:r>
      <w:r>
        <w:rPr>
          <w:rFonts w:hint="eastAsia"/>
          <w:kern w:val="0"/>
          <w:sz w:val="32"/>
          <w:szCs w:val="32"/>
          <w:lang w:val="en-US" w:eastAsia="zh-CN"/>
        </w:rPr>
        <w:t>0</w:t>
      </w:r>
      <w:r>
        <w:rPr>
          <w:rFonts w:ascii="FangSong_GB2312" w:hAnsi="FangSong_GB2312" w:eastAsia="FangSong_GB2312" w:cs="FangSong_GB2312"/>
          <w:kern w:val="0"/>
          <w:sz w:val="32"/>
          <w:szCs w:val="32"/>
          <w:lang w:eastAsia="en-US"/>
        </w:rPr>
        <w:t>%</w:t>
      </w:r>
    </w:p>
    <w:p w14:paraId="50BE60AC">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14:paraId="7BF5B806">
      <w:pPr>
        <w:pStyle w:val="30"/>
        <w:widowControl/>
        <w:spacing w:before="240" w:after="240" w:line="560" w:lineRule="atLeast"/>
        <w:ind w:firstLine="640"/>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赤峰市文学艺术事业发展中心</w:t>
      </w:r>
      <w:r>
        <w:rPr>
          <w:rFonts w:eastAsia="Times New Roman"/>
          <w:kern w:val="0"/>
          <w:sz w:val="32"/>
          <w:szCs w:val="32"/>
          <w:lang w:eastAsia="en-US"/>
        </w:rPr>
        <w:t>2025</w:t>
      </w:r>
      <w:r>
        <w:rPr>
          <w:rFonts w:ascii="FangSong_GB2312" w:hAnsi="FangSong_GB2312" w:eastAsia="FangSong_GB2312" w:cs="FangSong_GB2312"/>
          <w:kern w:val="0"/>
          <w:sz w:val="32"/>
          <w:szCs w:val="32"/>
        </w:rPr>
        <w:t>年度在决算中反映</w:t>
      </w:r>
      <w:r>
        <w:rPr>
          <w:rFonts w:hint="eastAsia"/>
          <w:kern w:val="0"/>
          <w:sz w:val="32"/>
          <w:szCs w:val="32"/>
          <w:u w:val="single"/>
          <w:lang w:val="en-US" w:eastAsia="zh-CN"/>
        </w:rPr>
        <w:t>0</w:t>
      </w:r>
      <w:r>
        <w:rPr>
          <w:rFonts w:ascii="FangSong_GB2312" w:hAnsi="FangSong_GB2312" w:eastAsia="FangSong_GB2312" w:cs="FangSong_GB2312"/>
          <w:kern w:val="0"/>
          <w:sz w:val="32"/>
          <w:szCs w:val="32"/>
        </w:rPr>
        <w:t>个一般公共预算项目，以及</w:t>
      </w:r>
      <w:r>
        <w:rPr>
          <w:rFonts w:hint="eastAsia"/>
          <w:kern w:val="0"/>
          <w:sz w:val="32"/>
          <w:szCs w:val="32"/>
          <w:u w:val="single"/>
          <w:lang w:val="en-US" w:eastAsia="zh-CN"/>
        </w:rPr>
        <w:t>0</w:t>
      </w:r>
      <w:r>
        <w:rPr>
          <w:rFonts w:ascii="FangSong_GB2312" w:hAnsi="FangSong_GB2312" w:eastAsia="FangSong_GB2312" w:cs="FangSong_GB2312"/>
          <w:kern w:val="0"/>
          <w:sz w:val="32"/>
          <w:szCs w:val="32"/>
        </w:rPr>
        <w:t>个政府性基金项目</w:t>
      </w:r>
    </w:p>
    <w:p w14:paraId="32965F49">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14:paraId="7A19EDC2">
      <w:pPr>
        <w:pStyle w:val="30"/>
        <w:widowControl/>
        <w:spacing w:before="240" w:after="240" w:line="560" w:lineRule="atLeast"/>
        <w:ind w:firstLine="640"/>
        <w:jc w:val="left"/>
        <w:rPr>
          <w:rFonts w:hint="eastAsia" w:ascii="FangSong_GB2312" w:hAnsi="FangSong_GB2312" w:eastAsia="FangSong_GB2312" w:cs="FangSong_GB2312"/>
          <w:kern w:val="0"/>
          <w:sz w:val="32"/>
          <w:szCs w:val="32"/>
          <w:lang w:eastAsia="zh-CN"/>
        </w:rPr>
      </w:pPr>
      <w:r>
        <w:rPr>
          <w:rFonts w:hint="eastAsia" w:ascii="FangSong_GB2312" w:hAnsi="FangSong_GB2312" w:eastAsia="FangSong_GB2312" w:cs="FangSong_GB2312"/>
          <w:kern w:val="0"/>
          <w:sz w:val="32"/>
          <w:szCs w:val="32"/>
          <w:lang w:eastAsia="zh-CN"/>
        </w:rPr>
        <w:t>无</w:t>
      </w:r>
    </w:p>
    <w:p w14:paraId="2D5BE6C1">
      <w:pPr>
        <w:pStyle w:val="30"/>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14:paraId="54DBA586">
      <w:pPr>
        <w:widowControl/>
        <w:spacing w:before="240" w:after="240"/>
        <w:ind w:firstLine="640" w:firstLineChars="200"/>
        <w:jc w:val="left"/>
        <w:rPr>
          <w:rFonts w:ascii="仿宋" w:hAnsi="仿宋" w:eastAsia="仿宋" w:cs="仿宋"/>
          <w:kern w:val="0"/>
          <w:sz w:val="32"/>
          <w:szCs w:val="32"/>
          <w:lang w:val="en-US" w:eastAsia="zh-CN" w:bidi="ar-SA"/>
        </w:rPr>
      </w:pPr>
      <w:r>
        <w:rPr>
          <w:rFonts w:ascii="仿宋" w:hAnsi="仿宋" w:eastAsia="仿宋" w:cs="仿宋"/>
          <w:kern w:val="0"/>
          <w:sz w:val="32"/>
          <w:szCs w:val="32"/>
          <w:lang w:val="en-US" w:eastAsia="zh-CN" w:bidi="ar-SA"/>
        </w:rPr>
        <w:t>我</w:t>
      </w:r>
      <w:r>
        <w:rPr>
          <w:rFonts w:hint="eastAsia" w:ascii="仿宋" w:hAnsi="仿宋" w:eastAsia="仿宋" w:cs="仿宋"/>
          <w:kern w:val="0"/>
          <w:sz w:val="32"/>
          <w:szCs w:val="32"/>
          <w:lang w:val="en-US" w:eastAsia="zh-CN" w:bidi="ar-SA"/>
        </w:rPr>
        <w:t>单位</w:t>
      </w:r>
      <w:r>
        <w:rPr>
          <w:rFonts w:ascii="仿宋" w:hAnsi="仿宋" w:eastAsia="仿宋" w:cs="仿宋"/>
          <w:kern w:val="0"/>
          <w:sz w:val="32"/>
          <w:szCs w:val="32"/>
          <w:lang w:val="en-US" w:eastAsia="zh-CN" w:bidi="ar-SA"/>
        </w:rPr>
        <w:t>已全面夯实预算绩效管理制度体系，纵深推进核心绩效指标标准体系建设，强化绩效全流程闭环管控，持续提升资源配置效能，不断推动预算绩效管理规范化、标准化、精细化水平迈上新台阶。</w:t>
      </w:r>
    </w:p>
    <w:p w14:paraId="0383FADB">
      <w:pPr>
        <w:widowControl/>
        <w:spacing w:before="240" w:after="240"/>
        <w:jc w:val="left"/>
        <w:rPr>
          <w:rFonts w:ascii="Times New Roman" w:hAnsi="Times New Roman" w:eastAsia="Times New Roman" w:cs="Times New Roman"/>
          <w:kern w:val="0"/>
          <w:sz w:val="24"/>
        </w:rPr>
      </w:pPr>
    </w:p>
    <w:p w14:paraId="358D5834">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3426E8DE">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14:paraId="06AFB1AD">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二、上级补助收入：</w:t>
      </w:r>
      <w:r>
        <w:rPr>
          <w:rFonts w:ascii="FangSong_GB2312" w:hAnsi="FangSong_GB2312" w:eastAsia="FangSong_GB2312" w:cs="FangSong_GB2312"/>
          <w:kern w:val="0"/>
          <w:sz w:val="32"/>
          <w:szCs w:val="32"/>
        </w:rPr>
        <w:t>指事业单位从主管部门和上级单位取得的非财政补助收入。</w:t>
      </w:r>
    </w:p>
    <w:p w14:paraId="742239D6">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三、事业收入：</w:t>
      </w:r>
      <w:r>
        <w:rPr>
          <w:rFonts w:ascii="FangSong_GB2312" w:hAnsi="FangSong_GB2312" w:eastAsia="FangSong_GB2312" w:cs="FangSong_GB2312"/>
          <w:kern w:val="0"/>
          <w:sz w:val="32"/>
          <w:szCs w:val="32"/>
        </w:rPr>
        <w:t>指事业单位开展专业业务活动及其辅助活动取得的收入。</w:t>
      </w:r>
    </w:p>
    <w:p w14:paraId="413E57B8">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四、经营收入：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14:paraId="0B9F42E3">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五、附属单位上缴收入：</w:t>
      </w:r>
      <w:r>
        <w:rPr>
          <w:rFonts w:ascii="FangSong_GB2312" w:hAnsi="FangSong_GB2312" w:eastAsia="FangSong_GB2312" w:cs="FangSong_GB2312"/>
          <w:kern w:val="0"/>
          <w:sz w:val="32"/>
          <w:szCs w:val="32"/>
        </w:rPr>
        <w:t>指事业单位取得附属独立核算单位按照有关规定上缴的收入。</w:t>
      </w:r>
    </w:p>
    <w:p w14:paraId="3286F912">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六、其他收入：</w:t>
      </w:r>
      <w:r>
        <w:rPr>
          <w:rFonts w:ascii="FangSong_GB2312" w:hAnsi="FangSong_GB2312" w:eastAsia="FangSong_GB2312" w:cs="FangSong_GB2312"/>
          <w:kern w:val="0"/>
          <w:sz w:val="32"/>
          <w:szCs w:val="32"/>
        </w:rPr>
        <w:t>取得的除上述财政拨款收入、上级补助收入、事业收入、经营收入、附属单位上缴收入等以外的各项收入。</w:t>
      </w:r>
    </w:p>
    <w:p w14:paraId="0DD5CF17">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七、使用非财政拨款结余（含专用结余）：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14:paraId="2301FE71">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八、年初结转和结余：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14:paraId="06B14A15">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九、结余分配：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14:paraId="7B41324C">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十、年末结转和结余资金：</w:t>
      </w:r>
      <w:r>
        <w:rPr>
          <w:rFonts w:ascii="FangSong_GB2312" w:hAnsi="FangSong_GB2312" w:eastAsia="FangSong_GB2312" w:cs="FangSong_GB2312"/>
          <w:kern w:val="0"/>
          <w:sz w:val="32"/>
          <w:szCs w:val="32"/>
        </w:rPr>
        <w:t>指单位结转下年的基本支出结转、项目支出结转和结余、经营结余。</w:t>
      </w:r>
    </w:p>
    <w:p w14:paraId="395D8551">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十一、基本支出：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14:paraId="4246EF4D">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color w:val="000000"/>
          <w:kern w:val="0"/>
          <w:sz w:val="32"/>
          <w:szCs w:val="32"/>
        </w:rPr>
        <w:t>十二、项目支出：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14:paraId="02A9BF55">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十三、上缴上级支出：</w:t>
      </w:r>
      <w:r>
        <w:rPr>
          <w:rFonts w:ascii="FangSong_GB2312" w:hAnsi="FangSong_GB2312" w:eastAsia="FangSong_GB2312" w:cs="FangSong_GB2312"/>
          <w:kern w:val="0"/>
          <w:sz w:val="32"/>
          <w:szCs w:val="32"/>
        </w:rPr>
        <w:t>指事业单位按照财政部门和主管部门的规定上缴上级单位的支出。</w:t>
      </w:r>
    </w:p>
    <w:p w14:paraId="38B67905">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十四、经营支出：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14:paraId="08743075">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十五、对附属单位补助支出：</w:t>
      </w:r>
      <w:r>
        <w:rPr>
          <w:rFonts w:ascii="FangSong_GB2312" w:hAnsi="FangSong_GB2312" w:eastAsia="FangSong_GB2312" w:cs="FangSong_GB2312"/>
          <w:kern w:val="0"/>
          <w:sz w:val="32"/>
          <w:szCs w:val="32"/>
        </w:rPr>
        <w:t>指事业单位用财政拨款收入之外的收入对附属单位补助发生的支出。</w:t>
      </w:r>
    </w:p>
    <w:p w14:paraId="2A785B49">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十六、“三公”经费：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14:paraId="51E81976">
      <w:pPr>
        <w:pStyle w:val="30"/>
        <w:widowControl/>
        <w:spacing w:before="240" w:after="240" w:line="560" w:lineRule="atLeast"/>
        <w:ind w:firstLine="643"/>
        <w:jc w:val="lef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十七、机关运行经费：</w:t>
      </w:r>
      <w:r>
        <w:rPr>
          <w:rFonts w:ascii="FangSong_GB2312" w:hAnsi="FangSong_GB2312" w:eastAsia="FangSong_GB2312" w:cs="FangSong_GB2312"/>
          <w:kern w:val="0"/>
          <w:sz w:val="32"/>
          <w:szCs w:val="32"/>
        </w:rPr>
        <w:t>指行政单位和参照公务员法管理的事业单位财政拨款基本支出中的公用经费支出。</w:t>
      </w:r>
    </w:p>
    <w:p w14:paraId="69D40C3E">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color w:val="000AFF"/>
          <w:kern w:val="0"/>
          <w:sz w:val="32"/>
          <w:szCs w:val="32"/>
        </w:rPr>
        <w:t>（各部门（单位）应根据公开决算表中对应的经费情况进行名词解释，对未涉及的名词可以删除）</w:t>
      </w:r>
    </w:p>
    <w:p w14:paraId="326E80D9">
      <w:pPr>
        <w:widowControl/>
        <w:spacing w:before="240" w:after="240"/>
        <w:jc w:val="left"/>
        <w:rPr>
          <w:rFonts w:ascii="Times New Roman" w:hAnsi="Times New Roman" w:eastAsia="Times New Roman" w:cs="Times New Roman"/>
          <w:kern w:val="0"/>
          <w:sz w:val="24"/>
        </w:rPr>
      </w:pPr>
    </w:p>
    <w:p w14:paraId="37E70783">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3E3BF339">
      <w:pPr>
        <w:widowControl/>
        <w:spacing w:before="240" w:after="240"/>
        <w:jc w:val="left"/>
        <w:rPr>
          <w:rFonts w:ascii="Times New Roman" w:hAnsi="Times New Roman" w:eastAsia="Times New Roman" w:cs="Times New Roman"/>
          <w:kern w:val="0"/>
          <w:sz w:val="24"/>
        </w:rPr>
      </w:pPr>
    </w:p>
    <w:p w14:paraId="1F33117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本部门（单位）决算公开信息反馈和联系方式：</w:t>
      </w:r>
    </w:p>
    <w:p w14:paraId="3E17FF1D">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联系人：</w:t>
      </w:r>
      <w:r>
        <w:rPr>
          <w:rFonts w:ascii="FangSong_GB2312" w:hAnsi="FangSong_GB2312" w:eastAsia="FangSong_GB2312" w:cs="FangSong_GB2312"/>
          <w:kern w:val="0"/>
          <w:sz w:val="32"/>
          <w:szCs w:val="32"/>
          <w:lang w:eastAsia="en-US"/>
        </w:rPr>
        <w:t>骆可婧</w:t>
      </w:r>
      <w:r>
        <w:rPr>
          <w:rFonts w:ascii="Times New Roman" w:hAnsi="Times New Roman" w:eastAsia="Times New Roman" w:cs="Times New Roman"/>
          <w:kern w:val="0"/>
          <w:sz w:val="32"/>
          <w:szCs w:val="32"/>
          <w:lang w:eastAsia="en-US"/>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0476-8873292-</w:t>
      </w:r>
      <w:r>
        <w:rPr>
          <w:rFonts w:ascii="Calibri" w:hAnsi="Calibri" w:eastAsia="Calibri" w:cs="Calibri"/>
          <w:kern w:val="0"/>
          <w:sz w:val="32"/>
          <w:szCs w:val="32"/>
          <w:lang w:eastAsia="en-US"/>
        </w:rPr>
        <w:t> </w:t>
      </w:r>
    </w:p>
    <w:p w14:paraId="23F3DA22">
      <w:pPr>
        <w:widowControl/>
        <w:spacing w:before="240" w:after="240"/>
        <w:jc w:val="left"/>
        <w:rPr>
          <w:rFonts w:ascii="Times New Roman" w:hAnsi="Times New Roman" w:eastAsia="Times New Roman" w:cs="Times New Roman"/>
          <w:kern w:val="0"/>
          <w:sz w:val="24"/>
        </w:rPr>
      </w:pPr>
    </w:p>
    <w:p w14:paraId="3E6486BB">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14:paraId="7DEDB7C2">
      <w:pPr>
        <w:pStyle w:val="30"/>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14:paraId="68F2606B">
      <w:pPr>
        <w:pStyle w:val="30"/>
        <w:widowControl/>
        <w:spacing w:before="240" w:after="240" w:line="560" w:lineRule="atLeast"/>
        <w:ind w:firstLine="640"/>
        <w:jc w:val="lef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见附件。</w:t>
      </w:r>
    </w:p>
    <w:bookmarkEnd w:id="0"/>
    <w:p w14:paraId="21453FEF">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4D4A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960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rsids>
    <w:rsidRoot w:val="00000000"/>
    <w:rsid w:val="011A0C39"/>
    <w:rsid w:val="1E4075E6"/>
    <w:rsid w:val="34C6130E"/>
    <w:rsid w:val="3CEB26DC"/>
    <w:rsid w:val="3E9F347B"/>
    <w:rsid w:val="56571574"/>
    <w:rsid w:val="57325016"/>
    <w:rsid w:val="59A0672C"/>
    <w:rsid w:val="727B1B10"/>
    <w:rsid w:val="750A30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paragraph" w:styleId="5">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Indent"/>
    <w:basedOn w:val="1"/>
    <w:unhideWhenUsed/>
    <w:qFormat/>
    <w:uiPriority w:val="99"/>
    <w:pPr>
      <w:spacing w:after="120"/>
      <w:ind w:left="420" w:leftChars="200"/>
    </w:pPr>
    <w:rPr>
      <w:rFonts w:hint="eastAsia" w:ascii="宋体" w:hAnsi="宋体" w:eastAsia="宋体"/>
      <w:sz w:val="24"/>
      <w:szCs w:val="24"/>
    </w:rPr>
  </w:style>
  <w:style w:type="paragraph" w:styleId="9">
    <w:name w:val="toc 5"/>
    <w:basedOn w:val="1"/>
    <w:next w:val="1"/>
    <w:autoRedefine/>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7"/>
    <w:qFormat/>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autoRedefine/>
    <w:qFormat/>
    <w:uiPriority w:val="0"/>
    <w:pPr>
      <w:ind w:left="1680"/>
      <w:jc w:val="left"/>
    </w:pPr>
    <w:rPr>
      <w:sz w:val="20"/>
      <w:szCs w:val="20"/>
    </w:rPr>
  </w:style>
  <w:style w:type="paragraph" w:styleId="19">
    <w:name w:val="Body Text First Indent 2"/>
    <w:basedOn w:val="8"/>
    <w:unhideWhenUsed/>
    <w:qFormat/>
    <w:uiPriority w:val="99"/>
    <w:pPr>
      <w:ind w:firstLine="420"/>
    </w:pPr>
    <w:rPr>
      <w:rFonts w:hint="eastAsia"/>
      <w:sz w:val="24"/>
      <w:szCs w:val="24"/>
    </w:rPr>
  </w:style>
  <w:style w:type="character" w:styleId="22">
    <w:name w:val="page number"/>
    <w:basedOn w:val="21"/>
    <w:uiPriority w:val="0"/>
  </w:style>
  <w:style w:type="character" w:styleId="23">
    <w:name w:val="Hyperlink"/>
    <w:basedOn w:val="21"/>
    <w:qFormat/>
    <w:uiPriority w:val="0"/>
    <w:rPr>
      <w:color w:val="0000FF"/>
      <w:u w:val="single"/>
    </w:rPr>
  </w:style>
  <w:style w:type="character" w:customStyle="1" w:styleId="24">
    <w:name w:val="标题 4 Char"/>
    <w:basedOn w:val="21"/>
    <w:link w:val="5"/>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2"/>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4"/>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6628</Words>
  <Characters>6929</Characters>
  <Lines>1</Lines>
  <Paragraphs>1</Paragraphs>
  <TotalTime>1</TotalTime>
  <ScaleCrop>false</ScaleCrop>
  <LinksUpToDate>false</LinksUpToDate>
  <CharactersWithSpaces>7132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爱笑</cp:lastModifiedBy>
  <cp:lastPrinted>2021-04-16T00:45:00Z</cp:lastPrinted>
  <dcterms:modified xsi:type="dcterms:W3CDTF">2026-08-14T03:37:32Z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eyJoZGlkIjoiMjBmOWQ4YTkzYTk5OTM3ODVkMmVmMjI4NThhMzU5ODkiLCJ1c2VySWQiOiIzNTA5NzkwOTUifQ==</vt:lpwstr>
  </property>
</Properties>
</file>