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sz w:val="24"/>
        </w:rPr>
      </w:pPr>
    </w:p>
    <w:p>
      <w:pPr>
        <w:spacing w:line="360" w:lineRule="auto"/>
        <w:jc w:val="center"/>
        <w:rPr>
          <w:rFonts w:ascii="宋体" w:hAnsi="宋体"/>
          <w:sz w:val="24"/>
        </w:rPr>
      </w:pPr>
    </w:p>
    <w:p>
      <w:pPr>
        <w:spacing w:line="360" w:lineRule="auto"/>
        <w:jc w:val="center"/>
        <w:rPr>
          <w:rFonts w:ascii="宋体" w:hAnsi="宋体"/>
          <w:b/>
          <w:bCs/>
          <w:sz w:val="52"/>
          <w:szCs w:val="52"/>
        </w:rPr>
      </w:pPr>
    </w:p>
    <w:p>
      <w:pPr>
        <w:spacing w:line="360" w:lineRule="auto"/>
        <w:jc w:val="center"/>
        <w:rPr>
          <w:rFonts w:hint="eastAsia" w:ascii="宋体" w:hAnsi="宋体"/>
          <w:b/>
          <w:bCs/>
          <w:sz w:val="52"/>
          <w:szCs w:val="52"/>
        </w:rPr>
      </w:pPr>
      <w:r>
        <w:rPr>
          <w:rFonts w:ascii="宋体" w:hAnsi="宋体"/>
          <w:b/>
          <w:bCs/>
          <w:sz w:val="52"/>
          <w:szCs w:val="52"/>
        </w:rPr>
        <w:t>202</w:t>
      </w:r>
      <w:r>
        <w:rPr>
          <w:rFonts w:hint="eastAsia" w:ascii="宋体" w:hAnsi="宋体"/>
          <w:b/>
          <w:bCs/>
          <w:sz w:val="52"/>
          <w:szCs w:val="52"/>
          <w:lang w:val="en-US" w:eastAsia="zh-CN"/>
        </w:rPr>
        <w:t>5</w:t>
      </w:r>
      <w:r>
        <w:rPr>
          <w:rFonts w:hint="eastAsia" w:ascii="宋体" w:hAnsi="宋体"/>
          <w:b/>
          <w:bCs/>
          <w:sz w:val="52"/>
          <w:szCs w:val="52"/>
        </w:rPr>
        <w:t>年度赤峰市艺术剧院（赤峰市</w:t>
      </w:r>
    </w:p>
    <w:p>
      <w:pPr>
        <w:spacing w:line="360" w:lineRule="auto"/>
        <w:jc w:val="center"/>
        <w:rPr>
          <w:rFonts w:ascii="宋体" w:hAnsi="宋体"/>
          <w:b/>
          <w:bCs/>
          <w:sz w:val="52"/>
          <w:szCs w:val="52"/>
        </w:rPr>
      </w:pPr>
      <w:r>
        <w:rPr>
          <w:rFonts w:hint="eastAsia" w:ascii="宋体" w:hAnsi="宋体"/>
          <w:b/>
          <w:bCs/>
          <w:sz w:val="52"/>
          <w:szCs w:val="52"/>
        </w:rPr>
        <w:t>乌兰牧骑）公开报告</w:t>
      </w:r>
    </w:p>
    <w:p>
      <w:pPr>
        <w:spacing w:line="360" w:lineRule="auto"/>
        <w:jc w:val="center"/>
        <w:rPr>
          <w:rFonts w:ascii="宋体" w:hAnsi="宋体"/>
          <w:b/>
          <w:bCs/>
          <w:sz w:val="52"/>
          <w:szCs w:val="52"/>
        </w:rPr>
      </w:pPr>
      <w:bookmarkStart w:id="1" w:name="_GoBack"/>
      <w:bookmarkEnd w:id="1"/>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p>
    <w:p>
      <w:pPr>
        <w:tabs>
          <w:tab w:val="left" w:pos="840"/>
        </w:tabs>
        <w:spacing w:line="360" w:lineRule="auto"/>
        <w:jc w:val="center"/>
        <w:rPr>
          <w:rFonts w:hint="default" w:ascii="宋体" w:hAnsi="宋体" w:eastAsia="宋体"/>
          <w:b w:val="0"/>
          <w:bCs w:val="0"/>
          <w:sz w:val="36"/>
          <w:szCs w:val="36"/>
          <w:lang w:val="en-US" w:eastAsia="zh-CN"/>
        </w:rPr>
      </w:pPr>
      <w:r>
        <w:rPr>
          <w:rFonts w:hint="eastAsia" w:ascii="宋体" w:hAnsi="宋体"/>
          <w:b/>
          <w:bCs/>
          <w:sz w:val="44"/>
          <w:szCs w:val="44"/>
          <w:lang w:val="en-US" w:eastAsia="zh-CN"/>
        </w:rPr>
        <w:t xml:space="preserve">     </w:t>
      </w:r>
      <w:r>
        <w:rPr>
          <w:rFonts w:hint="eastAsia" w:ascii="宋体" w:hAnsi="宋体"/>
          <w:b w:val="0"/>
          <w:bCs w:val="0"/>
          <w:sz w:val="36"/>
          <w:szCs w:val="36"/>
          <w:lang w:val="en-US" w:eastAsia="zh-CN"/>
        </w:rPr>
        <w:t>单位名称：</w:t>
      </w:r>
      <w:r>
        <w:rPr>
          <w:rFonts w:hint="eastAsia" w:ascii="宋体" w:hAnsi="宋体"/>
          <w:b w:val="0"/>
          <w:bCs w:val="0"/>
          <w:sz w:val="36"/>
          <w:szCs w:val="36"/>
        </w:rPr>
        <w:t>赤峰市艺术剧院（赤峰市乌兰牧骑）</w:t>
      </w:r>
    </w:p>
    <w:p>
      <w:pPr>
        <w:spacing w:line="360" w:lineRule="auto"/>
        <w:ind w:firstLine="1080" w:firstLineChars="300"/>
        <w:jc w:val="both"/>
        <w:rPr>
          <w:rFonts w:hint="default" w:ascii="宋体" w:hAnsi="宋体"/>
          <w:b w:val="0"/>
          <w:bCs w:val="0"/>
          <w:sz w:val="36"/>
          <w:szCs w:val="36"/>
          <w:lang w:val="en-US" w:eastAsia="zh-CN"/>
        </w:rPr>
      </w:pPr>
      <w:r>
        <w:rPr>
          <w:rFonts w:hint="eastAsia" w:ascii="宋体" w:hAnsi="宋体"/>
          <w:b w:val="0"/>
          <w:bCs w:val="0"/>
          <w:sz w:val="36"/>
          <w:szCs w:val="36"/>
          <w:lang w:val="en-US" w:eastAsia="zh-CN"/>
        </w:rPr>
        <w:t>单位负责人：童志民</w:t>
      </w:r>
    </w:p>
    <w:p>
      <w:pPr>
        <w:spacing w:line="360" w:lineRule="auto"/>
        <w:ind w:firstLine="1080" w:firstLineChars="300"/>
        <w:jc w:val="both"/>
        <w:rPr>
          <w:rFonts w:hint="eastAsia" w:ascii="宋体" w:hAnsi="宋体"/>
          <w:b w:val="0"/>
          <w:bCs w:val="0"/>
          <w:sz w:val="36"/>
          <w:szCs w:val="36"/>
          <w:lang w:val="en-US" w:eastAsia="zh-CN"/>
        </w:rPr>
      </w:pPr>
      <w:r>
        <w:rPr>
          <w:rFonts w:hint="eastAsia" w:ascii="宋体" w:hAnsi="宋体"/>
          <w:b w:val="0"/>
          <w:bCs w:val="0"/>
          <w:sz w:val="36"/>
          <w:szCs w:val="36"/>
          <w:lang w:val="en-US" w:eastAsia="zh-CN"/>
        </w:rPr>
        <w:t>财务负责人：杨  诺</w:t>
      </w:r>
    </w:p>
    <w:p>
      <w:pPr>
        <w:spacing w:line="360" w:lineRule="auto"/>
        <w:ind w:firstLine="1080" w:firstLineChars="300"/>
        <w:jc w:val="both"/>
        <w:rPr>
          <w:rFonts w:hint="eastAsia" w:ascii="宋体" w:hAnsi="宋体"/>
          <w:b w:val="0"/>
          <w:bCs w:val="0"/>
          <w:sz w:val="36"/>
          <w:szCs w:val="36"/>
          <w:lang w:val="en-US" w:eastAsia="zh-CN"/>
        </w:rPr>
      </w:pPr>
      <w:r>
        <w:rPr>
          <w:rFonts w:hint="eastAsia" w:ascii="宋体" w:hAnsi="宋体"/>
          <w:b w:val="0"/>
          <w:bCs w:val="0"/>
          <w:sz w:val="36"/>
          <w:szCs w:val="36"/>
          <w:lang w:val="en-US" w:eastAsia="zh-CN"/>
        </w:rPr>
        <w:t>编制人：曹显杰</w:t>
      </w:r>
    </w:p>
    <w:p>
      <w:pPr>
        <w:spacing w:line="360" w:lineRule="auto"/>
        <w:ind w:firstLine="1080" w:firstLineChars="300"/>
        <w:jc w:val="both"/>
        <w:rPr>
          <w:rFonts w:hint="default" w:ascii="宋体" w:hAnsi="宋体" w:eastAsia="宋体"/>
          <w:b w:val="0"/>
          <w:bCs w:val="0"/>
          <w:sz w:val="36"/>
          <w:szCs w:val="36"/>
          <w:lang w:val="en-US" w:eastAsia="zh-CN"/>
        </w:rPr>
      </w:pPr>
      <w:r>
        <w:rPr>
          <w:rFonts w:hint="eastAsia" w:ascii="宋体" w:hAnsi="宋体"/>
          <w:b w:val="0"/>
          <w:bCs w:val="0"/>
          <w:sz w:val="36"/>
          <w:szCs w:val="36"/>
          <w:lang w:val="en-US" w:eastAsia="zh-CN"/>
        </w:rPr>
        <w:t>报送日期：2026年8月</w:t>
      </w:r>
    </w:p>
    <w:p>
      <w:pPr>
        <w:ind w:firstLine="2520" w:firstLineChars="700"/>
        <w:rPr>
          <w:rFonts w:ascii="仿宋" w:hAnsi="仿宋" w:eastAsia="仿宋"/>
          <w:b w:val="0"/>
          <w:bCs w:val="0"/>
          <w:sz w:val="36"/>
          <w:szCs w:val="36"/>
        </w:rPr>
        <w:sectPr>
          <w:footerReference r:id="rId3" w:type="default"/>
          <w:pgSz w:w="11906" w:h="16838"/>
          <w:pgMar w:top="1440" w:right="1803" w:bottom="1440" w:left="1803" w:header="0" w:footer="720" w:gutter="0"/>
          <w:pgBorders>
            <w:top w:val="none" w:sz="0" w:space="0"/>
            <w:left w:val="none" w:sz="0" w:space="0"/>
            <w:bottom w:val="none" w:sz="0" w:space="0"/>
            <w:right w:val="none" w:sz="0" w:space="0"/>
          </w:pgBorders>
          <w:cols w:space="0" w:num="1"/>
          <w:rtlGutter w:val="0"/>
          <w:docGrid w:type="lines" w:linePitch="312" w:charSpace="0"/>
        </w:sectPr>
      </w:pPr>
    </w:p>
    <w:p>
      <w:pPr>
        <w:widowControl/>
        <w:spacing w:after="240"/>
        <w:jc w:val="center"/>
        <w:rPr>
          <w:rFonts w:ascii="Times New Roman" w:hAnsi="Times New Roman" w:eastAsia="Times New Roman" w:cs="Times New Roman"/>
          <w:kern w:val="0"/>
          <w:sz w:val="52"/>
          <w:szCs w:val="52"/>
        </w:rPr>
      </w:pPr>
      <w:r>
        <w:rPr>
          <w:rFonts w:ascii="仿宋_GB2312" w:hAnsi="仿宋_GB2312" w:eastAsia="仿宋_GB2312" w:cs="仿宋_GB2312"/>
          <w:b/>
          <w:bCs/>
          <w:kern w:val="0"/>
          <w:sz w:val="52"/>
          <w:szCs w:val="52"/>
        </w:rPr>
        <w:t>目 录</w:t>
      </w:r>
    </w:p>
    <w:p>
      <w:pPr>
        <w:widowControl/>
        <w:spacing w:before="240" w:after="240"/>
        <w:jc w:val="left"/>
        <w:rPr>
          <w:rFonts w:ascii="Times New Roman" w:hAnsi="Times New Roman" w:eastAsia="Times New Roman" w:cs="Times New Roman"/>
          <w:kern w:val="0"/>
          <w:sz w:val="24"/>
        </w:rPr>
      </w:pPr>
      <w:r>
        <w:rPr>
          <w:rFonts w:ascii="Times New Roman" w:hAnsi="Times New Roman" w:eastAsia="Times New Roman" w:cs="Times New Roman"/>
          <w:b/>
          <w:bCs/>
          <w:kern w:val="0"/>
          <w:sz w:val="24"/>
        </w:rPr>
        <w:t> </w:t>
      </w:r>
    </w:p>
    <w:p>
      <w:pPr>
        <w:widowControl/>
        <w:spacing w:before="240" w:after="240"/>
        <w:jc w:val="left"/>
        <w:rPr>
          <w:rFonts w:ascii="Times New Roman" w:hAnsi="Times New Roman" w:eastAsia="Times New Roman" w:cs="Times New Roman"/>
          <w:kern w:val="0"/>
          <w:sz w:val="32"/>
          <w:szCs w:val="32"/>
        </w:rPr>
      </w:pPr>
      <w:r>
        <w:rPr>
          <w:rFonts w:ascii="黑体" w:hAnsi="黑体" w:eastAsia="黑体" w:cs="黑体"/>
          <w:kern w:val="0"/>
          <w:sz w:val="32"/>
          <w:szCs w:val="32"/>
        </w:rPr>
        <w:t>第一部分 单位概况</w:t>
      </w:r>
    </w:p>
    <w:p>
      <w:pPr>
        <w:widowControl/>
        <w:spacing w:before="240" w:after="240"/>
        <w:jc w:val="left"/>
        <w:rPr>
          <w:rFonts w:ascii="Times New Roman" w:hAnsi="Times New Roman" w:eastAsia="Times New Roman" w:cs="Times New Roman"/>
          <w:kern w:val="0"/>
          <w:sz w:val="32"/>
          <w:szCs w:val="32"/>
        </w:rPr>
      </w:pPr>
      <w:r>
        <w:rPr>
          <w:rFonts w:ascii="仿宋_GB2312" w:hAnsi="仿宋_GB2312" w:eastAsia="仿宋_GB2312" w:cs="仿宋_GB2312"/>
          <w:kern w:val="0"/>
          <w:sz w:val="32"/>
          <w:szCs w:val="32"/>
        </w:rPr>
        <w:t>一、主要职能、职责</w:t>
      </w:r>
    </w:p>
    <w:p>
      <w:pPr>
        <w:widowControl/>
        <w:spacing w:before="240" w:after="240"/>
        <w:jc w:val="left"/>
        <w:rPr>
          <w:rFonts w:ascii="Times New Roman" w:hAnsi="Times New Roman" w:eastAsia="Times New Roman" w:cs="Times New Roman"/>
          <w:kern w:val="0"/>
          <w:sz w:val="32"/>
          <w:szCs w:val="32"/>
        </w:rPr>
      </w:pPr>
      <w:r>
        <w:rPr>
          <w:rFonts w:ascii="仿宋_GB2312" w:hAnsi="仿宋_GB2312" w:eastAsia="仿宋_GB2312" w:cs="仿宋_GB2312"/>
          <w:kern w:val="0"/>
          <w:sz w:val="32"/>
          <w:szCs w:val="32"/>
        </w:rPr>
        <w:t>二、单位机构设置及决算单位构成情况</w:t>
      </w:r>
    </w:p>
    <w:p>
      <w:pPr>
        <w:widowControl/>
        <w:spacing w:before="240" w:after="240"/>
        <w:jc w:val="left"/>
        <w:rPr>
          <w:rFonts w:ascii="Times New Roman" w:hAnsi="Times New Roman" w:eastAsia="Times New Roman" w:cs="Times New Roman"/>
          <w:kern w:val="0"/>
          <w:sz w:val="32"/>
          <w:szCs w:val="32"/>
        </w:rPr>
      </w:pPr>
      <w:r>
        <w:rPr>
          <w:rFonts w:ascii="仿宋_GB2312" w:hAnsi="仿宋_GB2312" w:eastAsia="仿宋_GB2312" w:cs="仿宋_GB2312"/>
          <w:kern w:val="0"/>
          <w:sz w:val="32"/>
          <w:szCs w:val="32"/>
        </w:rPr>
        <w:t>三、202</w:t>
      </w:r>
      <w:r>
        <w:rPr>
          <w:rFonts w:hint="eastAsia" w:ascii="仿宋_GB2312" w:hAnsi="仿宋_GB2312" w:eastAsia="仿宋_GB2312" w:cs="仿宋_GB2312"/>
          <w:kern w:val="0"/>
          <w:sz w:val="32"/>
          <w:szCs w:val="32"/>
          <w:lang w:val="en-US" w:eastAsia="zh-CN"/>
        </w:rPr>
        <w:t>5</w:t>
      </w:r>
      <w:r>
        <w:rPr>
          <w:rFonts w:ascii="仿宋_GB2312" w:hAnsi="仿宋_GB2312" w:eastAsia="仿宋_GB2312" w:cs="仿宋_GB2312"/>
          <w:kern w:val="0"/>
          <w:sz w:val="32"/>
          <w:szCs w:val="32"/>
        </w:rPr>
        <w:t>年度单位主要工作完成情况</w:t>
      </w:r>
    </w:p>
    <w:p>
      <w:pPr>
        <w:widowControl/>
        <w:spacing w:before="240" w:after="240"/>
        <w:jc w:val="left"/>
        <w:rPr>
          <w:rFonts w:ascii="黑体" w:hAnsi="黑体" w:eastAsia="黑体" w:cs="黑体"/>
          <w:kern w:val="0"/>
          <w:sz w:val="32"/>
          <w:szCs w:val="32"/>
        </w:rPr>
      </w:pPr>
      <w:r>
        <w:rPr>
          <w:rFonts w:ascii="黑体" w:hAnsi="黑体" w:eastAsia="黑体" w:cs="黑体"/>
          <w:kern w:val="0"/>
          <w:sz w:val="32"/>
          <w:szCs w:val="32"/>
        </w:rPr>
        <w:t>第二部分 单位决算情况说明</w:t>
      </w:r>
    </w:p>
    <w:p>
      <w:pPr>
        <w:widowControl/>
        <w:spacing w:before="240" w:after="240"/>
        <w:jc w:val="left"/>
        <w:rPr>
          <w:rFonts w:ascii="Times New Roman" w:hAnsi="Times New Roman" w:eastAsia="Times New Roman" w:cs="Times New Roman"/>
          <w:kern w:val="0"/>
          <w:sz w:val="32"/>
          <w:szCs w:val="32"/>
        </w:rPr>
      </w:pPr>
      <w:r>
        <w:rPr>
          <w:rFonts w:ascii="仿宋_GB2312" w:hAnsi="仿宋_GB2312" w:eastAsia="仿宋_GB2312" w:cs="仿宋_GB2312"/>
          <w:kern w:val="0"/>
          <w:sz w:val="32"/>
          <w:szCs w:val="32"/>
        </w:rPr>
        <w:t>一、收入支出决算总体情况说明</w:t>
      </w:r>
    </w:p>
    <w:p>
      <w:pPr>
        <w:widowControl/>
        <w:spacing w:before="240" w:after="240"/>
        <w:jc w:val="left"/>
        <w:rPr>
          <w:rFonts w:ascii="Times New Roman" w:hAnsi="Times New Roman" w:eastAsia="Times New Roman" w:cs="Times New Roman"/>
          <w:kern w:val="0"/>
          <w:sz w:val="32"/>
          <w:szCs w:val="32"/>
        </w:rPr>
      </w:pPr>
      <w:r>
        <w:rPr>
          <w:rFonts w:ascii="仿宋_GB2312" w:hAnsi="仿宋_GB2312" w:eastAsia="仿宋_GB2312" w:cs="仿宋_GB2312"/>
          <w:kern w:val="0"/>
          <w:sz w:val="32"/>
          <w:szCs w:val="32"/>
        </w:rPr>
        <w:t>二、收入决算情况说明</w:t>
      </w:r>
    </w:p>
    <w:p>
      <w:pPr>
        <w:widowControl/>
        <w:spacing w:before="240" w:after="240"/>
        <w:jc w:val="left"/>
        <w:rPr>
          <w:rFonts w:ascii="Times New Roman" w:hAnsi="Times New Roman" w:eastAsia="Times New Roman" w:cs="Times New Roman"/>
          <w:kern w:val="0"/>
          <w:sz w:val="32"/>
          <w:szCs w:val="32"/>
        </w:rPr>
      </w:pPr>
      <w:r>
        <w:rPr>
          <w:rFonts w:ascii="仿宋_GB2312" w:hAnsi="仿宋_GB2312" w:eastAsia="仿宋_GB2312" w:cs="仿宋_GB2312"/>
          <w:kern w:val="0"/>
          <w:sz w:val="32"/>
          <w:szCs w:val="32"/>
        </w:rPr>
        <w:t>三、支出决算情况说明</w:t>
      </w:r>
    </w:p>
    <w:p>
      <w:pPr>
        <w:widowControl/>
        <w:spacing w:before="240" w:after="240"/>
        <w:jc w:val="left"/>
        <w:rPr>
          <w:rFonts w:ascii="Times New Roman" w:hAnsi="Times New Roman" w:eastAsia="Times New Roman" w:cs="Times New Roman"/>
          <w:kern w:val="0"/>
          <w:sz w:val="32"/>
          <w:szCs w:val="32"/>
        </w:rPr>
      </w:pPr>
      <w:r>
        <w:rPr>
          <w:rFonts w:ascii="仿宋_GB2312" w:hAnsi="仿宋_GB2312" w:eastAsia="仿宋_GB2312" w:cs="仿宋_GB2312"/>
          <w:kern w:val="0"/>
          <w:sz w:val="32"/>
          <w:szCs w:val="32"/>
        </w:rPr>
        <w:t>四、财政拨款收入支出决算总体情况说明</w:t>
      </w:r>
    </w:p>
    <w:p>
      <w:pPr>
        <w:widowControl/>
        <w:spacing w:before="240" w:after="240"/>
        <w:jc w:val="left"/>
        <w:rPr>
          <w:rFonts w:ascii="Times New Roman" w:hAnsi="Times New Roman" w:eastAsia="Times New Roman" w:cs="Times New Roman"/>
          <w:kern w:val="0"/>
          <w:sz w:val="32"/>
          <w:szCs w:val="32"/>
        </w:rPr>
      </w:pPr>
      <w:r>
        <w:rPr>
          <w:rFonts w:ascii="仿宋_GB2312" w:hAnsi="仿宋_GB2312" w:eastAsia="仿宋_GB2312" w:cs="仿宋_GB2312"/>
          <w:kern w:val="0"/>
          <w:sz w:val="32"/>
          <w:szCs w:val="32"/>
        </w:rPr>
        <w:t>五、一般公共预算财政拨款支出决算情况说明</w:t>
      </w:r>
    </w:p>
    <w:p>
      <w:pPr>
        <w:widowControl/>
        <w:spacing w:before="240" w:after="240"/>
        <w:jc w:val="left"/>
        <w:rPr>
          <w:rFonts w:ascii="Times New Roman" w:hAnsi="Times New Roman" w:eastAsia="Times New Roman" w:cs="Times New Roman"/>
          <w:kern w:val="0"/>
          <w:sz w:val="32"/>
          <w:szCs w:val="32"/>
        </w:rPr>
      </w:pPr>
      <w:r>
        <w:rPr>
          <w:rFonts w:ascii="仿宋_GB2312" w:hAnsi="仿宋_GB2312" w:eastAsia="仿宋_GB2312" w:cs="仿宋_GB2312"/>
          <w:kern w:val="0"/>
          <w:sz w:val="32"/>
          <w:szCs w:val="32"/>
        </w:rPr>
        <w:t>六、一般公共预算财政拨款基本支出决算情况说明</w:t>
      </w:r>
    </w:p>
    <w:p>
      <w:pPr>
        <w:widowControl/>
        <w:spacing w:before="240" w:after="240"/>
        <w:jc w:val="left"/>
        <w:rPr>
          <w:rFonts w:ascii="Times New Roman" w:hAnsi="Times New Roman" w:eastAsia="Times New Roman" w:cs="Times New Roman"/>
          <w:kern w:val="0"/>
          <w:sz w:val="32"/>
          <w:szCs w:val="32"/>
        </w:rPr>
      </w:pPr>
      <w:r>
        <w:rPr>
          <w:rFonts w:ascii="仿宋_GB2312" w:hAnsi="仿宋_GB2312" w:eastAsia="仿宋_GB2312" w:cs="仿宋_GB2312"/>
          <w:kern w:val="0"/>
          <w:sz w:val="32"/>
          <w:szCs w:val="32"/>
        </w:rPr>
        <w:t>七、一般公共预算财政拨款项目支出决算情况说明</w:t>
      </w:r>
    </w:p>
    <w:p>
      <w:pPr>
        <w:widowControl/>
        <w:spacing w:before="240" w:after="240"/>
        <w:jc w:val="left"/>
        <w:rPr>
          <w:rFonts w:ascii="Times New Roman" w:hAnsi="Times New Roman" w:eastAsia="Times New Roman" w:cs="Times New Roman"/>
          <w:kern w:val="0"/>
          <w:sz w:val="32"/>
          <w:szCs w:val="32"/>
        </w:rPr>
      </w:pPr>
      <w:r>
        <w:rPr>
          <w:rFonts w:ascii="仿宋_GB2312" w:hAnsi="仿宋_GB2312" w:eastAsia="仿宋_GB2312" w:cs="仿宋_GB2312"/>
          <w:kern w:val="0"/>
          <w:sz w:val="32"/>
          <w:szCs w:val="32"/>
        </w:rPr>
        <w:t>八、财政拨款“三公”经费支出决算情况说明</w:t>
      </w:r>
    </w:p>
    <w:p>
      <w:pPr>
        <w:widowControl/>
        <w:spacing w:before="240" w:after="240"/>
        <w:jc w:val="left"/>
        <w:rPr>
          <w:rFonts w:ascii="Times New Roman" w:hAnsi="Times New Roman" w:eastAsia="Times New Roman" w:cs="Times New Roman"/>
          <w:kern w:val="0"/>
          <w:sz w:val="32"/>
          <w:szCs w:val="32"/>
        </w:rPr>
      </w:pPr>
      <w:r>
        <w:rPr>
          <w:rFonts w:ascii="仿宋_GB2312" w:hAnsi="仿宋_GB2312" w:eastAsia="仿宋_GB2312" w:cs="仿宋_GB2312"/>
          <w:kern w:val="0"/>
          <w:sz w:val="32"/>
          <w:szCs w:val="32"/>
        </w:rPr>
        <w:t>九、政府性基金预算财政拨款支出决算情况说明</w:t>
      </w:r>
    </w:p>
    <w:p>
      <w:pPr>
        <w:widowControl/>
        <w:spacing w:before="240" w:after="240"/>
        <w:jc w:val="left"/>
        <w:rPr>
          <w:rFonts w:ascii="Times New Roman" w:hAnsi="Times New Roman" w:eastAsia="Times New Roman" w:cs="Times New Roman"/>
          <w:kern w:val="0"/>
          <w:sz w:val="32"/>
          <w:szCs w:val="32"/>
        </w:rPr>
      </w:pPr>
      <w:r>
        <w:rPr>
          <w:rFonts w:ascii="仿宋_GB2312" w:hAnsi="仿宋_GB2312" w:eastAsia="仿宋_GB2312" w:cs="仿宋_GB2312"/>
          <w:kern w:val="0"/>
          <w:sz w:val="32"/>
          <w:szCs w:val="32"/>
        </w:rPr>
        <w:t>十、国有资本经营预算财政拨款支出决算情况说明</w:t>
      </w:r>
    </w:p>
    <w:p>
      <w:pPr>
        <w:widowControl/>
        <w:spacing w:before="240" w:after="240"/>
        <w:jc w:val="left"/>
        <w:rPr>
          <w:rFonts w:ascii="Times New Roman" w:hAnsi="Times New Roman" w:eastAsia="Times New Roman" w:cs="Times New Roman"/>
          <w:kern w:val="0"/>
          <w:sz w:val="32"/>
          <w:szCs w:val="32"/>
        </w:rPr>
      </w:pPr>
      <w:r>
        <w:rPr>
          <w:rFonts w:ascii="仿宋_GB2312" w:hAnsi="仿宋_GB2312" w:eastAsia="仿宋_GB2312" w:cs="仿宋_GB2312"/>
          <w:kern w:val="0"/>
          <w:sz w:val="32"/>
          <w:szCs w:val="32"/>
        </w:rPr>
        <w:t>十一、机关运行经费（公用经费）支出决算情况说明</w:t>
      </w:r>
    </w:p>
    <w:p>
      <w:pPr>
        <w:widowControl/>
        <w:spacing w:before="240" w:after="240"/>
        <w:jc w:val="left"/>
        <w:rPr>
          <w:rFonts w:ascii="Times New Roman" w:hAnsi="Times New Roman" w:eastAsia="Times New Roman" w:cs="Times New Roman"/>
          <w:kern w:val="0"/>
          <w:sz w:val="32"/>
          <w:szCs w:val="32"/>
        </w:rPr>
      </w:pPr>
      <w:r>
        <w:rPr>
          <w:rFonts w:ascii="仿宋_GB2312" w:hAnsi="仿宋_GB2312" w:eastAsia="仿宋_GB2312" w:cs="仿宋_GB2312"/>
          <w:kern w:val="0"/>
          <w:sz w:val="32"/>
          <w:szCs w:val="32"/>
        </w:rPr>
        <w:t>十二、政府采购支出决算情况说明</w:t>
      </w:r>
    </w:p>
    <w:p>
      <w:pPr>
        <w:widowControl/>
        <w:spacing w:before="240" w:after="240"/>
        <w:jc w:val="left"/>
        <w:rPr>
          <w:rFonts w:ascii="Times New Roman" w:hAnsi="Times New Roman" w:eastAsia="Times New Roman" w:cs="Times New Roman"/>
          <w:kern w:val="0"/>
          <w:sz w:val="32"/>
          <w:szCs w:val="32"/>
        </w:rPr>
      </w:pPr>
      <w:r>
        <w:rPr>
          <w:rFonts w:ascii="仿宋_GB2312" w:hAnsi="仿宋_GB2312" w:eastAsia="仿宋_GB2312" w:cs="仿宋_GB2312"/>
          <w:kern w:val="0"/>
          <w:sz w:val="32"/>
          <w:szCs w:val="32"/>
        </w:rPr>
        <w:t>十三、国有资产占用情况说明</w:t>
      </w:r>
    </w:p>
    <w:p>
      <w:pPr>
        <w:widowControl/>
        <w:spacing w:before="240" w:after="240"/>
        <w:jc w:val="left"/>
        <w:rPr>
          <w:rFonts w:ascii="Times New Roman" w:hAnsi="Times New Roman" w:eastAsia="Times New Roman" w:cs="Times New Roman"/>
          <w:kern w:val="0"/>
          <w:sz w:val="32"/>
          <w:szCs w:val="32"/>
        </w:rPr>
      </w:pPr>
      <w:r>
        <w:rPr>
          <w:rFonts w:ascii="仿宋_GB2312" w:hAnsi="仿宋_GB2312" w:eastAsia="仿宋_GB2312" w:cs="仿宋_GB2312"/>
          <w:kern w:val="0"/>
          <w:sz w:val="32"/>
          <w:szCs w:val="32"/>
        </w:rPr>
        <w:t>十四、预算绩效情况说明</w:t>
      </w:r>
    </w:p>
    <w:p>
      <w:pPr>
        <w:widowControl/>
        <w:spacing w:before="240" w:after="240"/>
        <w:jc w:val="left"/>
        <w:rPr>
          <w:rFonts w:ascii="黑体" w:hAnsi="黑体" w:eastAsia="黑体" w:cs="黑体"/>
          <w:kern w:val="0"/>
          <w:sz w:val="32"/>
          <w:szCs w:val="32"/>
        </w:rPr>
      </w:pPr>
      <w:r>
        <w:rPr>
          <w:rFonts w:ascii="黑体" w:hAnsi="黑体" w:eastAsia="黑体" w:cs="黑体"/>
          <w:kern w:val="0"/>
          <w:sz w:val="32"/>
          <w:szCs w:val="32"/>
        </w:rPr>
        <w:t>第三部分 名词解释</w:t>
      </w:r>
    </w:p>
    <w:p>
      <w:pPr>
        <w:widowControl/>
        <w:spacing w:before="240" w:after="240"/>
        <w:jc w:val="left"/>
        <w:rPr>
          <w:rFonts w:ascii="黑体" w:hAnsi="黑体" w:eastAsia="黑体" w:cs="黑体"/>
          <w:kern w:val="0"/>
          <w:sz w:val="32"/>
          <w:szCs w:val="32"/>
        </w:rPr>
      </w:pPr>
      <w:r>
        <w:rPr>
          <w:rFonts w:ascii="黑体" w:hAnsi="黑体" w:eastAsia="黑体" w:cs="黑体"/>
          <w:kern w:val="0"/>
          <w:sz w:val="32"/>
          <w:szCs w:val="32"/>
        </w:rPr>
        <w:t>第四部分 决算公开联系方式及信息反馈渠道</w:t>
      </w:r>
    </w:p>
    <w:p>
      <w:pPr>
        <w:widowControl/>
        <w:spacing w:before="240" w:after="240"/>
        <w:jc w:val="left"/>
        <w:rPr>
          <w:rFonts w:ascii="黑体" w:hAnsi="黑体" w:eastAsia="黑体" w:cs="黑体"/>
          <w:kern w:val="0"/>
          <w:sz w:val="32"/>
          <w:szCs w:val="32"/>
        </w:rPr>
      </w:pPr>
      <w:r>
        <w:rPr>
          <w:rFonts w:ascii="黑体" w:hAnsi="黑体" w:eastAsia="黑体" w:cs="黑体"/>
          <w:kern w:val="0"/>
          <w:sz w:val="32"/>
          <w:szCs w:val="32"/>
        </w:rPr>
        <w:t>第五部分 单位决算表</w:t>
      </w:r>
    </w:p>
    <w:p>
      <w:pPr>
        <w:widowControl/>
        <w:spacing w:before="240" w:after="240"/>
        <w:jc w:val="left"/>
        <w:rPr>
          <w:rFonts w:ascii="Times New Roman" w:hAnsi="Times New Roman" w:eastAsia="Times New Roman" w:cs="Times New Roman"/>
          <w:kern w:val="0"/>
          <w:sz w:val="32"/>
          <w:szCs w:val="32"/>
        </w:rPr>
      </w:pPr>
      <w:r>
        <w:rPr>
          <w:rFonts w:ascii="仿宋_GB2312" w:hAnsi="仿宋_GB2312" w:eastAsia="仿宋_GB2312" w:cs="仿宋_GB2312"/>
          <w:kern w:val="0"/>
          <w:sz w:val="32"/>
          <w:szCs w:val="32"/>
        </w:rPr>
        <w:t>一、收入支出决算总表</w:t>
      </w:r>
    </w:p>
    <w:p>
      <w:pPr>
        <w:widowControl/>
        <w:spacing w:before="240" w:after="240"/>
        <w:jc w:val="left"/>
        <w:rPr>
          <w:rFonts w:ascii="Times New Roman" w:hAnsi="Times New Roman" w:eastAsia="Times New Roman" w:cs="Times New Roman"/>
          <w:kern w:val="0"/>
          <w:sz w:val="32"/>
          <w:szCs w:val="32"/>
        </w:rPr>
      </w:pPr>
      <w:r>
        <w:rPr>
          <w:rFonts w:ascii="仿宋_GB2312" w:hAnsi="仿宋_GB2312" w:eastAsia="仿宋_GB2312" w:cs="仿宋_GB2312"/>
          <w:kern w:val="0"/>
          <w:sz w:val="32"/>
          <w:szCs w:val="32"/>
        </w:rPr>
        <w:t>二、收入决算表</w:t>
      </w:r>
    </w:p>
    <w:p>
      <w:pPr>
        <w:widowControl/>
        <w:spacing w:before="240" w:after="240"/>
        <w:jc w:val="left"/>
        <w:rPr>
          <w:rFonts w:ascii="Times New Roman" w:hAnsi="Times New Roman" w:eastAsia="Times New Roman" w:cs="Times New Roman"/>
          <w:kern w:val="0"/>
          <w:sz w:val="32"/>
          <w:szCs w:val="32"/>
        </w:rPr>
      </w:pPr>
      <w:r>
        <w:rPr>
          <w:rFonts w:ascii="仿宋_GB2312" w:hAnsi="仿宋_GB2312" w:eastAsia="仿宋_GB2312" w:cs="仿宋_GB2312"/>
          <w:kern w:val="0"/>
          <w:sz w:val="32"/>
          <w:szCs w:val="32"/>
        </w:rPr>
        <w:t>三、支出决算表</w:t>
      </w:r>
    </w:p>
    <w:p>
      <w:pPr>
        <w:widowControl/>
        <w:spacing w:before="240" w:after="240"/>
        <w:jc w:val="left"/>
        <w:rPr>
          <w:rFonts w:ascii="Times New Roman" w:hAnsi="Times New Roman" w:eastAsia="Times New Roman" w:cs="Times New Roman"/>
          <w:kern w:val="0"/>
          <w:sz w:val="32"/>
          <w:szCs w:val="32"/>
        </w:rPr>
      </w:pPr>
      <w:r>
        <w:rPr>
          <w:rFonts w:ascii="仿宋_GB2312" w:hAnsi="仿宋_GB2312" w:eastAsia="仿宋_GB2312" w:cs="仿宋_GB2312"/>
          <w:kern w:val="0"/>
          <w:sz w:val="32"/>
          <w:szCs w:val="32"/>
        </w:rPr>
        <w:t>四、财政拨款收入支出决算总表</w:t>
      </w:r>
    </w:p>
    <w:p>
      <w:pPr>
        <w:widowControl/>
        <w:spacing w:before="240" w:after="240"/>
        <w:jc w:val="left"/>
        <w:rPr>
          <w:rFonts w:ascii="Times New Roman" w:hAnsi="Times New Roman" w:eastAsia="Times New Roman" w:cs="Times New Roman"/>
          <w:kern w:val="0"/>
          <w:sz w:val="32"/>
          <w:szCs w:val="32"/>
        </w:rPr>
      </w:pPr>
      <w:r>
        <w:rPr>
          <w:rFonts w:ascii="仿宋_GB2312" w:hAnsi="仿宋_GB2312" w:eastAsia="仿宋_GB2312" w:cs="仿宋_GB2312"/>
          <w:kern w:val="0"/>
          <w:sz w:val="32"/>
          <w:szCs w:val="32"/>
        </w:rPr>
        <w:t>五、一般公共预算财政拨款支出决算表</w:t>
      </w:r>
    </w:p>
    <w:p>
      <w:pPr>
        <w:widowControl/>
        <w:spacing w:before="240" w:after="240"/>
        <w:jc w:val="left"/>
        <w:rPr>
          <w:rFonts w:ascii="Times New Roman" w:hAnsi="Times New Roman" w:eastAsia="Times New Roman" w:cs="Times New Roman"/>
          <w:kern w:val="0"/>
          <w:sz w:val="32"/>
          <w:szCs w:val="32"/>
        </w:rPr>
      </w:pPr>
      <w:r>
        <w:rPr>
          <w:rFonts w:ascii="仿宋_GB2312" w:hAnsi="仿宋_GB2312" w:eastAsia="仿宋_GB2312" w:cs="仿宋_GB2312"/>
          <w:kern w:val="0"/>
          <w:sz w:val="32"/>
          <w:szCs w:val="32"/>
        </w:rPr>
        <w:t>六、一般公共预算财政拨款基本支出决算明细表</w:t>
      </w:r>
    </w:p>
    <w:p>
      <w:pPr>
        <w:widowControl/>
        <w:spacing w:before="240" w:after="240"/>
        <w:jc w:val="left"/>
        <w:rPr>
          <w:rFonts w:ascii="Times New Roman" w:hAnsi="Times New Roman" w:eastAsia="Times New Roman" w:cs="Times New Roman"/>
          <w:kern w:val="0"/>
          <w:sz w:val="32"/>
          <w:szCs w:val="32"/>
        </w:rPr>
      </w:pPr>
      <w:r>
        <w:rPr>
          <w:rFonts w:ascii="仿宋_GB2312" w:hAnsi="仿宋_GB2312" w:eastAsia="仿宋_GB2312" w:cs="仿宋_GB2312"/>
          <w:kern w:val="0"/>
          <w:sz w:val="32"/>
          <w:szCs w:val="32"/>
        </w:rPr>
        <w:t>七、一般公共预算财政拨款项目支出决算明细表</w:t>
      </w:r>
    </w:p>
    <w:p>
      <w:pPr>
        <w:widowControl/>
        <w:spacing w:before="240" w:after="240"/>
        <w:jc w:val="left"/>
        <w:rPr>
          <w:rFonts w:ascii="Times New Roman" w:hAnsi="Times New Roman" w:eastAsia="Times New Roman" w:cs="Times New Roman"/>
          <w:kern w:val="0"/>
          <w:sz w:val="32"/>
          <w:szCs w:val="32"/>
        </w:rPr>
      </w:pPr>
      <w:r>
        <w:rPr>
          <w:rFonts w:ascii="仿宋_GB2312" w:hAnsi="仿宋_GB2312" w:eastAsia="仿宋_GB2312" w:cs="仿宋_GB2312"/>
          <w:kern w:val="0"/>
          <w:sz w:val="32"/>
          <w:szCs w:val="32"/>
        </w:rPr>
        <w:t>八、政府性基金预算财政拨款收入支出决算表</w:t>
      </w:r>
    </w:p>
    <w:p>
      <w:pPr>
        <w:widowControl/>
        <w:spacing w:before="240" w:after="240"/>
        <w:jc w:val="left"/>
        <w:rPr>
          <w:rFonts w:ascii="Times New Roman" w:hAnsi="Times New Roman" w:eastAsia="Times New Roman" w:cs="Times New Roman"/>
          <w:kern w:val="0"/>
          <w:sz w:val="32"/>
          <w:szCs w:val="32"/>
        </w:rPr>
      </w:pPr>
      <w:r>
        <w:rPr>
          <w:rFonts w:ascii="仿宋_GB2312" w:hAnsi="仿宋_GB2312" w:eastAsia="仿宋_GB2312" w:cs="仿宋_GB2312"/>
          <w:kern w:val="0"/>
          <w:sz w:val="32"/>
          <w:szCs w:val="32"/>
        </w:rPr>
        <w:t>九、国有资本经营预算财政拨款收入支出决算表</w:t>
      </w:r>
    </w:p>
    <w:p>
      <w:pPr>
        <w:widowControl/>
        <w:spacing w:before="240" w:after="240"/>
        <w:jc w:val="left"/>
        <w:rPr>
          <w:rFonts w:ascii="Times New Roman" w:hAnsi="Times New Roman" w:eastAsia="Times New Roman" w:cs="Times New Roman"/>
          <w:kern w:val="0"/>
          <w:sz w:val="32"/>
          <w:szCs w:val="32"/>
        </w:rPr>
      </w:pPr>
      <w:r>
        <w:rPr>
          <w:rFonts w:ascii="仿宋_GB2312" w:hAnsi="仿宋_GB2312" w:eastAsia="仿宋_GB2312" w:cs="仿宋_GB2312"/>
          <w:kern w:val="0"/>
          <w:sz w:val="32"/>
          <w:szCs w:val="32"/>
        </w:rPr>
        <w:t>十、财政拨款“三公”经费支出决算表</w:t>
      </w:r>
    </w:p>
    <w:p>
      <w:pPr>
        <w:widowControl/>
        <w:spacing w:before="240" w:after="240"/>
        <w:jc w:val="left"/>
        <w:rPr>
          <w:rFonts w:ascii="Times New Roman" w:hAnsi="Times New Roman" w:eastAsia="Times New Roman" w:cs="Times New Roman"/>
          <w:kern w:val="0"/>
          <w:sz w:val="32"/>
          <w:szCs w:val="32"/>
        </w:rPr>
      </w:pPr>
      <w:r>
        <w:rPr>
          <w:rFonts w:ascii="仿宋_GB2312" w:hAnsi="仿宋_GB2312" w:eastAsia="仿宋_GB2312" w:cs="仿宋_GB2312"/>
          <w:kern w:val="0"/>
          <w:sz w:val="32"/>
          <w:szCs w:val="32"/>
        </w:rPr>
        <w:t>十一、机关运行经费支出、国有资产占用情况及政府采购支出信息表</w:t>
      </w:r>
    </w:p>
    <w:p>
      <w:pPr>
        <w:spacing w:line="360" w:lineRule="auto"/>
        <w:jc w:val="center"/>
        <w:rPr>
          <w:rFonts w:ascii="宋体" w:hAnsi="宋体"/>
          <w:sz w:val="24"/>
        </w:rPr>
      </w:pPr>
    </w:p>
    <w:p>
      <w:pPr>
        <w:spacing w:line="360" w:lineRule="auto"/>
        <w:jc w:val="center"/>
        <w:rPr>
          <w:rFonts w:ascii="宋体" w:hAnsi="宋体"/>
          <w:sz w:val="24"/>
        </w:rPr>
      </w:pPr>
    </w:p>
    <w:p>
      <w:pPr>
        <w:pStyle w:val="7"/>
        <w:keepNext w:val="0"/>
        <w:keepLines w:val="0"/>
        <w:widowControl/>
        <w:spacing w:before="299" w:after="299" w:line="240" w:lineRule="auto"/>
        <w:jc w:val="center"/>
        <w:rPr>
          <w:rFonts w:ascii="fang_zheng_xiao_biao_song_ti" w:hAnsi="fang_zheng_xiao_biao_song_ti" w:eastAsia="fang_zheng_xiao_biao_song_ti" w:cs="fang_zheng_xiao_biao_song_ti"/>
          <w:kern w:val="0"/>
          <w:sz w:val="36"/>
          <w:szCs w:val="36"/>
        </w:rPr>
      </w:pPr>
      <w:bookmarkStart w:id="0" w:name="a000"/>
    </w:p>
    <w:p>
      <w:pPr>
        <w:pStyle w:val="7"/>
        <w:keepNext w:val="0"/>
        <w:keepLines w:val="0"/>
        <w:widowControl/>
        <w:spacing w:before="299" w:after="299" w:line="240" w:lineRule="auto"/>
        <w:jc w:val="center"/>
        <w:rPr>
          <w:rFonts w:ascii="fang_zheng_xiao_biao_song_ti" w:hAnsi="fang_zheng_xiao_biao_song_ti" w:eastAsia="fang_zheng_xiao_biao_song_ti" w:cs="fang_zheng_xiao_biao_song_ti"/>
          <w:kern w:val="0"/>
          <w:sz w:val="36"/>
          <w:szCs w:val="36"/>
        </w:rPr>
      </w:pPr>
    </w:p>
    <w:p>
      <w:pPr>
        <w:pStyle w:val="7"/>
        <w:keepNext w:val="0"/>
        <w:keepLines w:val="0"/>
        <w:widowControl/>
        <w:spacing w:before="299" w:after="299" w:line="240" w:lineRule="auto"/>
        <w:jc w:val="center"/>
        <w:rPr>
          <w:rFonts w:ascii="fang_zheng_xiao_biao_song_ti" w:hAnsi="fang_zheng_xiao_biao_song_ti" w:eastAsia="fang_zheng_xiao_biao_song_ti" w:cs="fang_zheng_xiao_biao_song_ti"/>
          <w:kern w:val="0"/>
          <w:sz w:val="36"/>
          <w:szCs w:val="36"/>
        </w:rPr>
      </w:pPr>
    </w:p>
    <w:p>
      <w:pPr>
        <w:pStyle w:val="7"/>
        <w:keepNext w:val="0"/>
        <w:keepLines w:val="0"/>
        <w:widowControl/>
        <w:spacing w:before="299" w:after="299" w:line="240" w:lineRule="auto"/>
        <w:jc w:val="center"/>
        <w:rPr>
          <w:rFonts w:ascii="fang_zheng_xiao_biao_song_ti" w:hAnsi="fang_zheng_xiao_biao_song_ti" w:eastAsia="fang_zheng_xiao_biao_song_ti" w:cs="fang_zheng_xiao_biao_song_ti"/>
          <w:kern w:val="0"/>
          <w:sz w:val="36"/>
          <w:szCs w:val="36"/>
        </w:rPr>
      </w:pPr>
    </w:p>
    <w:p>
      <w:pPr>
        <w:pStyle w:val="7"/>
        <w:keepNext w:val="0"/>
        <w:keepLines w:val="0"/>
        <w:widowControl/>
        <w:spacing w:before="299" w:after="299" w:line="240" w:lineRule="auto"/>
        <w:jc w:val="center"/>
        <w:rPr>
          <w:rFonts w:ascii="fang_zheng_xiao_biao_song_ti" w:hAnsi="fang_zheng_xiao_biao_song_ti" w:eastAsia="fang_zheng_xiao_biao_song_ti" w:cs="fang_zheng_xiao_biao_song_ti"/>
          <w:kern w:val="0"/>
          <w:sz w:val="36"/>
          <w:szCs w:val="36"/>
        </w:rPr>
      </w:pPr>
    </w:p>
    <w:p>
      <w:pPr>
        <w:pStyle w:val="7"/>
        <w:keepNext w:val="0"/>
        <w:keepLines w:val="0"/>
        <w:widowControl/>
        <w:spacing w:before="299" w:after="299" w:line="240" w:lineRule="auto"/>
        <w:jc w:val="center"/>
        <w:rPr>
          <w:rFonts w:ascii="fang_zheng_xiao_biao_song_ti" w:hAnsi="fang_zheng_xiao_biao_song_ti" w:eastAsia="fang_zheng_xiao_biao_song_ti" w:cs="fang_zheng_xiao_biao_song_ti"/>
          <w:kern w:val="0"/>
          <w:sz w:val="36"/>
          <w:szCs w:val="36"/>
        </w:rPr>
      </w:pPr>
    </w:p>
    <w:p>
      <w:pPr>
        <w:pStyle w:val="7"/>
        <w:keepNext w:val="0"/>
        <w:keepLines w:val="0"/>
        <w:widowControl/>
        <w:spacing w:before="299" w:after="299" w:line="240" w:lineRule="auto"/>
        <w:jc w:val="center"/>
        <w:rPr>
          <w:rFonts w:ascii="fang_zheng_xiao_biao_song_ti" w:hAnsi="fang_zheng_xiao_biao_song_ti" w:eastAsia="fang_zheng_xiao_biao_song_ti" w:cs="fang_zheng_xiao_biao_song_ti"/>
          <w:kern w:val="0"/>
          <w:sz w:val="36"/>
          <w:szCs w:val="36"/>
        </w:rPr>
      </w:pPr>
    </w:p>
    <w:p>
      <w:pPr>
        <w:pStyle w:val="7"/>
        <w:keepNext w:val="0"/>
        <w:keepLines w:val="0"/>
        <w:widowControl/>
        <w:spacing w:before="299" w:after="299" w:line="240" w:lineRule="auto"/>
        <w:jc w:val="center"/>
        <w:rPr>
          <w:rFonts w:ascii="fang_zheng_xiao_biao_song_ti" w:hAnsi="fang_zheng_xiao_biao_song_ti" w:eastAsia="fang_zheng_xiao_biao_song_ti" w:cs="fang_zheng_xiao_biao_song_ti"/>
          <w:kern w:val="0"/>
          <w:sz w:val="36"/>
          <w:szCs w:val="36"/>
        </w:rPr>
      </w:pPr>
    </w:p>
    <w:p>
      <w:pPr>
        <w:pStyle w:val="7"/>
        <w:keepNext w:val="0"/>
        <w:keepLines w:val="0"/>
        <w:widowControl/>
        <w:spacing w:before="299" w:after="299" w:line="240" w:lineRule="auto"/>
        <w:jc w:val="center"/>
        <w:rPr>
          <w:rFonts w:hint="eastAsia" w:asciiTheme="majorEastAsia" w:hAnsiTheme="majorEastAsia" w:eastAsiaTheme="majorEastAsia" w:cstheme="majorEastAsia"/>
          <w:kern w:val="0"/>
          <w:sz w:val="44"/>
          <w:szCs w:val="44"/>
        </w:rPr>
      </w:pPr>
      <w:r>
        <w:rPr>
          <w:rFonts w:hint="eastAsia" w:asciiTheme="majorEastAsia" w:hAnsiTheme="majorEastAsia" w:eastAsiaTheme="majorEastAsia" w:cstheme="majorEastAsia"/>
          <w:kern w:val="0"/>
          <w:sz w:val="44"/>
          <w:szCs w:val="44"/>
        </w:rPr>
        <w:t>第一部分 单位概况</w:t>
      </w:r>
    </w:p>
    <w:p>
      <w:pPr>
        <w:pStyle w:val="7"/>
        <w:keepNext w:val="0"/>
        <w:keepLines w:val="0"/>
        <w:widowControl/>
        <w:spacing w:before="299" w:after="299" w:line="240" w:lineRule="auto"/>
        <w:ind w:firstLine="643" w:firstLineChars="200"/>
        <w:jc w:val="both"/>
        <w:rPr>
          <w:rFonts w:ascii="黑体" w:hAnsi="黑体" w:eastAsia="黑体" w:cs="黑体"/>
          <w:b/>
          <w:bCs/>
          <w:kern w:val="0"/>
          <w:sz w:val="32"/>
          <w:szCs w:val="32"/>
        </w:rPr>
      </w:pPr>
      <w:r>
        <w:rPr>
          <w:rFonts w:ascii="黑体" w:hAnsi="黑体" w:eastAsia="黑体" w:cs="黑体"/>
          <w:b/>
          <w:bCs/>
          <w:kern w:val="0"/>
          <w:sz w:val="32"/>
          <w:szCs w:val="32"/>
        </w:rPr>
        <w:t>一、主要职能、职责</w:t>
      </w:r>
    </w:p>
    <w:p>
      <w:pPr>
        <w:pStyle w:val="7"/>
        <w:keepNext w:val="0"/>
        <w:keepLines w:val="0"/>
        <w:pageBreakBefore w:val="0"/>
        <w:widowControl/>
        <w:kinsoku/>
        <w:wordWrap/>
        <w:overflowPunct/>
        <w:topLinePunct w:val="0"/>
        <w:autoSpaceDE/>
        <w:autoSpaceDN/>
        <w:bidi w:val="0"/>
        <w:adjustRightInd/>
        <w:snapToGrid/>
        <w:spacing w:before="0" w:after="0" w:line="240" w:lineRule="auto"/>
        <w:ind w:firstLine="640" w:firstLineChars="200"/>
        <w:jc w:val="both"/>
        <w:textAlignment w:val="auto"/>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rPr>
        <w:t>赤峰市艺术剧院（赤峰市乌兰牧骑）为赤峰市文化和旅游局所属副处级公益一类事业单位。</w:t>
      </w:r>
    </w:p>
    <w:p>
      <w:pPr>
        <w:keepNext w:val="0"/>
        <w:keepLines w:val="0"/>
        <w:pageBreakBefore w:val="0"/>
        <w:widowControl/>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职责为：</w:t>
      </w:r>
    </w:p>
    <w:p>
      <w:pPr>
        <w:keepNext w:val="0"/>
        <w:keepLines w:val="0"/>
        <w:pageBreakBefore w:val="0"/>
        <w:widowControl/>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（一）宣传党的路线、方针、政策，弘扬中华优秀传统文化，铸牢中华民族共同体意识。</w:t>
      </w:r>
    </w:p>
    <w:p>
      <w:pPr>
        <w:keepNext w:val="0"/>
        <w:keepLines w:val="0"/>
        <w:pageBreakBefore w:val="0"/>
        <w:widowControl/>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（二）传承和弘扬乌兰牧骑精神，开展公益文化惠民演出、创作、辅导、服务、创新、保护传承优秀传统文化和对外文化交流等工作。</w:t>
      </w:r>
    </w:p>
    <w:p>
      <w:pPr>
        <w:keepNext w:val="0"/>
        <w:keepLines w:val="0"/>
        <w:pageBreakBefore w:val="0"/>
        <w:widowControl/>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（三）深入基层开展综合服务活动，用多种文化艺术形式宣传党的方针政策和国家法律法规。</w:t>
      </w:r>
    </w:p>
    <w:p>
      <w:pPr>
        <w:keepNext w:val="0"/>
        <w:keepLines w:val="0"/>
        <w:pageBreakBefore w:val="0"/>
        <w:widowControl/>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（四）继承弘扬赤峰传统艺术特色，繁荣发展歌舞、器乐和话剧、京剧等舞台艺术形式。</w:t>
      </w:r>
    </w:p>
    <w:p>
      <w:pPr>
        <w:keepNext w:val="0"/>
        <w:keepLines w:val="0"/>
        <w:pageBreakBefore w:val="0"/>
        <w:widowControl/>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（五）完成市委市政府、市文化和旅游局交办的其他任务。</w:t>
      </w:r>
    </w:p>
    <w:p>
      <w:pPr>
        <w:widowControl/>
        <w:spacing w:before="240" w:after="240"/>
        <w:ind w:firstLine="643" w:firstLineChars="200"/>
        <w:jc w:val="left"/>
        <w:rPr>
          <w:rFonts w:ascii="黑体" w:hAnsi="黑体" w:eastAsia="黑体" w:cs="黑体"/>
          <w:b/>
          <w:bCs/>
          <w:kern w:val="0"/>
          <w:sz w:val="32"/>
          <w:szCs w:val="32"/>
        </w:rPr>
      </w:pPr>
      <w:r>
        <w:rPr>
          <w:rFonts w:ascii="黑体" w:hAnsi="黑体" w:eastAsia="黑体" w:cs="黑体"/>
          <w:b/>
          <w:bCs/>
          <w:kern w:val="0"/>
          <w:sz w:val="32"/>
          <w:szCs w:val="32"/>
        </w:rPr>
        <w:t>二、单位机构设置及决算单位构成情况</w:t>
      </w:r>
    </w:p>
    <w:p>
      <w:pPr>
        <w:keepNext w:val="0"/>
        <w:keepLines w:val="0"/>
        <w:pageBreakBefore w:val="0"/>
        <w:widowControl/>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根据单位职责分工，本单位内设机构包括</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办公室、财</w:t>
      </w:r>
    </w:p>
    <w:p>
      <w:pPr>
        <w:keepNext w:val="0"/>
        <w:keepLines w:val="0"/>
        <w:pageBreakBefore w:val="0"/>
        <w:widowControl/>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务科、创作中心、舞美中心、培训中心、歌舞团、民乐团。本单</w:t>
      </w:r>
    </w:p>
    <w:p>
      <w:pPr>
        <w:keepNext w:val="0"/>
        <w:keepLines w:val="0"/>
        <w:pageBreakBefore w:val="0"/>
        <w:widowControl/>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无下属单位</w:t>
      </w:r>
      <w:r>
        <w:rPr>
          <w:rFonts w:hint="eastAsia" w:ascii="仿宋_GB2312" w:hAnsi="仿宋_GB2312" w:eastAsia="仿宋_GB2312" w:cs="仿宋_GB2312"/>
          <w:kern w:val="0"/>
          <w:sz w:val="32"/>
          <w:szCs w:val="32"/>
          <w:lang w:eastAsia="zh-CN"/>
        </w:rPr>
        <w:t>。</w:t>
      </w:r>
    </w:p>
    <w:p>
      <w:pPr>
        <w:keepNext w:val="0"/>
        <w:keepLines w:val="0"/>
        <w:pageBreakBefore w:val="0"/>
        <w:widowControl/>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从决算单位构成看，纳入本单位决算编制范围的预算单位共计</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家，具体包括：赤峰市艺术剧院（赤峰市乌兰牧骑）。详细情况见表：</w:t>
      </w:r>
    </w:p>
    <w:tbl>
      <w:tblPr>
        <w:tblStyle w:val="24"/>
        <w:tblpPr w:leftFromText="180" w:rightFromText="180" w:vertAnchor="text" w:horzAnchor="page" w:tblpX="1544" w:tblpY="216"/>
        <w:tblOverlap w:val="never"/>
        <w:tblW w:w="8610" w:type="dxa"/>
        <w:tblInd w:w="0" w:type="dxa"/>
        <w:tblLayout w:type="fixed"/>
        <w:tblCellMar>
          <w:top w:w="15" w:type="dxa"/>
          <w:left w:w="15" w:type="dxa"/>
          <w:bottom w:w="15" w:type="dxa"/>
          <w:right w:w="15" w:type="dxa"/>
        </w:tblCellMar>
      </w:tblPr>
      <w:tblGrid>
        <w:gridCol w:w="885"/>
        <w:gridCol w:w="5026"/>
        <w:gridCol w:w="2699"/>
      </w:tblGrid>
      <w:tr>
        <w:tblPrEx>
          <w:tblCellMar>
            <w:top w:w="15" w:type="dxa"/>
            <w:left w:w="15" w:type="dxa"/>
            <w:bottom w:w="15" w:type="dxa"/>
            <w:right w:w="15" w:type="dxa"/>
          </w:tblCellMar>
        </w:tblPrEx>
        <w:trPr>
          <w:trHeight w:val="1155" w:hRule="atLeast"/>
          <w:tblHeader/>
        </w:trPr>
        <w:tc>
          <w:tcPr>
            <w:tcW w:w="885"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pPr>
              <w:widowControl/>
              <w:jc w:val="center"/>
              <w:rPr>
                <w:rFonts w:hint="eastAsia" w:ascii="仿宋_GB2312" w:hAnsi="仿宋_GB2312" w:eastAsia="仿宋_GB2312" w:cs="仿宋_GB2312"/>
                <w:b/>
                <w:bCs/>
                <w:i w:val="0"/>
                <w:iCs w:val="0"/>
                <w:smallCaps w:val="0"/>
                <w:color w:val="000000"/>
                <w:kern w:val="0"/>
                <w:sz w:val="32"/>
                <w:szCs w:val="32"/>
              </w:rPr>
            </w:pPr>
            <w:r>
              <w:rPr>
                <w:rFonts w:hint="eastAsia" w:ascii="仿宋_GB2312" w:hAnsi="仿宋_GB2312" w:eastAsia="仿宋_GB2312" w:cs="仿宋_GB2312"/>
                <w:b/>
                <w:bCs/>
                <w:i w:val="0"/>
                <w:iCs w:val="0"/>
                <w:smallCaps w:val="0"/>
                <w:color w:val="000000"/>
                <w:kern w:val="0"/>
                <w:sz w:val="32"/>
                <w:szCs w:val="32"/>
              </w:rPr>
              <w:t>序号</w:t>
            </w:r>
          </w:p>
        </w:tc>
        <w:tc>
          <w:tcPr>
            <w:tcW w:w="5026"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pPr>
              <w:widowControl/>
              <w:jc w:val="center"/>
              <w:rPr>
                <w:rFonts w:hint="eastAsia" w:ascii="仿宋_GB2312" w:hAnsi="仿宋_GB2312" w:eastAsia="仿宋_GB2312" w:cs="仿宋_GB2312"/>
                <w:b/>
                <w:bCs/>
                <w:i w:val="0"/>
                <w:iCs w:val="0"/>
                <w:smallCaps w:val="0"/>
                <w:color w:val="000000"/>
                <w:kern w:val="0"/>
                <w:sz w:val="32"/>
                <w:szCs w:val="32"/>
              </w:rPr>
            </w:pPr>
            <w:r>
              <w:rPr>
                <w:rFonts w:hint="eastAsia" w:ascii="仿宋_GB2312" w:hAnsi="仿宋_GB2312" w:eastAsia="仿宋_GB2312" w:cs="仿宋_GB2312"/>
                <w:b/>
                <w:bCs/>
                <w:i w:val="0"/>
                <w:iCs w:val="0"/>
                <w:smallCaps w:val="0"/>
                <w:color w:val="000000"/>
                <w:kern w:val="0"/>
                <w:sz w:val="32"/>
                <w:szCs w:val="32"/>
              </w:rPr>
              <w:t>单位名称</w:t>
            </w:r>
          </w:p>
        </w:tc>
        <w:tc>
          <w:tcPr>
            <w:tcW w:w="2699"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pPr>
              <w:widowControl/>
              <w:jc w:val="center"/>
              <w:rPr>
                <w:rFonts w:hint="eastAsia" w:ascii="仿宋_GB2312" w:hAnsi="仿宋_GB2312" w:eastAsia="仿宋_GB2312" w:cs="仿宋_GB2312"/>
                <w:b/>
                <w:bCs/>
                <w:i w:val="0"/>
                <w:iCs w:val="0"/>
                <w:smallCaps w:val="0"/>
                <w:color w:val="000000"/>
                <w:kern w:val="0"/>
                <w:sz w:val="32"/>
                <w:szCs w:val="32"/>
              </w:rPr>
            </w:pPr>
            <w:r>
              <w:rPr>
                <w:rFonts w:hint="eastAsia" w:ascii="仿宋_GB2312" w:hAnsi="仿宋_GB2312" w:eastAsia="仿宋_GB2312" w:cs="仿宋_GB2312"/>
                <w:b/>
                <w:bCs/>
                <w:i w:val="0"/>
                <w:iCs w:val="0"/>
                <w:smallCaps w:val="0"/>
                <w:color w:val="000000"/>
                <w:kern w:val="0"/>
                <w:sz w:val="32"/>
                <w:szCs w:val="32"/>
              </w:rPr>
              <w:t>单位性质</w:t>
            </w:r>
          </w:p>
        </w:tc>
      </w:tr>
      <w:tr>
        <w:tblPrEx>
          <w:tblCellMar>
            <w:top w:w="15" w:type="dxa"/>
            <w:left w:w="15" w:type="dxa"/>
            <w:bottom w:w="15" w:type="dxa"/>
            <w:right w:w="15" w:type="dxa"/>
          </w:tblCellMar>
        </w:tblPrEx>
        <w:trPr>
          <w:trHeight w:val="1162" w:hRule="atLeast"/>
        </w:trPr>
        <w:tc>
          <w:tcPr>
            <w:tcW w:w="885"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pPr>
              <w:widowControl/>
              <w:jc w:val="center"/>
              <w:rPr>
                <w:rFonts w:hint="eastAsia" w:ascii="仿宋_GB2312" w:hAnsi="仿宋_GB2312" w:eastAsia="仿宋_GB2312" w:cs="仿宋_GB2312"/>
                <w:b w:val="0"/>
                <w:bCs w:val="0"/>
                <w:i w:val="0"/>
                <w:iCs w:val="0"/>
                <w:smallCaps w:val="0"/>
                <w:color w:val="000000"/>
                <w:kern w:val="0"/>
                <w:sz w:val="32"/>
                <w:szCs w:val="32"/>
              </w:rPr>
            </w:pPr>
            <w:r>
              <w:rPr>
                <w:rFonts w:hint="eastAsia" w:ascii="仿宋_GB2312" w:hAnsi="仿宋_GB2312" w:eastAsia="仿宋_GB2312" w:cs="仿宋_GB2312"/>
                <w:b w:val="0"/>
                <w:bCs w:val="0"/>
                <w:i w:val="0"/>
                <w:iCs w:val="0"/>
                <w:smallCaps w:val="0"/>
                <w:color w:val="000000"/>
                <w:kern w:val="0"/>
                <w:sz w:val="32"/>
                <w:szCs w:val="32"/>
              </w:rPr>
              <w:t>1</w:t>
            </w:r>
          </w:p>
        </w:tc>
        <w:tc>
          <w:tcPr>
            <w:tcW w:w="5026"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pPr>
              <w:widowControl/>
              <w:jc w:val="center"/>
              <w:rPr>
                <w:rFonts w:hint="eastAsia" w:ascii="仿宋_GB2312" w:hAnsi="仿宋_GB2312" w:eastAsia="仿宋_GB2312" w:cs="仿宋_GB2312"/>
                <w:b w:val="0"/>
                <w:bCs w:val="0"/>
                <w:i w:val="0"/>
                <w:iCs w:val="0"/>
                <w:smallCaps w:val="0"/>
                <w:color w:val="000000"/>
                <w:kern w:val="0"/>
                <w:sz w:val="32"/>
                <w:szCs w:val="32"/>
              </w:rPr>
            </w:pPr>
            <w:r>
              <w:rPr>
                <w:rFonts w:hint="eastAsia" w:ascii="仿宋_GB2312" w:hAnsi="仿宋_GB2312" w:eastAsia="仿宋_GB2312" w:cs="仿宋_GB2312"/>
                <w:b w:val="0"/>
                <w:bCs w:val="0"/>
                <w:i w:val="0"/>
                <w:iCs w:val="0"/>
                <w:smallCaps w:val="0"/>
                <w:color w:val="000000"/>
                <w:kern w:val="0"/>
                <w:sz w:val="32"/>
                <w:szCs w:val="32"/>
              </w:rPr>
              <w:t>赤峰市艺术院（赤峰市乌兰牧骑）</w:t>
            </w:r>
          </w:p>
        </w:tc>
        <w:tc>
          <w:tcPr>
            <w:tcW w:w="2699"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pPr>
              <w:widowControl/>
              <w:jc w:val="center"/>
              <w:rPr>
                <w:rFonts w:hint="eastAsia" w:ascii="仿宋_GB2312" w:hAnsi="仿宋_GB2312" w:eastAsia="仿宋_GB2312" w:cs="仿宋_GB2312"/>
                <w:b w:val="0"/>
                <w:bCs w:val="0"/>
                <w:i w:val="0"/>
                <w:iCs w:val="0"/>
                <w:smallCaps w:val="0"/>
                <w:color w:val="000000"/>
                <w:kern w:val="0"/>
                <w:sz w:val="32"/>
                <w:szCs w:val="32"/>
              </w:rPr>
            </w:pPr>
            <w:r>
              <w:rPr>
                <w:rFonts w:hint="eastAsia" w:ascii="仿宋_GB2312" w:hAnsi="仿宋_GB2312" w:eastAsia="仿宋_GB2312" w:cs="仿宋_GB2312"/>
                <w:b w:val="0"/>
                <w:bCs w:val="0"/>
                <w:i w:val="0"/>
                <w:iCs w:val="0"/>
                <w:smallCaps w:val="0"/>
                <w:color w:val="000000"/>
                <w:kern w:val="0"/>
                <w:sz w:val="32"/>
                <w:szCs w:val="32"/>
              </w:rPr>
              <w:t>公益一类事业单位</w:t>
            </w:r>
          </w:p>
        </w:tc>
      </w:tr>
    </w:tbl>
    <w:p>
      <w:pPr>
        <w:widowControl/>
        <w:spacing w:before="240" w:after="240"/>
        <w:ind w:firstLine="643" w:firstLineChars="200"/>
        <w:jc w:val="left"/>
        <w:rPr>
          <w:rFonts w:ascii="Times New Roman" w:hAnsi="Times New Roman" w:eastAsia="Times New Roman" w:cs="Times New Roman"/>
          <w:kern w:val="0"/>
          <w:sz w:val="32"/>
          <w:szCs w:val="32"/>
        </w:rPr>
      </w:pPr>
      <w:r>
        <w:rPr>
          <w:rFonts w:ascii="黑体" w:hAnsi="黑体" w:eastAsia="黑体" w:cs="黑体"/>
          <w:b/>
          <w:bCs/>
          <w:kern w:val="0"/>
          <w:sz w:val="32"/>
          <w:szCs w:val="32"/>
        </w:rPr>
        <w:t>三、202</w:t>
      </w:r>
      <w:r>
        <w:rPr>
          <w:rFonts w:hint="eastAsia" w:ascii="黑体" w:hAnsi="黑体" w:eastAsia="黑体" w:cs="黑体"/>
          <w:b/>
          <w:bCs/>
          <w:kern w:val="0"/>
          <w:sz w:val="32"/>
          <w:szCs w:val="32"/>
          <w:lang w:val="en-US" w:eastAsia="zh-CN"/>
        </w:rPr>
        <w:t>5</w:t>
      </w:r>
      <w:r>
        <w:rPr>
          <w:rFonts w:ascii="黑体" w:hAnsi="黑体" w:eastAsia="黑体" w:cs="黑体"/>
          <w:b/>
          <w:bCs/>
          <w:kern w:val="0"/>
          <w:sz w:val="32"/>
          <w:szCs w:val="32"/>
        </w:rPr>
        <w:t>年度单位主要工作完成情况</w:t>
      </w:r>
    </w:p>
    <w:p>
      <w:pPr>
        <w:keepNext w:val="0"/>
        <w:keepLines w:val="0"/>
        <w:pageBreakBefore w:val="0"/>
        <w:widowControl/>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2025年，赤峰市艺术剧院（赤峰市乌兰牧骑）始终以习近平新时代中国特色社会主义思想为指导，深入学习贯彻党的二十</w:t>
      </w:r>
      <w:r>
        <w:rPr>
          <w:rFonts w:hint="eastAsia" w:ascii="仿宋_GB2312" w:hAnsi="仿宋_GB2312" w:eastAsia="仿宋_GB2312" w:cs="仿宋_GB2312"/>
          <w:kern w:val="0"/>
          <w:sz w:val="32"/>
          <w:szCs w:val="32"/>
          <w:lang w:val="en-US" w:eastAsia="zh-CN"/>
        </w:rPr>
        <w:t>届四中</w:t>
      </w:r>
      <w:r>
        <w:rPr>
          <w:rFonts w:hint="eastAsia" w:ascii="仿宋_GB2312" w:hAnsi="仿宋_GB2312" w:eastAsia="仿宋_GB2312" w:cs="仿宋_GB2312"/>
          <w:kern w:val="0"/>
          <w:sz w:val="32"/>
          <w:szCs w:val="32"/>
        </w:rPr>
        <w:t>精神及习近平总书记关于文艺工作、内蒙古工作的重要论述，牢牢把握“举旗帜、聚民心、育新人、兴文化、展形象”的使命任务，坚守“红色文艺轻骑兵”初心使命，在政治建设、艺术创作、惠民服务、改革发展等方面精准发力，圆满完成年度各项工作任务。现将全年工作情况总结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eastAsia="zh-CN"/>
        </w:rPr>
        <w:t>（</w:t>
      </w:r>
      <w:r>
        <w:rPr>
          <w:rFonts w:hint="eastAsia" w:ascii="黑体" w:hAnsi="黑体" w:eastAsia="黑体" w:cs="黑体"/>
          <w:sz w:val="32"/>
          <w:szCs w:val="32"/>
          <w:lang w:val="en-US" w:eastAsia="zh-CN"/>
        </w:rPr>
        <w:t>一</w:t>
      </w:r>
      <w:r>
        <w:rPr>
          <w:rFonts w:hint="eastAsia" w:ascii="黑体" w:hAnsi="黑体" w:eastAsia="黑体" w:cs="黑体"/>
          <w:sz w:val="32"/>
          <w:szCs w:val="32"/>
          <w:lang w:eastAsia="zh-CN"/>
        </w:rPr>
        <w:t>）</w:t>
      </w:r>
      <w:r>
        <w:rPr>
          <w:rFonts w:hint="eastAsia" w:ascii="黑体" w:hAnsi="黑体" w:eastAsia="黑体" w:cs="黑体"/>
          <w:sz w:val="32"/>
          <w:szCs w:val="32"/>
          <w:lang w:val="en-US" w:eastAsia="zh-CN"/>
        </w:rPr>
        <w:t>紧抓思想政治建设“生命线”，踔厉奋发，行稳致远</w:t>
      </w:r>
    </w:p>
    <w:p>
      <w:pPr>
        <w:keepNext w:val="0"/>
        <w:keepLines w:val="0"/>
        <w:pageBreakBefore w:val="0"/>
        <w:widowControl/>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始终把政治建设摆在首位，持续强化理论武装、筑牢信仰根基，确保文艺事业发展正确政治方向。</w:t>
      </w:r>
    </w:p>
    <w:p>
      <w:pPr>
        <w:keepNext w:val="0"/>
        <w:keepLines w:val="0"/>
        <w:pageBreakBefore w:val="0"/>
        <w:widowControl/>
        <w:kinsoku/>
        <w:wordWrap/>
        <w:overflowPunct/>
        <w:topLinePunct w:val="0"/>
        <w:autoSpaceDE/>
        <w:autoSpaceDN/>
        <w:bidi w:val="0"/>
        <w:adjustRightInd/>
        <w:snapToGrid/>
        <w:ind w:firstLine="643" w:firstLineChars="200"/>
        <w:jc w:val="left"/>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b/>
          <w:bCs/>
          <w:kern w:val="0"/>
          <w:sz w:val="32"/>
          <w:szCs w:val="32"/>
          <w:lang w:val="en-US" w:eastAsia="zh-CN"/>
        </w:rPr>
        <w:t>1、深化理论武装，凝聚思想共识。</w:t>
      </w:r>
      <w:r>
        <w:rPr>
          <w:rFonts w:hint="eastAsia" w:ascii="仿宋_GB2312" w:hAnsi="仿宋_GB2312" w:eastAsia="仿宋_GB2312" w:cs="仿宋_GB2312"/>
          <w:kern w:val="0"/>
          <w:sz w:val="32"/>
          <w:szCs w:val="32"/>
        </w:rPr>
        <w:t>构建“多维学习体系”，严格落实“第一议题”制度，通过党委理论学习中心组领学、支部每周“理论学习日”、党员领学等形式，深入学习习近平新时代中国特色社会主义思想、党的</w:t>
      </w:r>
      <w:r>
        <w:rPr>
          <w:rFonts w:hint="eastAsia" w:ascii="仿宋_GB2312" w:hAnsi="仿宋_GB2312" w:eastAsia="仿宋_GB2312" w:cs="仿宋_GB2312"/>
          <w:kern w:val="0"/>
          <w:sz w:val="32"/>
          <w:szCs w:val="32"/>
          <w:lang w:val="en-US" w:eastAsia="zh-CN"/>
        </w:rPr>
        <w:t>二十届三中、四中全会</w:t>
      </w:r>
      <w:r>
        <w:rPr>
          <w:rFonts w:hint="eastAsia" w:ascii="仿宋_GB2312" w:hAnsi="仿宋_GB2312" w:eastAsia="仿宋_GB2312" w:cs="仿宋_GB2312"/>
          <w:kern w:val="0"/>
          <w:sz w:val="32"/>
          <w:szCs w:val="32"/>
        </w:rPr>
        <w:t>精神及习近平总书记给内蒙古乌兰牧骑队员回信重要精神，全年开展集中学习</w:t>
      </w:r>
      <w:r>
        <w:rPr>
          <w:rFonts w:hint="eastAsia" w:ascii="仿宋_GB2312" w:hAnsi="仿宋_GB2312" w:eastAsia="仿宋_GB2312" w:cs="仿宋_GB2312"/>
          <w:kern w:val="0"/>
          <w:sz w:val="32"/>
          <w:szCs w:val="32"/>
          <w:lang w:val="en-US" w:eastAsia="zh-CN"/>
        </w:rPr>
        <w:t>40</w:t>
      </w:r>
      <w:r>
        <w:rPr>
          <w:rFonts w:hint="eastAsia" w:ascii="仿宋_GB2312" w:hAnsi="仿宋_GB2312" w:eastAsia="仿宋_GB2312" w:cs="仿宋_GB2312"/>
          <w:kern w:val="0"/>
          <w:sz w:val="32"/>
          <w:szCs w:val="32"/>
        </w:rPr>
        <w:t>次、专题研讨</w:t>
      </w:r>
      <w:r>
        <w:rPr>
          <w:rFonts w:hint="eastAsia" w:ascii="仿宋_GB2312" w:hAnsi="仿宋_GB2312" w:eastAsia="仿宋_GB2312" w:cs="仿宋_GB2312"/>
          <w:kern w:val="0"/>
          <w:sz w:val="32"/>
          <w:szCs w:val="32"/>
          <w:lang w:val="en-US" w:eastAsia="zh-CN"/>
        </w:rPr>
        <w:t>15</w:t>
      </w:r>
      <w:r>
        <w:rPr>
          <w:rFonts w:hint="eastAsia" w:ascii="仿宋_GB2312" w:hAnsi="仿宋_GB2312" w:eastAsia="仿宋_GB2312" w:cs="仿宋_GB2312"/>
          <w:kern w:val="0"/>
          <w:sz w:val="32"/>
          <w:szCs w:val="32"/>
        </w:rPr>
        <w:t>次。</w:t>
      </w:r>
      <w:r>
        <w:rPr>
          <w:rFonts w:hint="eastAsia" w:ascii="仿宋_GB2312" w:hAnsi="仿宋_GB2312" w:eastAsia="仿宋_GB2312" w:cs="仿宋_GB2312"/>
          <w:kern w:val="0"/>
          <w:sz w:val="32"/>
          <w:szCs w:val="32"/>
          <w:lang w:val="en-US" w:eastAsia="zh-CN"/>
        </w:rPr>
        <w:t>持续巩固拓展中央八项规定精神学习成果，</w:t>
      </w:r>
      <w:r>
        <w:rPr>
          <w:rFonts w:hint="eastAsia" w:ascii="仿宋_GB2312" w:hAnsi="仿宋_GB2312" w:eastAsia="仿宋_GB2312" w:cs="仿宋_GB2312"/>
          <w:kern w:val="0"/>
          <w:sz w:val="32"/>
          <w:szCs w:val="32"/>
        </w:rPr>
        <w:t>严格落实新时代党的建设总要求，坚持把党的政治建设摆在首位</w:t>
      </w:r>
      <w:r>
        <w:rPr>
          <w:rFonts w:hint="eastAsia" w:ascii="仿宋_GB2312" w:hAnsi="仿宋_GB2312" w:eastAsia="仿宋_GB2312" w:cs="仿宋_GB2312"/>
          <w:kern w:val="0"/>
          <w:sz w:val="32"/>
          <w:szCs w:val="32"/>
          <w:lang w:eastAsia="zh-CN"/>
        </w:rPr>
        <w:t>。</w:t>
      </w:r>
    </w:p>
    <w:p>
      <w:pPr>
        <w:keepNext w:val="0"/>
        <w:keepLines w:val="0"/>
        <w:pageBreakBefore w:val="0"/>
        <w:widowControl/>
        <w:kinsoku/>
        <w:wordWrap/>
        <w:overflowPunct/>
        <w:topLinePunct w:val="0"/>
        <w:autoSpaceDE/>
        <w:autoSpaceDN/>
        <w:bidi w:val="0"/>
        <w:adjustRightInd/>
        <w:snapToGrid/>
        <w:ind w:firstLine="643"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lang w:val="en-US" w:eastAsia="zh-CN"/>
        </w:rPr>
        <w:t>2、强化政治引领，筑牢忠诚根基。</w:t>
      </w:r>
      <w:r>
        <w:rPr>
          <w:rFonts w:hint="eastAsia" w:ascii="仿宋_GB2312" w:hAnsi="仿宋_GB2312" w:eastAsia="仿宋_GB2312" w:cs="仿宋_GB2312"/>
          <w:kern w:val="0"/>
          <w:sz w:val="32"/>
          <w:szCs w:val="32"/>
        </w:rPr>
        <w:t>深刻领悟“两个确立”的决定性意义，增强“四个意识”、坚定“四个自信”、做到“两个维护”，自觉把文艺工作融入党和国家事业大局。围绕习近平总书记</w:t>
      </w:r>
      <w:r>
        <w:rPr>
          <w:rFonts w:hint="eastAsia" w:ascii="仿宋_GB2312" w:hAnsi="仿宋_GB2312" w:eastAsia="仿宋_GB2312" w:cs="仿宋_GB2312"/>
          <w:kern w:val="0"/>
          <w:sz w:val="32"/>
          <w:szCs w:val="32"/>
          <w:lang w:eastAsia="zh"/>
        </w:rPr>
        <w:t>关于文艺方面重要讲话精神，</w:t>
      </w:r>
      <w:r>
        <w:rPr>
          <w:rFonts w:hint="eastAsia" w:ascii="仿宋_GB2312" w:hAnsi="仿宋_GB2312" w:eastAsia="仿宋_GB2312" w:cs="仿宋_GB2312"/>
          <w:kern w:val="0"/>
          <w:sz w:val="32"/>
          <w:szCs w:val="32"/>
        </w:rPr>
        <w:t>制定年度工作要点，将政治要求贯穿创作、演出、服务全过程。</w:t>
      </w:r>
      <w:r>
        <w:rPr>
          <w:rFonts w:hint="eastAsia" w:ascii="仿宋_GB2312" w:hAnsi="仿宋_GB2312" w:eastAsia="仿宋_GB2312" w:cs="仿宋_GB2312"/>
          <w:kern w:val="0"/>
          <w:sz w:val="32"/>
          <w:szCs w:val="32"/>
          <w:lang w:val="en-US" w:eastAsia="zh-CN"/>
        </w:rPr>
        <w:t>剧院党组织探索</w:t>
      </w:r>
      <w:r>
        <w:rPr>
          <w:rFonts w:hint="eastAsia" w:ascii="仿宋_GB2312" w:hAnsi="仿宋_GB2312" w:eastAsia="仿宋_GB2312" w:cs="仿宋_GB2312"/>
          <w:kern w:val="0"/>
          <w:sz w:val="32"/>
          <w:szCs w:val="32"/>
        </w:rPr>
        <w:t>以“党建引领文艺创作+演出+辅导+服务+惠民”为突破口，着力打造党建引领文艺创新发展工作品牌</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推动我院党的建设和业务工作双双提质增效。</w:t>
      </w:r>
      <w:r>
        <w:rPr>
          <w:rFonts w:hint="eastAsia" w:ascii="仿宋_GB2312" w:hAnsi="仿宋_GB2312" w:eastAsia="仿宋_GB2312" w:cs="仿宋_GB2312"/>
          <w:kern w:val="0"/>
          <w:sz w:val="32"/>
          <w:szCs w:val="32"/>
          <w:lang w:val="en-US" w:eastAsia="zh-CN"/>
        </w:rPr>
        <w:t>剧院党总支每周派出党员到市</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区机关单位和各社区</w:t>
      </w:r>
      <w:r>
        <w:rPr>
          <w:rFonts w:hint="eastAsia" w:ascii="仿宋_GB2312" w:hAnsi="仿宋_GB2312" w:eastAsia="仿宋_GB2312" w:cs="仿宋_GB2312"/>
          <w:kern w:val="0"/>
          <w:sz w:val="32"/>
          <w:szCs w:val="32"/>
        </w:rPr>
        <w:t>群众</w:t>
      </w:r>
      <w:r>
        <w:rPr>
          <w:rFonts w:hint="eastAsia" w:ascii="仿宋_GB2312" w:hAnsi="仿宋_GB2312" w:eastAsia="仿宋_GB2312" w:cs="仿宋_GB2312"/>
          <w:kern w:val="0"/>
          <w:sz w:val="32"/>
          <w:szCs w:val="32"/>
          <w:lang w:val="en-US" w:eastAsia="zh-CN"/>
        </w:rPr>
        <w:t>文艺团体开展一次文艺辅导志愿服务活动，并开拓思路，</w:t>
      </w:r>
      <w:r>
        <w:rPr>
          <w:rFonts w:hint="eastAsia" w:ascii="仿宋_GB2312" w:hAnsi="仿宋_GB2312" w:eastAsia="仿宋_GB2312" w:cs="仿宋_GB2312"/>
          <w:kern w:val="0"/>
          <w:sz w:val="32"/>
          <w:szCs w:val="32"/>
        </w:rPr>
        <w:t>创新工作形式载体，进一步锤炼党性修养，凝聚起“听党话、感党恩、跟党走”的强大合力。</w:t>
      </w:r>
    </w:p>
    <w:p>
      <w:pPr>
        <w:keepNext w:val="0"/>
        <w:keepLines w:val="0"/>
        <w:pageBreakBefore w:val="0"/>
        <w:widowControl/>
        <w:kinsoku/>
        <w:wordWrap/>
        <w:overflowPunct/>
        <w:topLinePunct w:val="0"/>
        <w:autoSpaceDE/>
        <w:autoSpaceDN/>
        <w:bidi w:val="0"/>
        <w:adjustRightInd/>
        <w:snapToGrid/>
        <w:ind w:firstLine="643"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lang w:val="en-US" w:eastAsia="zh-CN"/>
        </w:rPr>
        <w:t>3、铸牢中华民族共同体意识，厚植团结根基。</w:t>
      </w:r>
      <w:r>
        <w:rPr>
          <w:rFonts w:hint="eastAsia" w:ascii="仿宋_GB2312" w:hAnsi="仿宋_GB2312" w:eastAsia="仿宋_GB2312" w:cs="仿宋_GB2312"/>
          <w:kern w:val="0"/>
          <w:sz w:val="32"/>
          <w:szCs w:val="32"/>
        </w:rPr>
        <w:t>以文艺为纽带，深入开展“石榴花开、籽籽同心”主题文艺创作与展演活动，原创舞蹈《石榴情》</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圜韵</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龙马神韵</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等作品生动展现各民族像石榴籽一样紧紧抱在一起的深厚情谊。将民族团结进步教育融入基层演出、艺术辅导等工作，通过“文艺+宣讲”模式，在演出间隙解读党的民族政策，全年开展民族团结主题演出46场，推动中华民族共同体意识根植各族群众心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（二）坚持创作精品文艺“驱动力”，笃行实干，成绩斐然</w:t>
      </w:r>
    </w:p>
    <w:p>
      <w:pPr>
        <w:keepNext w:val="0"/>
        <w:keepLines w:val="0"/>
        <w:pageBreakBefore w:val="0"/>
        <w:widowControl/>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坚持以人民为中心的创作导向，聚焦精品创作、惠民服务、文化传播，推动艺术事业高质量发展。</w:t>
      </w:r>
    </w:p>
    <w:p>
      <w:pPr>
        <w:keepNext w:val="0"/>
        <w:keepLines w:val="0"/>
        <w:pageBreakBefore w:val="0"/>
        <w:widowControl/>
        <w:kinsoku/>
        <w:wordWrap/>
        <w:overflowPunct/>
        <w:topLinePunct w:val="0"/>
        <w:autoSpaceDE/>
        <w:autoSpaceDN/>
        <w:bidi w:val="0"/>
        <w:adjustRightInd/>
        <w:snapToGrid/>
        <w:ind w:firstLine="643"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lang w:val="en-US" w:eastAsia="zh-CN"/>
        </w:rPr>
        <w:t>1、精品创作成果丰硕，艺术水平稳步提升。</w:t>
      </w:r>
      <w:r>
        <w:rPr>
          <w:rFonts w:hint="eastAsia" w:ascii="仿宋_GB2312" w:hAnsi="仿宋_GB2312" w:eastAsia="仿宋_GB2312" w:cs="仿宋_GB2312"/>
          <w:kern w:val="0"/>
          <w:sz w:val="32"/>
          <w:szCs w:val="32"/>
        </w:rPr>
        <w:t>立足赤峰地域文化根脉，深入挖掘红山文化、草原文化、非遗文化等特色资源，推出一批兼具思想性、艺术性、观赏性的精品力作。创排大型原创话剧《铁骑丹心》，以徐悲鸿画作铺就精神脉络，串联解放战争岁月与三十年后追忆。故事以白发高娃走进徐悲鸿纪念馆，与廖静文相见开启尘封往事。此剧打破传统英雄叙事模式，既展现邰喜德与战友战场奋勇抗敌、“同归于尽”的铁血刚毅，又刻画其与高娃的柔情、对战友的缅怀，还原英雄凡人本色。剧中有狼牙队抗敌、四平冲锋等激烈战斗场景，尽显战争残酷与战士勇毅；亦有草原长调、集体婚礼等温情片段，勾勒烽火中的柔软坚守。冲锋号里，战士以生命筑防线，诠释“英雄先为凡人，于抉择中闪光”的内涵。通过老年邰喜德与战友跨时空对话，结合画作与回忆，探讨“英雄定义”，揭示英雄乃关键时刻选择奉献的普通人，其精神将在代代相传中永存。</w:t>
      </w:r>
    </w:p>
    <w:p>
      <w:pPr>
        <w:keepNext w:val="0"/>
        <w:keepLines w:val="0"/>
        <w:pageBreakBefore w:val="0"/>
        <w:widowControl/>
        <w:kinsoku/>
        <w:wordWrap/>
        <w:overflowPunct/>
        <w:topLinePunct w:val="0"/>
        <w:autoSpaceDE/>
        <w:autoSpaceDN/>
        <w:bidi w:val="0"/>
        <w:adjustRightInd/>
        <w:snapToGrid/>
        <w:ind w:firstLine="643"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lang w:val="en-US" w:eastAsia="zh-CN"/>
        </w:rPr>
        <w:t>2、惠民演出精准务实，服务群众直达基层。</w:t>
      </w:r>
      <w:r>
        <w:rPr>
          <w:rFonts w:hint="eastAsia" w:ascii="仿宋_GB2312" w:hAnsi="仿宋_GB2312" w:eastAsia="仿宋_GB2312" w:cs="仿宋_GB2312"/>
          <w:kern w:val="0"/>
          <w:sz w:val="32"/>
          <w:szCs w:val="32"/>
        </w:rPr>
        <w:t>传承“哪里有群众，哪里就是舞台”的优良传统，构建“中心剧场—街区戏台—乡村舞台”三级演出网络，深入林区、草原、嘎查、哨所开展惠民演出165场，惠及群众</w:t>
      </w:r>
      <w:r>
        <w:rPr>
          <w:rFonts w:hint="eastAsia" w:ascii="仿宋_GB2312" w:hAnsi="仿宋_GB2312" w:eastAsia="仿宋_GB2312" w:cs="仿宋_GB2312"/>
          <w:kern w:val="0"/>
          <w:sz w:val="32"/>
          <w:szCs w:val="32"/>
          <w:lang w:val="en-US" w:eastAsia="zh-CN"/>
        </w:rPr>
        <w:t>50</w:t>
      </w:r>
      <w:r>
        <w:rPr>
          <w:rFonts w:hint="eastAsia" w:ascii="仿宋_GB2312" w:hAnsi="仿宋_GB2312" w:eastAsia="仿宋_GB2312" w:cs="仿宋_GB2312"/>
          <w:kern w:val="0"/>
          <w:sz w:val="32"/>
          <w:szCs w:val="32"/>
        </w:rPr>
        <w:t>余万人次。创新“乌兰牧骑+”综合服务模式在基层开展艺术辅导、政策宣讲、公益服务等活动。</w:t>
      </w:r>
    </w:p>
    <w:p>
      <w:pPr>
        <w:keepNext w:val="0"/>
        <w:keepLines w:val="0"/>
        <w:pageBreakBefore w:val="0"/>
        <w:widowControl/>
        <w:kinsoku/>
        <w:wordWrap/>
        <w:overflowPunct/>
        <w:topLinePunct w:val="0"/>
        <w:autoSpaceDE/>
        <w:autoSpaceDN/>
        <w:bidi w:val="0"/>
        <w:adjustRightInd/>
        <w:snapToGrid/>
        <w:ind w:firstLine="643"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lang w:val="en-US" w:eastAsia="zh-CN"/>
        </w:rPr>
        <w:t>3、文化传播影响力扩大，文旅融合成效显著。</w:t>
      </w:r>
      <w:r>
        <w:rPr>
          <w:rFonts w:hint="eastAsia" w:ascii="仿宋_GB2312" w:hAnsi="仿宋_GB2312" w:eastAsia="仿宋_GB2312" w:cs="仿宋_GB2312"/>
          <w:kern w:val="0"/>
          <w:sz w:val="32"/>
          <w:szCs w:val="32"/>
          <w:lang w:val="en-US" w:eastAsia="zh-CN"/>
        </w:rPr>
        <w:t>认真落实完成好市委、政府和市文旅局交办的重要工作任务，</w:t>
      </w:r>
      <w:r>
        <w:rPr>
          <w:rFonts w:hint="eastAsia" w:ascii="仿宋_GB2312" w:hAnsi="仿宋_GB2312" w:eastAsia="仿宋_GB2312" w:cs="仿宋_GB2312"/>
          <w:kern w:val="0"/>
          <w:sz w:val="32"/>
          <w:szCs w:val="32"/>
        </w:rPr>
        <w:t>我院紧盯全市重点项目建设、招商引资和文旅融合发展</w:t>
      </w:r>
      <w:r>
        <w:rPr>
          <w:rFonts w:hint="eastAsia" w:ascii="仿宋_GB2312" w:hAnsi="仿宋_GB2312" w:eastAsia="仿宋_GB2312" w:cs="仿宋_GB2312"/>
          <w:kern w:val="0"/>
          <w:sz w:val="32"/>
          <w:szCs w:val="32"/>
          <w:lang w:val="en"/>
        </w:rPr>
        <w:t>，克服困难，</w:t>
      </w:r>
      <w:r>
        <w:rPr>
          <w:rFonts w:hint="eastAsia" w:ascii="仿宋_GB2312" w:hAnsi="仿宋_GB2312" w:eastAsia="仿宋_GB2312" w:cs="仿宋_GB2312"/>
          <w:kern w:val="0"/>
          <w:sz w:val="32"/>
          <w:szCs w:val="32"/>
        </w:rPr>
        <w:t>积极主动作为，</w:t>
      </w:r>
      <w:r>
        <w:rPr>
          <w:rFonts w:hint="eastAsia" w:ascii="仿宋_GB2312" w:hAnsi="仿宋_GB2312" w:eastAsia="仿宋_GB2312" w:cs="仿宋_GB2312"/>
          <w:kern w:val="0"/>
          <w:sz w:val="32"/>
          <w:szCs w:val="32"/>
          <w:lang w:val="en-US" w:eastAsia="zh-CN"/>
        </w:rPr>
        <w:t>10</w:t>
      </w:r>
      <w:r>
        <w:rPr>
          <w:rFonts w:hint="eastAsia" w:ascii="仿宋_GB2312" w:hAnsi="仿宋_GB2312" w:eastAsia="仿宋_GB2312" w:cs="仿宋_GB2312"/>
          <w:kern w:val="0"/>
          <w:sz w:val="32"/>
          <w:szCs w:val="32"/>
        </w:rPr>
        <w:t>次赴市外参加市委</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政府和市文旅局举办的招商引资、项目签约、文旅推介等文艺</w:t>
      </w:r>
      <w:r>
        <w:rPr>
          <w:rFonts w:hint="eastAsia" w:ascii="仿宋_GB2312" w:hAnsi="仿宋_GB2312" w:eastAsia="仿宋_GB2312" w:cs="仿宋_GB2312"/>
          <w:kern w:val="0"/>
          <w:sz w:val="32"/>
          <w:szCs w:val="32"/>
          <w:lang w:val="en"/>
        </w:rPr>
        <w:t>宣传</w:t>
      </w:r>
      <w:r>
        <w:rPr>
          <w:rFonts w:hint="eastAsia" w:ascii="仿宋_GB2312" w:hAnsi="仿宋_GB2312" w:eastAsia="仿宋_GB2312" w:cs="仿宋_GB2312"/>
          <w:kern w:val="0"/>
          <w:sz w:val="32"/>
          <w:szCs w:val="32"/>
        </w:rPr>
        <w:t>演出活动。参加承办了“第十</w:t>
      </w:r>
      <w:r>
        <w:rPr>
          <w:rFonts w:hint="eastAsia" w:ascii="仿宋_GB2312" w:hAnsi="仿宋_GB2312" w:eastAsia="仿宋_GB2312" w:cs="仿宋_GB2312"/>
          <w:kern w:val="0"/>
          <w:sz w:val="32"/>
          <w:szCs w:val="32"/>
          <w:lang w:val="en-US" w:eastAsia="zh-CN"/>
        </w:rPr>
        <w:t>八</w:t>
      </w:r>
      <w:r>
        <w:rPr>
          <w:rFonts w:hint="eastAsia" w:ascii="仿宋_GB2312" w:hAnsi="仿宋_GB2312" w:eastAsia="仿宋_GB2312" w:cs="仿宋_GB2312"/>
          <w:kern w:val="0"/>
          <w:sz w:val="32"/>
          <w:szCs w:val="32"/>
        </w:rPr>
        <w:t>届红山文化旅游节</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圆满完成</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内蒙古自治区第十一届少数民族运动会</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开幕式、闭幕式、民族大联欢、驻停表演演出、“蒙超”中场演出、</w:t>
      </w:r>
      <w:r>
        <w:rPr>
          <w:rFonts w:hint="eastAsia" w:ascii="仿宋_GB2312" w:hAnsi="仿宋_GB2312" w:eastAsia="仿宋_GB2312" w:cs="仿宋_GB2312"/>
          <w:kern w:val="0"/>
          <w:sz w:val="32"/>
          <w:szCs w:val="32"/>
        </w:rPr>
        <w:t>“乌兰牧骑神州行”全国巡演60周年纪念演出等我市全部重要文艺演出活动</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赴北京、杭州、福州等城市开展</w:t>
      </w:r>
      <w:r>
        <w:rPr>
          <w:rFonts w:hint="eastAsia" w:ascii="仿宋_GB2312" w:hAnsi="仿宋_GB2312" w:eastAsia="仿宋_GB2312" w:cs="仿宋_GB2312"/>
          <w:kern w:val="0"/>
          <w:sz w:val="32"/>
          <w:szCs w:val="32"/>
          <w:lang w:val="en-US" w:eastAsia="zh-CN"/>
        </w:rPr>
        <w:t>文旅推介</w:t>
      </w:r>
      <w:r>
        <w:rPr>
          <w:rFonts w:hint="eastAsia" w:ascii="仿宋_GB2312" w:hAnsi="仿宋_GB2312" w:eastAsia="仿宋_GB2312" w:cs="仿宋_GB2312"/>
          <w:kern w:val="0"/>
          <w:sz w:val="32"/>
          <w:szCs w:val="32"/>
        </w:rPr>
        <w:t>演出11场，在西子湖畔、三坊七巷等场所搭建移动舞台，以非遗展演、互动体验等形式展现</w:t>
      </w:r>
      <w:r>
        <w:rPr>
          <w:rFonts w:hint="eastAsia" w:ascii="仿宋_GB2312" w:hAnsi="仿宋_GB2312" w:eastAsia="仿宋_GB2312" w:cs="仿宋_GB2312"/>
          <w:kern w:val="0"/>
          <w:sz w:val="32"/>
          <w:szCs w:val="32"/>
          <w:lang w:eastAsia="zh-CN"/>
        </w:rPr>
        <w:t>赤峰文化</w:t>
      </w:r>
      <w:r>
        <w:rPr>
          <w:rFonts w:hint="eastAsia" w:ascii="仿宋_GB2312" w:hAnsi="仿宋_GB2312" w:eastAsia="仿宋_GB2312" w:cs="仿宋_GB2312"/>
          <w:kern w:val="0"/>
          <w:sz w:val="32"/>
          <w:szCs w:val="32"/>
        </w:rPr>
        <w:t>魅力。化身“文旅推介官”，在演出中融入红山玉龙、巴林石等赤峰特色文旅元素</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带动当地旅游热度持续提升。线上通过抖音等平台发布演出短视频，单条播放量超30万次，有效扩大了赤峰文化的全国影响力。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（三）紧握制度“铁拳头”，靶向整治顽疾，常态长效推进</w:t>
      </w:r>
    </w:p>
    <w:p>
      <w:pPr>
        <w:keepNext w:val="0"/>
        <w:keepLines w:val="0"/>
        <w:pageBreakBefore w:val="0"/>
        <w:widowControl/>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坚持严的主基调，持续加强作风建设，营造风清气正、务实担当的工作氛围。</w:t>
      </w:r>
    </w:p>
    <w:p>
      <w:pPr>
        <w:keepNext w:val="0"/>
        <w:keepLines w:val="0"/>
        <w:pageBreakBefore w:val="0"/>
        <w:widowControl/>
        <w:kinsoku/>
        <w:wordWrap/>
        <w:overflowPunct/>
        <w:topLinePunct w:val="0"/>
        <w:autoSpaceDE/>
        <w:autoSpaceDN/>
        <w:bidi w:val="0"/>
        <w:adjustRightInd/>
        <w:snapToGrid/>
        <w:ind w:firstLine="643"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lang w:val="en-US" w:eastAsia="zh-CN"/>
        </w:rPr>
        <w:t>1、</w:t>
      </w:r>
      <w:r>
        <w:rPr>
          <w:rFonts w:hint="eastAsia" w:ascii="仿宋_GB2312" w:hAnsi="仿宋_GB2312" w:eastAsia="仿宋_GB2312" w:cs="仿宋_GB2312"/>
          <w:b/>
          <w:bCs/>
          <w:kern w:val="0"/>
          <w:sz w:val="32"/>
          <w:szCs w:val="32"/>
        </w:rPr>
        <w:t>强化纪律教育常态化。</w:t>
      </w:r>
      <w:r>
        <w:rPr>
          <w:rFonts w:hint="eastAsia" w:ascii="仿宋_GB2312" w:hAnsi="仿宋_GB2312" w:eastAsia="仿宋_GB2312" w:cs="仿宋_GB2312"/>
          <w:kern w:val="0"/>
          <w:sz w:val="32"/>
          <w:szCs w:val="32"/>
        </w:rPr>
        <w:t>组织开展作风建设专题学习4次，观看警示教育片3部，通报典型案例2起，引导党员干部知敬畏、存戒惧、守底线。严格执行中央八项规定及其实施细则精神，规范公务接待、差旅报销等流程，全年无违规违纪问题发生。</w:t>
      </w:r>
    </w:p>
    <w:p>
      <w:pPr>
        <w:keepNext w:val="0"/>
        <w:keepLines w:val="0"/>
        <w:pageBreakBefore w:val="0"/>
        <w:widowControl/>
        <w:kinsoku/>
        <w:wordWrap/>
        <w:overflowPunct/>
        <w:topLinePunct w:val="0"/>
        <w:autoSpaceDE/>
        <w:autoSpaceDN/>
        <w:bidi w:val="0"/>
        <w:adjustRightInd/>
        <w:snapToGrid/>
        <w:ind w:firstLine="643"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lang w:val="en-US" w:eastAsia="zh-CN"/>
        </w:rPr>
        <w:t>2、</w:t>
      </w:r>
      <w:r>
        <w:rPr>
          <w:rFonts w:hint="eastAsia" w:ascii="仿宋_GB2312" w:hAnsi="仿宋_GB2312" w:eastAsia="仿宋_GB2312" w:cs="仿宋_GB2312"/>
          <w:b/>
          <w:bCs/>
          <w:kern w:val="0"/>
          <w:sz w:val="32"/>
          <w:szCs w:val="32"/>
        </w:rPr>
        <w:t>锤炼务实工作作风。</w:t>
      </w:r>
      <w:r>
        <w:rPr>
          <w:rFonts w:hint="eastAsia" w:ascii="仿宋_GB2312" w:hAnsi="仿宋_GB2312" w:eastAsia="仿宋_GB2312" w:cs="仿宋_GB2312"/>
          <w:kern w:val="0"/>
          <w:sz w:val="32"/>
          <w:szCs w:val="32"/>
        </w:rPr>
        <w:t>深入开展“我为群众办实事”实践活动，班子成员带头深入基层调研16次，收集群众对文艺演出、艺术辅导的需求建议23条，逐一落实整改。建立演出服务反馈机制，通过现场问卷、线上留言等形式收集群众评价，不断优化演出内容和服务质量，群众满意度达95%以上。</w:t>
      </w:r>
    </w:p>
    <w:p>
      <w:pPr>
        <w:keepNext w:val="0"/>
        <w:keepLines w:val="0"/>
        <w:pageBreakBefore w:val="0"/>
        <w:widowControl/>
        <w:kinsoku/>
        <w:wordWrap/>
        <w:overflowPunct/>
        <w:topLinePunct w:val="0"/>
        <w:autoSpaceDE/>
        <w:autoSpaceDN/>
        <w:bidi w:val="0"/>
        <w:adjustRightInd/>
        <w:snapToGrid/>
        <w:ind w:firstLine="643"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lang w:val="en-US" w:eastAsia="zh-CN"/>
        </w:rPr>
        <w:t>3、</w:t>
      </w:r>
      <w:r>
        <w:rPr>
          <w:rFonts w:hint="eastAsia" w:ascii="仿宋_GB2312" w:hAnsi="仿宋_GB2312" w:eastAsia="仿宋_GB2312" w:cs="仿宋_GB2312"/>
          <w:b/>
          <w:bCs/>
          <w:kern w:val="0"/>
          <w:sz w:val="32"/>
          <w:szCs w:val="32"/>
        </w:rPr>
        <w:t>筑牢党建战斗堡垒。</w:t>
      </w:r>
      <w:r>
        <w:rPr>
          <w:rFonts w:hint="eastAsia" w:ascii="仿宋_GB2312" w:hAnsi="仿宋_GB2312" w:eastAsia="仿宋_GB2312" w:cs="仿宋_GB2312"/>
          <w:kern w:val="0"/>
          <w:sz w:val="32"/>
          <w:szCs w:val="32"/>
        </w:rPr>
        <w:t>深化“党建+文艺”融合模式，培育“歌党恩舞民心”党建品牌，党支部获评市级“坚强堡垒支部”。严格落实“三会一课”、组织生活会等制度，开展主题党日活动12次，党组织凝聚力战斗力持续增强。</w:t>
      </w:r>
    </w:p>
    <w:p>
      <w:pPr>
        <w:keepNext w:val="0"/>
        <w:keepLines w:val="0"/>
        <w:pageBreakBefore w:val="0"/>
        <w:widowControl/>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赤峰市艺术剧院（赤峰市乌兰牧骑）将始终坚守初心、勇担使命，以更加饱满的热情、更加务实的作风，创作出更多接地气、传得开、留得下的优秀作品，为打响</w:t>
      </w:r>
      <w:r>
        <w:rPr>
          <w:rFonts w:hint="eastAsia" w:ascii="仿宋_GB2312" w:hAnsi="仿宋_GB2312" w:eastAsia="仿宋_GB2312" w:cs="仿宋_GB2312"/>
          <w:kern w:val="0"/>
          <w:sz w:val="32"/>
          <w:szCs w:val="32"/>
          <w:lang w:eastAsia="zh-CN"/>
        </w:rPr>
        <w:t>赤峰文化</w:t>
      </w:r>
      <w:r>
        <w:rPr>
          <w:rFonts w:hint="eastAsia" w:ascii="仿宋_GB2312" w:hAnsi="仿宋_GB2312" w:eastAsia="仿宋_GB2312" w:cs="仿宋_GB2312"/>
          <w:kern w:val="0"/>
          <w:sz w:val="32"/>
          <w:szCs w:val="32"/>
        </w:rPr>
        <w:t>品牌、推动赤峰文化事业高质量发展作出更大贡献。</w:t>
      </w:r>
    </w:p>
    <w:p>
      <w:pPr>
        <w:pStyle w:val="7"/>
        <w:keepNext w:val="0"/>
        <w:keepLines w:val="0"/>
        <w:widowControl/>
        <w:numPr>
          <w:ilvl w:val="0"/>
          <w:numId w:val="1"/>
        </w:numPr>
        <w:spacing w:before="299" w:after="299" w:line="240" w:lineRule="auto"/>
        <w:jc w:val="center"/>
        <w:rPr>
          <w:rFonts w:hint="eastAsia" w:asciiTheme="majorEastAsia" w:hAnsiTheme="majorEastAsia" w:eastAsiaTheme="majorEastAsia" w:cstheme="majorEastAsia"/>
          <w:kern w:val="0"/>
          <w:sz w:val="44"/>
          <w:szCs w:val="44"/>
        </w:rPr>
      </w:pPr>
      <w:r>
        <w:rPr>
          <w:rFonts w:hint="eastAsia" w:asciiTheme="majorEastAsia" w:hAnsiTheme="majorEastAsia" w:eastAsiaTheme="majorEastAsia" w:cstheme="majorEastAsia"/>
          <w:kern w:val="0"/>
          <w:sz w:val="44"/>
          <w:szCs w:val="44"/>
        </w:rPr>
        <w:t>单位决算情况说明</w:t>
      </w:r>
    </w:p>
    <w:p>
      <w:pPr>
        <w:pStyle w:val="7"/>
        <w:keepNext w:val="0"/>
        <w:keepLines w:val="0"/>
        <w:widowControl/>
        <w:numPr>
          <w:ilvl w:val="0"/>
          <w:numId w:val="0"/>
        </w:numPr>
        <w:spacing w:before="299" w:after="299" w:line="240" w:lineRule="auto"/>
        <w:ind w:firstLine="643" w:firstLineChars="200"/>
        <w:jc w:val="both"/>
        <w:rPr>
          <w:rFonts w:ascii="Times New Roman" w:hAnsi="Times New Roman" w:eastAsia="Times New Roman" w:cs="Times New Roman"/>
          <w:kern w:val="0"/>
          <w:sz w:val="32"/>
          <w:szCs w:val="32"/>
        </w:rPr>
      </w:pPr>
      <w:r>
        <w:rPr>
          <w:rFonts w:ascii="黑体" w:hAnsi="黑体" w:eastAsia="黑体" w:cs="黑体"/>
          <w:b/>
          <w:bCs/>
          <w:kern w:val="0"/>
          <w:sz w:val="32"/>
          <w:szCs w:val="32"/>
        </w:rPr>
        <w:t xml:space="preserve"> 一、收入支出决算总体情况说明</w:t>
      </w:r>
    </w:p>
    <w:p>
      <w:pPr>
        <w:ind w:firstLine="640" w:firstLineChars="200"/>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赤峰市艺术剧院（赤峰市乌兰牧骑） 2025年度收入、支出决算总计均为 1442.19万元。与年初预算相比，收、支总计各减少280.36万元，下降16.28%，变动原因：</w:t>
      </w:r>
      <w:r>
        <w:rPr>
          <w:rFonts w:hint="eastAsia" w:ascii="仿宋" w:hAnsi="仿宋" w:eastAsia="仿宋"/>
          <w:color w:val="auto"/>
          <w:sz w:val="32"/>
          <w:szCs w:val="32"/>
          <w:lang w:val="en-US" w:eastAsia="zh-CN"/>
        </w:rPr>
        <w:t>减少了2025年度上年结转项目收入支出、</w:t>
      </w:r>
      <w:r>
        <w:rPr>
          <w:rFonts w:hint="eastAsia" w:ascii="仿宋" w:hAnsi="仿宋" w:eastAsia="仿宋"/>
          <w:color w:val="auto"/>
          <w:sz w:val="32"/>
          <w:szCs w:val="32"/>
        </w:rPr>
        <w:t>202</w:t>
      </w:r>
      <w:r>
        <w:rPr>
          <w:rFonts w:hint="eastAsia" w:ascii="仿宋" w:hAnsi="仿宋" w:eastAsia="仿宋"/>
          <w:color w:val="auto"/>
          <w:sz w:val="32"/>
          <w:szCs w:val="32"/>
          <w:lang w:val="en-US" w:eastAsia="zh-CN"/>
        </w:rPr>
        <w:t>5</w:t>
      </w:r>
      <w:r>
        <w:rPr>
          <w:rFonts w:hint="eastAsia" w:ascii="仿宋" w:hAnsi="仿宋" w:eastAsia="仿宋"/>
          <w:color w:val="auto"/>
          <w:sz w:val="32"/>
          <w:szCs w:val="32"/>
        </w:rPr>
        <w:t>年项目结转至202</w:t>
      </w:r>
      <w:r>
        <w:rPr>
          <w:rFonts w:hint="eastAsia" w:ascii="仿宋" w:hAnsi="仿宋" w:eastAsia="仿宋"/>
          <w:color w:val="auto"/>
          <w:sz w:val="32"/>
          <w:szCs w:val="32"/>
          <w:lang w:val="en-US" w:eastAsia="zh-CN"/>
        </w:rPr>
        <w:t>6</w:t>
      </w:r>
      <w:r>
        <w:rPr>
          <w:rFonts w:hint="eastAsia" w:ascii="仿宋" w:hAnsi="仿宋" w:eastAsia="仿宋"/>
          <w:color w:val="auto"/>
          <w:sz w:val="32"/>
          <w:szCs w:val="32"/>
        </w:rPr>
        <w:t>年继续完成</w:t>
      </w:r>
      <w:r>
        <w:rPr>
          <w:rFonts w:hint="eastAsia" w:ascii="仿宋" w:hAnsi="仿宋" w:eastAsia="仿宋"/>
          <w:color w:val="auto"/>
          <w:sz w:val="32"/>
          <w:szCs w:val="32"/>
          <w:lang w:val="en-US" w:eastAsia="zh-CN"/>
        </w:rPr>
        <w:t>支付事项相应减少了收入支出、</w:t>
      </w:r>
      <w:r>
        <w:rPr>
          <w:rFonts w:hint="eastAsia" w:ascii="仿宋" w:hAnsi="仿宋" w:eastAsia="仿宋"/>
          <w:color w:val="auto"/>
          <w:sz w:val="32"/>
          <w:szCs w:val="32"/>
        </w:rPr>
        <w:t>减少了退休</w:t>
      </w:r>
      <w:r>
        <w:rPr>
          <w:rFonts w:hint="eastAsia" w:ascii="仿宋" w:hAnsi="仿宋" w:eastAsia="仿宋"/>
          <w:color w:val="auto"/>
          <w:sz w:val="32"/>
          <w:szCs w:val="32"/>
          <w:lang w:val="en-US" w:eastAsia="zh-CN"/>
        </w:rPr>
        <w:t>人员</w:t>
      </w:r>
      <w:r>
        <w:rPr>
          <w:rFonts w:hint="eastAsia" w:ascii="仿宋" w:hAnsi="仿宋" w:eastAsia="仿宋"/>
          <w:color w:val="auto"/>
          <w:sz w:val="32"/>
          <w:szCs w:val="32"/>
        </w:rPr>
        <w:t>经费收入</w:t>
      </w:r>
      <w:r>
        <w:rPr>
          <w:rFonts w:hint="eastAsia" w:ascii="仿宋" w:hAnsi="仿宋" w:eastAsia="仿宋"/>
          <w:color w:val="auto"/>
          <w:sz w:val="32"/>
          <w:szCs w:val="32"/>
          <w:lang w:val="en-US" w:eastAsia="zh-CN"/>
        </w:rPr>
        <w:t>支出</w:t>
      </w:r>
      <w:r>
        <w:rPr>
          <w:rFonts w:hint="eastAsia" w:ascii="仿宋_GB2312" w:eastAsia="仿宋_GB2312"/>
          <w:color w:val="auto"/>
          <w:sz w:val="32"/>
          <w:szCs w:val="32"/>
          <w:lang w:val="en-US" w:eastAsia="zh-CN"/>
        </w:rPr>
        <w:t>；</w:t>
      </w:r>
      <w:r>
        <w:rPr>
          <w:rFonts w:hint="eastAsia" w:ascii="仿宋_GB2312" w:hAnsi="仿宋_GB2312" w:eastAsia="仿宋_GB2312" w:cs="仿宋_GB2312"/>
          <w:color w:val="auto"/>
          <w:kern w:val="0"/>
          <w:sz w:val="32"/>
          <w:szCs w:val="32"/>
          <w:lang w:val="en-US" w:eastAsia="zh-CN" w:bidi="ar-SA"/>
        </w:rPr>
        <w:t>与上年决算相比，收、支总计各减少13.30万元，下降0.91%。其中：</w:t>
      </w:r>
    </w:p>
    <w:p>
      <w:pPr>
        <w:widowControl/>
        <w:numPr>
          <w:ilvl w:val="0"/>
          <w:numId w:val="2"/>
        </w:numPr>
        <w:spacing w:before="240" w:after="240"/>
        <w:ind w:left="490" w:leftChars="0" w:firstLine="0" w:firstLineChars="0"/>
        <w:jc w:val="left"/>
        <w:rPr>
          <w:rFonts w:hint="eastAsia" w:ascii="仿宋_GB2312" w:hAnsi="仿宋_GB2312" w:eastAsia="仿宋_GB2312" w:cs="仿宋_GB2312"/>
          <w:b/>
          <w:bCs/>
          <w:color w:val="auto"/>
          <w:kern w:val="0"/>
          <w:sz w:val="32"/>
          <w:szCs w:val="32"/>
          <w:lang w:val="en-US" w:eastAsia="zh-CN" w:bidi="ar-SA"/>
        </w:rPr>
      </w:pPr>
      <w:r>
        <w:rPr>
          <w:rFonts w:hint="eastAsia" w:ascii="仿宋_GB2312" w:hAnsi="仿宋_GB2312" w:eastAsia="仿宋_GB2312" w:cs="仿宋_GB2312"/>
          <w:b/>
          <w:bCs/>
          <w:color w:val="auto"/>
          <w:kern w:val="0"/>
          <w:sz w:val="32"/>
          <w:szCs w:val="32"/>
          <w:lang w:val="en-US" w:eastAsia="zh-CN" w:bidi="ar-SA"/>
        </w:rPr>
        <w:t>收入决算总计 1442.19万元。包括：</w:t>
      </w:r>
    </w:p>
    <w:p>
      <w:pPr>
        <w:widowControl/>
        <w:numPr>
          <w:ilvl w:val="0"/>
          <w:numId w:val="0"/>
        </w:numPr>
        <w:spacing w:before="240" w:after="240"/>
        <w:ind w:firstLine="640" w:firstLineChars="200"/>
        <w:jc w:val="left"/>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1、本年收入决算合计 1442.19万元。与上年决算相比，减少 13.3万元，下降0.91%，变动原因：减少了2025年度上年结转项目收入，2025年项目结转至2026年继续完成支付事项，相应减少了收入。减少了退休人员经费及抚恤金收入。</w:t>
      </w:r>
    </w:p>
    <w:p>
      <w:pPr>
        <w:widowControl/>
        <w:spacing w:before="240" w:after="240"/>
        <w:ind w:firstLine="640" w:firstLineChars="200"/>
        <w:jc w:val="left"/>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2、使用非财政拨款结余（含专用结余） 0万元。与上年决算相比，增加 0万元，增长0%，变动原因：不存在此项内容。</w:t>
      </w:r>
    </w:p>
    <w:p>
      <w:pPr>
        <w:widowControl/>
        <w:spacing w:before="240" w:after="240"/>
        <w:ind w:firstLine="640" w:firstLineChars="200"/>
        <w:jc w:val="left"/>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3、年初结转和结余 0万元。与上年决算相比，增加 0万元，增长 0%，变动原因：不存在此项内容。</w:t>
      </w:r>
    </w:p>
    <w:p>
      <w:pPr>
        <w:widowControl/>
        <w:spacing w:before="240" w:after="240"/>
        <w:ind w:firstLine="643" w:firstLineChars="200"/>
        <w:jc w:val="left"/>
        <w:rPr>
          <w:rFonts w:hint="eastAsia" w:ascii="仿宋_GB2312" w:hAnsi="仿宋_GB2312" w:eastAsia="仿宋_GB2312" w:cs="仿宋_GB2312"/>
          <w:b/>
          <w:bCs/>
          <w:color w:val="auto"/>
          <w:kern w:val="0"/>
          <w:sz w:val="32"/>
          <w:szCs w:val="32"/>
          <w:lang w:val="en-US" w:eastAsia="zh-CN" w:bidi="ar-SA"/>
        </w:rPr>
      </w:pPr>
      <w:r>
        <w:rPr>
          <w:rFonts w:hint="eastAsia" w:ascii="仿宋_GB2312" w:hAnsi="仿宋_GB2312" w:eastAsia="仿宋_GB2312" w:cs="仿宋_GB2312"/>
          <w:b/>
          <w:bCs/>
          <w:color w:val="auto"/>
          <w:kern w:val="0"/>
          <w:sz w:val="32"/>
          <w:szCs w:val="32"/>
          <w:lang w:val="en-US" w:eastAsia="zh-CN" w:bidi="ar-SA"/>
        </w:rPr>
        <w:t>（二）支出决算总计 1442.19万元。包括：</w:t>
      </w:r>
    </w:p>
    <w:p>
      <w:pPr>
        <w:widowControl/>
        <w:numPr>
          <w:ilvl w:val="0"/>
          <w:numId w:val="0"/>
        </w:numPr>
        <w:spacing w:before="240" w:after="240"/>
        <w:ind w:firstLine="640" w:firstLineChars="200"/>
        <w:jc w:val="left"/>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1、本年支出决算合计1413.66万元。与上年决算相比，减少41.83万元，下降2.87%，变动原因：减少了2025年度上年结转项目支出，2025年项目结转至2026年继续完成支付事项，相应减少了支出。减少了退休人员经费及抚恤金支出。</w:t>
      </w:r>
    </w:p>
    <w:p>
      <w:pPr>
        <w:widowControl/>
        <w:numPr>
          <w:ilvl w:val="0"/>
          <w:numId w:val="0"/>
        </w:numPr>
        <w:spacing w:before="240" w:after="240"/>
        <w:ind w:firstLine="640" w:firstLineChars="200"/>
        <w:jc w:val="left"/>
        <w:rPr>
          <w:rFonts w:hint="eastAsia" w:ascii="仿宋_GB2312" w:hAnsi="仿宋_GB2312" w:eastAsia="仿宋_GB2312" w:cs="仿宋_GB2312"/>
          <w:b w:val="0"/>
          <w:bCs w:val="0"/>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2、结余分配 0万元。结余分配事项：无。与上年决算相比，增加 0万</w:t>
      </w:r>
      <w:r>
        <w:rPr>
          <w:rFonts w:hint="eastAsia" w:ascii="仿宋_GB2312" w:hAnsi="仿宋_GB2312" w:eastAsia="仿宋_GB2312" w:cs="仿宋_GB2312"/>
          <w:b w:val="0"/>
          <w:bCs w:val="0"/>
          <w:color w:val="auto"/>
          <w:kern w:val="0"/>
          <w:sz w:val="32"/>
          <w:szCs w:val="32"/>
          <w:lang w:val="en-US" w:eastAsia="zh-CN" w:bidi="ar-SA"/>
        </w:rPr>
        <w:t>元，增长 0%，变动原因：不存在此项内容。</w:t>
      </w:r>
    </w:p>
    <w:p>
      <w:pPr>
        <w:pStyle w:val="17"/>
        <w:numPr>
          <w:ilvl w:val="0"/>
          <w:numId w:val="0"/>
        </w:numPr>
        <w:ind w:firstLine="640" w:firstLineChars="200"/>
        <w:rPr>
          <w:rFonts w:hint="eastAsia" w:ascii="仿宋_GB2312" w:hAnsi="仿宋_GB2312" w:eastAsia="仿宋_GB2312" w:cs="仿宋_GB2312"/>
          <w:color w:val="FF0000"/>
          <w:kern w:val="0"/>
          <w:sz w:val="32"/>
          <w:szCs w:val="32"/>
          <w:lang w:val="en-US" w:eastAsia="zh-CN" w:bidi="ar-SA"/>
        </w:rPr>
      </w:pPr>
      <w:r>
        <w:rPr>
          <w:rFonts w:hint="eastAsia" w:ascii="仿宋_GB2312" w:hAnsi="仿宋_GB2312" w:eastAsia="仿宋_GB2312" w:cs="仿宋_GB2312"/>
          <w:b w:val="0"/>
          <w:bCs w:val="0"/>
          <w:color w:val="auto"/>
          <w:kern w:val="0"/>
          <w:sz w:val="32"/>
          <w:szCs w:val="32"/>
          <w:lang w:val="en-US" w:eastAsia="zh-CN" w:bidi="ar-SA"/>
        </w:rPr>
        <w:t>3、年末结转和结余28.53万元。结转和结余事项：该项目为</w:t>
      </w:r>
      <w:r>
        <w:rPr>
          <w:rFonts w:hint="eastAsia" w:ascii="仿宋_GB2312" w:eastAsia="仿宋_GB2312"/>
          <w:b w:val="0"/>
          <w:bCs w:val="0"/>
          <w:color w:val="auto"/>
          <w:sz w:val="32"/>
          <w:szCs w:val="32"/>
          <w:lang w:val="en-US" w:eastAsia="zh-CN"/>
        </w:rPr>
        <w:t>中国人民抗日战争暨世界反法西斯战争胜利80周年全区优秀剧目巡演经费已经全部发生费用，2026年继续完成末支付事项。</w:t>
      </w:r>
      <w:r>
        <w:rPr>
          <w:rFonts w:hint="eastAsia" w:ascii="仿宋_GB2312" w:hAnsi="仿宋_GB2312" w:eastAsia="仿宋_GB2312" w:cs="仿宋_GB2312"/>
          <w:b w:val="0"/>
          <w:bCs w:val="0"/>
          <w:color w:val="auto"/>
          <w:kern w:val="0"/>
          <w:sz w:val="32"/>
          <w:szCs w:val="32"/>
          <w:lang w:val="en-US" w:eastAsia="zh-CN" w:bidi="ar-SA"/>
        </w:rPr>
        <w:t>与上年决算相比，增加28.53万元，增长100%，变动原因：该项目为</w:t>
      </w:r>
      <w:r>
        <w:rPr>
          <w:rFonts w:hint="eastAsia" w:ascii="仿宋_GB2312" w:eastAsia="仿宋_GB2312"/>
          <w:b w:val="0"/>
          <w:bCs w:val="0"/>
          <w:color w:val="auto"/>
          <w:sz w:val="32"/>
          <w:szCs w:val="32"/>
          <w:lang w:val="en-US" w:eastAsia="zh-CN"/>
        </w:rPr>
        <w:t>中国人民抗日战争暨世界反法西斯战争胜利80周年全区优秀剧目巡演经费已经全部发生费用，2026年继续完成末支付事项。</w:t>
      </w:r>
    </w:p>
    <w:p>
      <w:pPr>
        <w:widowControl/>
        <w:numPr>
          <w:ilvl w:val="0"/>
          <w:numId w:val="0"/>
        </w:numPr>
        <w:spacing w:before="240" w:after="240"/>
        <w:ind w:firstLine="643" w:firstLineChars="200"/>
        <w:jc w:val="left"/>
        <w:rPr>
          <w:rFonts w:ascii="黑体" w:hAnsi="黑体" w:eastAsia="黑体" w:cs="黑体"/>
          <w:b/>
          <w:bCs/>
          <w:color w:val="auto"/>
          <w:kern w:val="0"/>
          <w:sz w:val="32"/>
          <w:szCs w:val="32"/>
          <w:lang w:val="en-US" w:eastAsia="zh-CN" w:bidi="ar-SA"/>
        </w:rPr>
      </w:pPr>
      <w:r>
        <w:rPr>
          <w:rFonts w:ascii="黑体" w:hAnsi="黑体" w:eastAsia="黑体" w:cs="黑体"/>
          <w:b/>
          <w:bCs/>
          <w:color w:val="auto"/>
          <w:kern w:val="0"/>
          <w:sz w:val="32"/>
          <w:szCs w:val="32"/>
          <w:lang w:val="en-US" w:eastAsia="zh-CN" w:bidi="ar-SA"/>
        </w:rPr>
        <w:t>二、收入决算情况说明</w:t>
      </w:r>
    </w:p>
    <w:p>
      <w:pPr>
        <w:widowControl/>
        <w:spacing w:before="240" w:after="240"/>
        <w:ind w:firstLine="640" w:firstLineChars="200"/>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赤峰市艺术剧院（赤峰市乌兰牧骑） 2025年度本年收入决算合计 1442.19万元，其中：</w:t>
      </w:r>
    </w:p>
    <w:p>
      <w:pPr>
        <w:widowControl/>
        <w:spacing w:before="240" w:after="240"/>
        <w:ind w:firstLine="640" w:firstLineChars="200"/>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一般公共预算财政拨款收入 1391.71万元，占96.50%；</w:t>
      </w:r>
    </w:p>
    <w:p>
      <w:pPr>
        <w:widowControl/>
        <w:numPr>
          <w:ilvl w:val="0"/>
          <w:numId w:val="0"/>
        </w:numPr>
        <w:spacing w:before="240" w:after="240"/>
        <w:ind w:firstLine="640" w:firstLineChars="200"/>
        <w:jc w:val="left"/>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政府性基金预算财政拨款收入 0万元，占 0%；</w:t>
      </w:r>
    </w:p>
    <w:p>
      <w:pPr>
        <w:widowControl/>
        <w:numPr>
          <w:ilvl w:val="0"/>
          <w:numId w:val="0"/>
        </w:numPr>
        <w:spacing w:before="240" w:after="240"/>
        <w:ind w:firstLine="640" w:firstLineChars="200"/>
        <w:jc w:val="left"/>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国有资本经营预算财政拨款收入 0万元，占 0%；</w:t>
      </w:r>
    </w:p>
    <w:p>
      <w:pPr>
        <w:widowControl/>
        <w:numPr>
          <w:ilvl w:val="0"/>
          <w:numId w:val="0"/>
        </w:numPr>
        <w:spacing w:before="240" w:after="240"/>
        <w:ind w:firstLine="640" w:firstLineChars="200"/>
        <w:jc w:val="left"/>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上级补助收入 0万元，占 0%；</w:t>
      </w:r>
    </w:p>
    <w:p>
      <w:pPr>
        <w:widowControl/>
        <w:numPr>
          <w:ilvl w:val="0"/>
          <w:numId w:val="0"/>
        </w:numPr>
        <w:spacing w:before="240" w:after="240"/>
        <w:ind w:firstLine="640" w:firstLineChars="200"/>
        <w:jc w:val="left"/>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事业收入 0万元，占 0%；</w:t>
      </w:r>
    </w:p>
    <w:p>
      <w:pPr>
        <w:widowControl/>
        <w:numPr>
          <w:ilvl w:val="0"/>
          <w:numId w:val="0"/>
        </w:numPr>
        <w:spacing w:before="240" w:after="240"/>
        <w:ind w:firstLine="640" w:firstLineChars="200"/>
        <w:jc w:val="left"/>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经营收入 0万元，占 0%；</w:t>
      </w:r>
    </w:p>
    <w:p>
      <w:pPr>
        <w:widowControl/>
        <w:numPr>
          <w:ilvl w:val="0"/>
          <w:numId w:val="0"/>
        </w:numPr>
        <w:spacing w:before="240" w:after="240"/>
        <w:ind w:firstLine="640" w:firstLineChars="200"/>
        <w:jc w:val="left"/>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附属单位上缴收入 0万元，占 0%；</w:t>
      </w:r>
    </w:p>
    <w:p>
      <w:pPr>
        <w:widowControl/>
        <w:numPr>
          <w:ilvl w:val="0"/>
          <w:numId w:val="0"/>
        </w:numPr>
        <w:spacing w:before="240" w:after="240"/>
        <w:ind w:firstLine="640" w:firstLineChars="200"/>
        <w:jc w:val="left"/>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其他收入 50.48万元，占3.50%。</w:t>
      </w:r>
    </w:p>
    <w:p>
      <w:pPr>
        <w:pStyle w:val="23"/>
        <w:rPr>
          <w:rFonts w:hint="eastAsia" w:ascii="仿宋_GB2312" w:hAnsi="仿宋_GB2312" w:eastAsia="仿宋_GB2312" w:cs="仿宋_GB2312"/>
          <w:color w:val="auto"/>
          <w:kern w:val="0"/>
          <w:sz w:val="32"/>
          <w:szCs w:val="32"/>
          <w:lang w:val="en-US" w:eastAsia="zh-CN" w:bidi="ar-SA"/>
        </w:rPr>
      </w:pPr>
      <w:r>
        <w:rPr>
          <w:rFonts w:ascii="Times New Roman" w:hAnsi="Times New Roman" w:eastAsia="Times New Roman" w:cs="Times New Roman"/>
          <w:strike w:val="0"/>
          <w:kern w:val="0"/>
          <w:sz w:val="24"/>
          <w:u w:val="none"/>
        </w:rPr>
        <w:drawing>
          <wp:inline distT="0" distB="0" distL="114300" distR="114300">
            <wp:extent cx="5236845" cy="3273425"/>
            <wp:effectExtent l="0" t="0" r="1905"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5236845" cy="3273425"/>
                    </a:xfrm>
                    <a:prstGeom prst="rect">
                      <a:avLst/>
                    </a:prstGeom>
                    <a:noFill/>
                    <a:ln>
                      <a:noFill/>
                    </a:ln>
                  </pic:spPr>
                </pic:pic>
              </a:graphicData>
            </a:graphic>
          </wp:inline>
        </w:drawing>
      </w:r>
    </w:p>
    <w:p>
      <w:pPr>
        <w:widowControl/>
        <w:spacing w:before="240" w:after="240"/>
        <w:rPr>
          <w:rFonts w:ascii="Times New Roman" w:hAnsi="Times New Roman" w:eastAsia="Times New Roman" w:cs="Times New Roman"/>
          <w:kern w:val="0"/>
          <w:sz w:val="24"/>
        </w:rPr>
      </w:pPr>
      <w:r>
        <w:rPr>
          <w:rFonts w:ascii="Times New Roman" w:hAnsi="Times New Roman" w:eastAsia="Times New Roman" w:cs="Times New Roman"/>
          <w:kern w:val="0"/>
          <w:sz w:val="24"/>
        </w:rPr>
        <w:t xml:space="preserve">  </w:t>
      </w:r>
    </w:p>
    <w:p>
      <w:pPr>
        <w:widowControl/>
        <w:numPr>
          <w:ilvl w:val="0"/>
          <w:numId w:val="0"/>
        </w:numPr>
        <w:spacing w:before="240" w:after="240"/>
        <w:ind w:firstLine="640" w:firstLineChars="200"/>
        <w:jc w:val="center"/>
        <w:rPr>
          <w:rFonts w:ascii="黑体" w:hAnsi="黑体" w:eastAsia="黑体" w:cs="黑体"/>
          <w:b/>
          <w:bCs/>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图1.收入决算图</w:t>
      </w:r>
    </w:p>
    <w:p>
      <w:pPr>
        <w:widowControl/>
        <w:numPr>
          <w:ilvl w:val="0"/>
          <w:numId w:val="0"/>
        </w:numPr>
        <w:spacing w:before="240" w:after="240"/>
        <w:ind w:firstLine="643" w:firstLineChars="200"/>
        <w:jc w:val="both"/>
        <w:rPr>
          <w:rFonts w:ascii="Times New Roman" w:hAnsi="Times New Roman" w:eastAsia="Times New Roman" w:cs="Times New Roman"/>
          <w:color w:val="auto"/>
          <w:kern w:val="0"/>
          <w:sz w:val="24"/>
        </w:rPr>
      </w:pPr>
      <w:r>
        <w:rPr>
          <w:rFonts w:ascii="黑体" w:hAnsi="黑体" w:eastAsia="黑体" w:cs="黑体"/>
          <w:b/>
          <w:bCs/>
          <w:color w:val="auto"/>
          <w:kern w:val="0"/>
          <w:sz w:val="32"/>
          <w:szCs w:val="32"/>
          <w:lang w:val="en-US" w:eastAsia="zh-CN" w:bidi="ar-SA"/>
        </w:rPr>
        <w:t>三、支出决算情况说明</w:t>
      </w:r>
    </w:p>
    <w:p>
      <w:pPr>
        <w:widowControl/>
        <w:numPr>
          <w:ilvl w:val="0"/>
          <w:numId w:val="0"/>
        </w:numPr>
        <w:spacing w:before="240" w:after="240"/>
        <w:ind w:firstLine="640" w:firstLineChars="200"/>
        <w:jc w:val="both"/>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赤峰市艺术剧院（赤峰市乌兰牧骑） 2025年度本年支出决算合计 1413.66万元，其中：</w:t>
      </w:r>
    </w:p>
    <w:p>
      <w:pPr>
        <w:widowControl/>
        <w:numPr>
          <w:ilvl w:val="0"/>
          <w:numId w:val="0"/>
        </w:numPr>
        <w:spacing w:before="240" w:after="240"/>
        <w:ind w:firstLine="640" w:firstLineChars="200"/>
        <w:jc w:val="both"/>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基本支出1229.22万元，占86.95%；</w:t>
      </w:r>
    </w:p>
    <w:p>
      <w:pPr>
        <w:widowControl/>
        <w:numPr>
          <w:ilvl w:val="0"/>
          <w:numId w:val="0"/>
        </w:numPr>
        <w:spacing w:before="240" w:after="240"/>
        <w:ind w:firstLine="640" w:firstLineChars="200"/>
        <w:jc w:val="both"/>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项目支出 184.44万元，占 13.05%；</w:t>
      </w:r>
    </w:p>
    <w:p>
      <w:pPr>
        <w:widowControl/>
        <w:numPr>
          <w:ilvl w:val="0"/>
          <w:numId w:val="0"/>
        </w:numPr>
        <w:spacing w:before="240" w:after="240"/>
        <w:ind w:firstLine="640" w:firstLineChars="200"/>
        <w:jc w:val="both"/>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上缴上级支出 0万元，占 0%；</w:t>
      </w:r>
    </w:p>
    <w:p>
      <w:pPr>
        <w:widowControl/>
        <w:numPr>
          <w:ilvl w:val="0"/>
          <w:numId w:val="0"/>
        </w:numPr>
        <w:spacing w:before="240" w:after="240"/>
        <w:ind w:firstLine="640" w:firstLineChars="200"/>
        <w:jc w:val="both"/>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经营支出 0万元，占 0%；</w:t>
      </w:r>
    </w:p>
    <w:p>
      <w:pPr>
        <w:widowControl/>
        <w:numPr>
          <w:ilvl w:val="0"/>
          <w:numId w:val="0"/>
        </w:numPr>
        <w:spacing w:before="240" w:after="240"/>
        <w:ind w:firstLine="640" w:firstLineChars="200"/>
        <w:jc w:val="both"/>
        <w:rPr>
          <w:rFonts w:ascii="Times New Roman" w:hAnsi="Times New Roman" w:eastAsia="Times New Roman" w:cs="Times New Roman"/>
          <w:kern w:val="0"/>
          <w:sz w:val="24"/>
        </w:rPr>
      </w:pPr>
      <w:r>
        <w:rPr>
          <w:rFonts w:hint="eastAsia" w:ascii="仿宋_GB2312" w:hAnsi="仿宋_GB2312" w:eastAsia="仿宋_GB2312" w:cs="仿宋_GB2312"/>
          <w:color w:val="auto"/>
          <w:kern w:val="0"/>
          <w:sz w:val="32"/>
          <w:szCs w:val="32"/>
          <w:lang w:val="en-US" w:eastAsia="zh-CN" w:bidi="ar-SA"/>
        </w:rPr>
        <w:t>对附属单位补助支出 0万元，占 0%。</w:t>
      </w:r>
    </w:p>
    <w:p>
      <w:pPr>
        <w:widowControl/>
        <w:spacing w:before="240" w:after="240"/>
        <w:jc w:val="center"/>
        <w:rPr>
          <w:rFonts w:ascii="Times New Roman" w:hAnsi="Times New Roman" w:eastAsia="Times New Roman" w:cs="Times New Roman"/>
          <w:kern w:val="0"/>
          <w:sz w:val="24"/>
        </w:rPr>
      </w:pPr>
      <w:r>
        <w:rPr>
          <w:rFonts w:ascii="Times New Roman" w:hAnsi="Times New Roman" w:eastAsia="Times New Roman" w:cs="Times New Roman"/>
          <w:strike w:val="0"/>
          <w:kern w:val="0"/>
          <w:sz w:val="24"/>
          <w:u w:val="none"/>
        </w:rPr>
        <w:drawing>
          <wp:inline distT="0" distB="0" distL="114300" distR="114300">
            <wp:extent cx="5650865" cy="3532505"/>
            <wp:effectExtent l="0" t="0" r="6985" b="1079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5650865" cy="3532505"/>
                    </a:xfrm>
                    <a:prstGeom prst="rect">
                      <a:avLst/>
                    </a:prstGeom>
                    <a:noFill/>
                    <a:ln>
                      <a:noFill/>
                    </a:ln>
                  </pic:spPr>
                </pic:pic>
              </a:graphicData>
            </a:graphic>
          </wp:inline>
        </w:drawing>
      </w:r>
    </w:p>
    <w:p>
      <w:pPr>
        <w:widowControl/>
        <w:spacing w:before="240" w:after="240"/>
        <w:jc w:val="center"/>
        <w:rPr>
          <w:rFonts w:ascii="黑体" w:hAnsi="黑体" w:eastAsia="黑体" w:cs="黑体"/>
          <w:b/>
          <w:bCs/>
          <w:color w:val="auto"/>
          <w:kern w:val="0"/>
          <w:sz w:val="32"/>
          <w:szCs w:val="32"/>
        </w:rPr>
      </w:pPr>
      <w:r>
        <w:rPr>
          <w:rFonts w:hint="eastAsia" w:ascii="仿宋_GB2312" w:hAnsi="仿宋_GB2312" w:eastAsia="仿宋_GB2312" w:cs="仿宋_GB2312"/>
          <w:color w:val="auto"/>
          <w:kern w:val="0"/>
          <w:sz w:val="32"/>
          <w:szCs w:val="32"/>
          <w:lang w:val="en-US" w:eastAsia="zh-CN" w:bidi="ar-SA"/>
        </w:rPr>
        <w:t>图2.支出决算图</w:t>
      </w:r>
    </w:p>
    <w:p>
      <w:pPr>
        <w:widowControl/>
        <w:spacing w:before="240" w:after="240"/>
        <w:ind w:firstLine="643" w:firstLineChars="200"/>
        <w:jc w:val="left"/>
        <w:rPr>
          <w:rFonts w:ascii="Times New Roman" w:hAnsi="Times New Roman" w:eastAsia="Times New Roman" w:cs="Times New Roman"/>
          <w:color w:val="auto"/>
          <w:kern w:val="0"/>
          <w:sz w:val="32"/>
          <w:szCs w:val="32"/>
        </w:rPr>
      </w:pPr>
      <w:r>
        <w:rPr>
          <w:rFonts w:ascii="黑体" w:hAnsi="黑体" w:eastAsia="黑体" w:cs="黑体"/>
          <w:b/>
          <w:bCs/>
          <w:color w:val="auto"/>
          <w:kern w:val="0"/>
          <w:sz w:val="32"/>
          <w:szCs w:val="32"/>
        </w:rPr>
        <w:t>四、财政拨款收入支出决算总体情况说明</w:t>
      </w:r>
    </w:p>
    <w:p>
      <w:pPr>
        <w:widowControl/>
        <w:numPr>
          <w:ilvl w:val="0"/>
          <w:numId w:val="0"/>
        </w:numPr>
        <w:spacing w:before="240" w:after="240"/>
        <w:ind w:firstLine="640" w:firstLineChars="200"/>
        <w:jc w:val="left"/>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赤峰市艺术剧院（赤峰市乌兰牧骑） 2025年度财政拨款收入、支出决算总计均为 1391.71万元，与年初预算相比，收、支总计各减少330.84万元，下降19.21%，变动原因：</w:t>
      </w:r>
      <w:r>
        <w:rPr>
          <w:rFonts w:hint="eastAsia" w:ascii="仿宋" w:hAnsi="仿宋" w:eastAsia="仿宋"/>
          <w:color w:val="auto"/>
          <w:sz w:val="32"/>
          <w:szCs w:val="32"/>
          <w:lang w:val="en-US" w:eastAsia="zh-CN"/>
        </w:rPr>
        <w:t>减少了2025年度上年结转项目收入支出、</w:t>
      </w:r>
      <w:r>
        <w:rPr>
          <w:rFonts w:hint="eastAsia" w:ascii="仿宋" w:hAnsi="仿宋" w:eastAsia="仿宋"/>
          <w:color w:val="auto"/>
          <w:sz w:val="32"/>
          <w:szCs w:val="32"/>
        </w:rPr>
        <w:t>202</w:t>
      </w:r>
      <w:r>
        <w:rPr>
          <w:rFonts w:hint="eastAsia" w:ascii="仿宋" w:hAnsi="仿宋" w:eastAsia="仿宋"/>
          <w:color w:val="auto"/>
          <w:sz w:val="32"/>
          <w:szCs w:val="32"/>
          <w:lang w:val="en-US" w:eastAsia="zh-CN"/>
        </w:rPr>
        <w:t>5</w:t>
      </w:r>
      <w:r>
        <w:rPr>
          <w:rFonts w:hint="eastAsia" w:ascii="仿宋" w:hAnsi="仿宋" w:eastAsia="仿宋"/>
          <w:color w:val="auto"/>
          <w:sz w:val="32"/>
          <w:szCs w:val="32"/>
        </w:rPr>
        <w:t>年项目结转至202</w:t>
      </w:r>
      <w:r>
        <w:rPr>
          <w:rFonts w:hint="eastAsia" w:ascii="仿宋" w:hAnsi="仿宋" w:eastAsia="仿宋"/>
          <w:color w:val="auto"/>
          <w:sz w:val="32"/>
          <w:szCs w:val="32"/>
          <w:lang w:val="en-US" w:eastAsia="zh-CN"/>
        </w:rPr>
        <w:t>6</w:t>
      </w:r>
      <w:r>
        <w:rPr>
          <w:rFonts w:hint="eastAsia" w:ascii="仿宋" w:hAnsi="仿宋" w:eastAsia="仿宋"/>
          <w:color w:val="auto"/>
          <w:sz w:val="32"/>
          <w:szCs w:val="32"/>
        </w:rPr>
        <w:t>年继续完成</w:t>
      </w:r>
      <w:r>
        <w:rPr>
          <w:rFonts w:hint="eastAsia" w:ascii="仿宋" w:hAnsi="仿宋" w:eastAsia="仿宋"/>
          <w:color w:val="auto"/>
          <w:sz w:val="32"/>
          <w:szCs w:val="32"/>
          <w:lang w:val="en-US" w:eastAsia="zh-CN"/>
        </w:rPr>
        <w:t>支付事项相应减少了收入支出、</w:t>
      </w:r>
      <w:r>
        <w:rPr>
          <w:rFonts w:hint="eastAsia" w:ascii="仿宋" w:hAnsi="仿宋" w:eastAsia="仿宋"/>
          <w:color w:val="auto"/>
          <w:sz w:val="32"/>
          <w:szCs w:val="32"/>
        </w:rPr>
        <w:t>减少了退休</w:t>
      </w:r>
      <w:r>
        <w:rPr>
          <w:rFonts w:hint="eastAsia" w:ascii="仿宋" w:hAnsi="仿宋" w:eastAsia="仿宋"/>
          <w:color w:val="auto"/>
          <w:sz w:val="32"/>
          <w:szCs w:val="32"/>
          <w:lang w:val="en-US" w:eastAsia="zh-CN"/>
        </w:rPr>
        <w:t>人员</w:t>
      </w:r>
      <w:r>
        <w:rPr>
          <w:rFonts w:hint="eastAsia" w:ascii="仿宋" w:hAnsi="仿宋" w:eastAsia="仿宋"/>
          <w:color w:val="auto"/>
          <w:sz w:val="32"/>
          <w:szCs w:val="32"/>
        </w:rPr>
        <w:t>经费收入</w:t>
      </w:r>
      <w:r>
        <w:rPr>
          <w:rFonts w:hint="eastAsia" w:ascii="仿宋" w:hAnsi="仿宋" w:eastAsia="仿宋"/>
          <w:color w:val="auto"/>
          <w:sz w:val="32"/>
          <w:szCs w:val="32"/>
          <w:lang w:val="en-US" w:eastAsia="zh-CN"/>
        </w:rPr>
        <w:t>支出</w:t>
      </w:r>
      <w:r>
        <w:rPr>
          <w:rFonts w:hint="eastAsia" w:ascii="仿宋_GB2312" w:hAnsi="仿宋_GB2312" w:eastAsia="仿宋_GB2312" w:cs="仿宋_GB2312"/>
          <w:color w:val="auto"/>
          <w:kern w:val="0"/>
          <w:sz w:val="32"/>
          <w:szCs w:val="32"/>
          <w:lang w:val="en-US" w:eastAsia="zh-CN" w:bidi="ar-SA"/>
        </w:rPr>
        <w:t>；与上年决算相比，收、支总计各减少61.78万元，下降4.25%，变动原因：减少了退休人员经费及抚恤金收入支出。</w:t>
      </w:r>
    </w:p>
    <w:p>
      <w:pPr>
        <w:widowControl/>
        <w:spacing w:before="240" w:after="240"/>
        <w:ind w:firstLine="643" w:firstLineChars="200"/>
        <w:jc w:val="left"/>
        <w:rPr>
          <w:rFonts w:ascii="仿宋_GB2312" w:hAnsi="仿宋_GB2312" w:eastAsia="仿宋_GB2312" w:cs="仿宋_GB2312"/>
          <w:color w:val="0000FF"/>
          <w:kern w:val="0"/>
          <w:sz w:val="27"/>
          <w:szCs w:val="27"/>
        </w:rPr>
      </w:pPr>
      <w:r>
        <w:rPr>
          <w:rFonts w:ascii="黑体" w:hAnsi="黑体" w:eastAsia="黑体" w:cs="黑体"/>
          <w:b/>
          <w:bCs/>
          <w:kern w:val="0"/>
          <w:sz w:val="32"/>
          <w:szCs w:val="32"/>
        </w:rPr>
        <w:t>五、一般公共预算财政拨款支出决算情况说明</w:t>
      </w:r>
      <w:r>
        <w:rPr>
          <w:rFonts w:ascii="Calibri" w:hAnsi="Calibri" w:eastAsia="Calibri" w:cs="Calibri"/>
          <w:color w:val="0E00FE"/>
          <w:kern w:val="0"/>
          <w:sz w:val="27"/>
          <w:szCs w:val="27"/>
        </w:rPr>
        <w:t> </w:t>
      </w:r>
      <w:r>
        <w:rPr>
          <w:rFonts w:ascii="仿宋_GB2312" w:hAnsi="仿宋_GB2312" w:eastAsia="仿宋_GB2312" w:cs="仿宋_GB2312"/>
          <w:color w:val="0E00FE"/>
          <w:kern w:val="0"/>
          <w:sz w:val="27"/>
          <w:szCs w:val="27"/>
        </w:rPr>
        <w:t xml:space="preserve"> </w:t>
      </w:r>
      <w:r>
        <w:rPr>
          <w:rFonts w:ascii="Calibri" w:hAnsi="Calibri" w:eastAsia="Calibri" w:cs="Calibri"/>
          <w:color w:val="0E00FE"/>
          <w:kern w:val="0"/>
          <w:sz w:val="27"/>
          <w:szCs w:val="27"/>
        </w:rPr>
        <w:t> </w:t>
      </w:r>
    </w:p>
    <w:p>
      <w:pPr>
        <w:pStyle w:val="34"/>
        <w:widowControl/>
        <w:spacing w:before="240" w:after="240" w:line="560" w:lineRule="atLeast"/>
        <w:ind w:firstLine="640"/>
        <w:rPr>
          <w:rFonts w:ascii="Times New Roman" w:hAnsi="Times New Roman" w:eastAsia="Times New Roman" w:cs="Times New Roman"/>
          <w:color w:val="auto"/>
          <w:kern w:val="0"/>
          <w:sz w:val="24"/>
        </w:rPr>
      </w:pPr>
      <w:r>
        <w:rPr>
          <w:rFonts w:hint="eastAsia" w:ascii="仿宋_GB2312" w:hAnsi="仿宋_GB2312" w:eastAsia="仿宋_GB2312" w:cs="仿宋_GB2312"/>
          <w:color w:val="auto"/>
          <w:kern w:val="0"/>
          <w:sz w:val="32"/>
          <w:szCs w:val="32"/>
          <w:lang w:val="en-US" w:eastAsia="zh-CN" w:bidi="ar-SA"/>
        </w:rPr>
        <w:t>赤峰市艺术剧院（赤峰市乌兰牧骑） 2025年度一般公共预算财政拨款支出决算 1391.71万元。与年初预算 1722.55万元相比，完成年初预算的 80.79%。其中：</w:t>
      </w:r>
    </w:p>
    <w:p>
      <w:pPr>
        <w:widowControl/>
        <w:spacing w:before="240" w:after="240"/>
        <w:jc w:val="left"/>
        <w:rPr>
          <w:rFonts w:hint="eastAsia" w:ascii="仿宋_GB2312" w:hAnsi="仿宋_GB2312" w:eastAsia="仿宋_GB2312" w:cs="仿宋_GB2312"/>
          <w:b w:val="0"/>
          <w:bCs w:val="0"/>
          <w:color w:val="auto"/>
          <w:kern w:val="0"/>
          <w:sz w:val="32"/>
          <w:szCs w:val="32"/>
          <w:lang w:val="en-US" w:eastAsia="zh-CN" w:bidi="ar-SA"/>
        </w:rPr>
      </w:pPr>
      <w:r>
        <w:rPr>
          <w:rFonts w:hint="eastAsia" w:ascii="仿宋_GB2312" w:hAnsi="仿宋_GB2312" w:eastAsia="仿宋_GB2312" w:cs="仿宋_GB2312"/>
          <w:b/>
          <w:bCs/>
          <w:color w:val="auto"/>
          <w:kern w:val="0"/>
          <w:sz w:val="32"/>
          <w:szCs w:val="32"/>
          <w:lang w:val="en-US" w:eastAsia="zh-CN" w:bidi="ar-SA"/>
        </w:rPr>
        <w:t xml:space="preserve"> （一）一般公共服务（类）</w:t>
      </w:r>
    </w:p>
    <w:p>
      <w:pPr>
        <w:pStyle w:val="34"/>
        <w:widowControl/>
        <w:spacing w:before="240" w:after="240" w:line="560" w:lineRule="atLeast"/>
        <w:ind w:firstLine="640" w:firstLineChars="200"/>
        <w:jc w:val="left"/>
        <w:rPr>
          <w:rFonts w:hint="eastAsia" w:ascii="仿宋_GB2312" w:hAnsi="仿宋_GB2312" w:eastAsia="仿宋_GB2312" w:cs="仿宋_GB2312"/>
          <w:b w:val="0"/>
          <w:bCs w:val="0"/>
          <w:color w:val="auto"/>
          <w:kern w:val="0"/>
          <w:sz w:val="32"/>
          <w:szCs w:val="32"/>
          <w:lang w:val="en-US" w:eastAsia="zh-CN" w:bidi="ar-SA"/>
        </w:rPr>
      </w:pPr>
      <w:r>
        <w:rPr>
          <w:rFonts w:hint="eastAsia" w:ascii="仿宋_GB2312" w:hAnsi="仿宋_GB2312" w:eastAsia="仿宋_GB2312" w:cs="仿宋_GB2312"/>
          <w:b w:val="0"/>
          <w:bCs w:val="0"/>
          <w:color w:val="auto"/>
          <w:kern w:val="0"/>
          <w:sz w:val="32"/>
          <w:szCs w:val="32"/>
          <w:lang w:val="en-US" w:eastAsia="zh-CN" w:bidi="ar-SA"/>
        </w:rPr>
        <w:t>一般公共服务（类）决算数为</w:t>
      </w:r>
      <w:r>
        <w:rPr>
          <w:rFonts w:hint="eastAsia" w:ascii="仿宋_GB2312" w:hAnsi="仿宋_GB2312" w:eastAsia="仿宋_GB2312" w:cs="仿宋_GB2312"/>
          <w:b w:val="0"/>
          <w:bCs w:val="0"/>
          <w:color w:val="auto"/>
          <w:kern w:val="0"/>
          <w:sz w:val="32"/>
          <w:szCs w:val="32"/>
          <w:lang w:val="en-US" w:eastAsia="en-US" w:bidi="ar-SA"/>
        </w:rPr>
        <w:t xml:space="preserve"> 36.09</w:t>
      </w:r>
      <w:r>
        <w:rPr>
          <w:rFonts w:hint="eastAsia" w:ascii="仿宋_GB2312" w:hAnsi="仿宋_GB2312" w:eastAsia="仿宋_GB2312" w:cs="仿宋_GB2312"/>
          <w:b w:val="0"/>
          <w:bCs w:val="0"/>
          <w:color w:val="auto"/>
          <w:kern w:val="0"/>
          <w:sz w:val="32"/>
          <w:szCs w:val="32"/>
          <w:lang w:val="en-US" w:eastAsia="zh-CN" w:bidi="ar-SA"/>
        </w:rPr>
        <w:t>万元，与年初预算相比增加</w:t>
      </w:r>
      <w:r>
        <w:rPr>
          <w:rFonts w:hint="eastAsia" w:ascii="仿宋_GB2312" w:hAnsi="仿宋_GB2312" w:eastAsia="仿宋_GB2312" w:cs="仿宋_GB2312"/>
          <w:b w:val="0"/>
          <w:bCs w:val="0"/>
          <w:color w:val="auto"/>
          <w:kern w:val="0"/>
          <w:sz w:val="32"/>
          <w:szCs w:val="32"/>
          <w:lang w:val="en-US" w:eastAsia="en-US" w:bidi="ar-SA"/>
        </w:rPr>
        <w:t xml:space="preserve"> 36.09</w:t>
      </w:r>
      <w:r>
        <w:rPr>
          <w:rFonts w:hint="eastAsia" w:ascii="仿宋_GB2312" w:hAnsi="仿宋_GB2312" w:eastAsia="仿宋_GB2312" w:cs="仿宋_GB2312"/>
          <w:b w:val="0"/>
          <w:bCs w:val="0"/>
          <w:color w:val="auto"/>
          <w:kern w:val="0"/>
          <w:sz w:val="32"/>
          <w:szCs w:val="32"/>
          <w:lang w:val="en-US" w:eastAsia="zh-CN" w:bidi="ar-SA"/>
        </w:rPr>
        <w:t>万元。其中：</w:t>
      </w:r>
    </w:p>
    <w:p>
      <w:pPr>
        <w:widowControl/>
        <w:spacing w:before="240" w:after="240"/>
        <w:ind w:firstLine="640" w:firstLineChars="200"/>
        <w:jc w:val="left"/>
        <w:rPr>
          <w:rFonts w:hint="eastAsia" w:ascii="kai_ti_gb2312" w:hAnsi="kai_ti_gb2312" w:eastAsia="仿宋_GB2312" w:cs="kai_ti_gb2312"/>
          <w:b/>
          <w:bCs/>
          <w:color w:val="FF0000"/>
          <w:kern w:val="0"/>
          <w:sz w:val="27"/>
          <w:szCs w:val="27"/>
          <w:lang w:eastAsia="zh-CN"/>
        </w:rPr>
      </w:pPr>
      <w:r>
        <w:rPr>
          <w:rFonts w:hint="eastAsia" w:ascii="仿宋_GB2312" w:eastAsia="仿宋_GB2312"/>
          <w:b w:val="0"/>
          <w:bCs w:val="0"/>
          <w:color w:val="auto"/>
          <w:sz w:val="32"/>
          <w:szCs w:val="32"/>
          <w:lang w:val="en-US" w:eastAsia="zh-CN"/>
        </w:rPr>
        <w:t>1、民族事务</w:t>
      </w:r>
      <w:r>
        <w:rPr>
          <w:rFonts w:hint="eastAsia" w:ascii="仿宋_GB2312" w:eastAsia="仿宋_GB2312"/>
          <w:b w:val="0"/>
          <w:bCs w:val="0"/>
          <w:color w:val="auto"/>
          <w:sz w:val="32"/>
          <w:szCs w:val="32"/>
        </w:rPr>
        <w:t>（款）</w:t>
      </w:r>
      <w:r>
        <w:rPr>
          <w:rFonts w:hint="eastAsia" w:ascii="仿宋_GB2312" w:eastAsia="仿宋_GB2312"/>
          <w:b w:val="0"/>
          <w:bCs w:val="0"/>
          <w:color w:val="auto"/>
          <w:sz w:val="32"/>
          <w:szCs w:val="32"/>
          <w:lang w:val="en-US" w:eastAsia="zh-CN"/>
        </w:rPr>
        <w:t>其他民族事务支出</w:t>
      </w:r>
      <w:r>
        <w:rPr>
          <w:rFonts w:hint="eastAsia" w:ascii="仿宋_GB2312" w:eastAsia="仿宋_GB2312"/>
          <w:b w:val="0"/>
          <w:bCs w:val="0"/>
          <w:color w:val="auto"/>
          <w:sz w:val="32"/>
          <w:szCs w:val="32"/>
        </w:rPr>
        <w:t>（项）</w:t>
      </w:r>
      <w:r>
        <w:rPr>
          <w:rFonts w:hint="eastAsia" w:ascii="仿宋_GB2312" w:hAnsi="仿宋_GB2312" w:eastAsia="仿宋_GB2312" w:cs="仿宋_GB2312"/>
          <w:b w:val="0"/>
          <w:bCs w:val="0"/>
          <w:color w:val="auto"/>
          <w:kern w:val="0"/>
          <w:sz w:val="32"/>
          <w:szCs w:val="32"/>
          <w:lang w:val="en-US" w:eastAsia="zh-CN" w:bidi="ar-SA"/>
        </w:rPr>
        <w:t>。</w:t>
      </w:r>
      <w:r>
        <w:rPr>
          <w:rFonts w:hint="eastAsia" w:ascii="仿宋_GB2312" w:hAnsi="仿宋_GB2312" w:eastAsia="仿宋_GB2312" w:cs="仿宋_GB2312"/>
          <w:color w:val="auto"/>
          <w:kern w:val="0"/>
          <w:sz w:val="32"/>
          <w:szCs w:val="32"/>
          <w:lang w:val="en-US" w:eastAsia="zh-CN" w:bidi="ar-SA"/>
        </w:rPr>
        <w:t>年初预算36.09万元，支出决算36.09万元，完成年初预算的100%。</w:t>
      </w:r>
      <w:r>
        <w:rPr>
          <w:rFonts w:hint="eastAsia" w:ascii="仿宋_GB2312" w:eastAsia="仿宋_GB2312"/>
          <w:b w:val="0"/>
          <w:bCs w:val="0"/>
          <w:color w:val="auto"/>
          <w:sz w:val="32"/>
          <w:szCs w:val="32"/>
          <w:lang w:val="en-US" w:eastAsia="zh-CN"/>
        </w:rPr>
        <w:t>决</w:t>
      </w:r>
      <w:r>
        <w:rPr>
          <w:rFonts w:hint="eastAsia" w:ascii="仿宋_GB2312" w:eastAsia="仿宋_GB2312"/>
          <w:b w:val="0"/>
          <w:bCs w:val="0"/>
          <w:color w:val="auto"/>
          <w:sz w:val="32"/>
          <w:szCs w:val="32"/>
        </w:rPr>
        <w:t>算数与年初预算数的差异原因：</w:t>
      </w:r>
      <w:r>
        <w:rPr>
          <w:rFonts w:hint="eastAsia" w:ascii="仿宋_GB2312" w:eastAsia="仿宋_GB2312"/>
          <w:b w:val="0"/>
          <w:bCs w:val="0"/>
          <w:color w:val="auto"/>
          <w:sz w:val="32"/>
          <w:szCs w:val="32"/>
          <w:lang w:val="en-US" w:eastAsia="zh-CN"/>
        </w:rPr>
        <w:t>增加</w:t>
      </w:r>
      <w:r>
        <w:rPr>
          <w:rFonts w:hint="eastAsia" w:ascii="仿宋_GB2312" w:eastAsia="仿宋_GB2312"/>
          <w:color w:val="auto"/>
          <w:sz w:val="32"/>
          <w:szCs w:val="32"/>
        </w:rPr>
        <w:t>第十一届全区少数民族传统体育运动会代表团开幕式入场驻停表演经费</w:t>
      </w:r>
      <w:r>
        <w:rPr>
          <w:rFonts w:hint="eastAsia" w:ascii="仿宋_GB2312" w:eastAsia="仿宋_GB2312"/>
          <w:color w:val="auto"/>
          <w:sz w:val="32"/>
          <w:szCs w:val="32"/>
          <w:lang w:eastAsia="zh-CN"/>
        </w:rPr>
        <w:t>。</w:t>
      </w:r>
    </w:p>
    <w:p>
      <w:pPr>
        <w:widowControl/>
        <w:spacing w:before="240" w:after="240"/>
        <w:jc w:val="left"/>
        <w:rPr>
          <w:rFonts w:hint="eastAsia" w:ascii="仿宋_GB2312" w:hAnsi="仿宋_GB2312" w:eastAsia="仿宋_GB2312" w:cs="仿宋_GB2312"/>
          <w:b/>
          <w:bCs/>
          <w:color w:val="auto"/>
          <w:kern w:val="0"/>
          <w:sz w:val="32"/>
          <w:szCs w:val="32"/>
          <w:lang w:val="en-US" w:eastAsia="zh-CN" w:bidi="ar-SA"/>
        </w:rPr>
      </w:pPr>
      <w:r>
        <w:rPr>
          <w:rFonts w:hint="eastAsia" w:ascii="仿宋_GB2312" w:hAnsi="仿宋_GB2312" w:eastAsia="仿宋_GB2312" w:cs="仿宋_GB2312"/>
          <w:b/>
          <w:bCs/>
          <w:color w:val="auto"/>
          <w:kern w:val="0"/>
          <w:sz w:val="32"/>
          <w:szCs w:val="32"/>
          <w:lang w:val="en-US" w:eastAsia="zh-CN" w:bidi="ar-SA"/>
        </w:rPr>
        <w:t xml:space="preserve"> （二）文化体育旅游与传媒（类）</w:t>
      </w:r>
    </w:p>
    <w:p>
      <w:pPr>
        <w:pStyle w:val="34"/>
        <w:widowControl/>
        <w:spacing w:before="240" w:after="240" w:line="560" w:lineRule="atLeast"/>
        <w:ind w:firstLine="640"/>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b w:val="0"/>
          <w:bCs w:val="0"/>
          <w:color w:val="auto"/>
          <w:kern w:val="0"/>
          <w:sz w:val="32"/>
          <w:szCs w:val="32"/>
          <w:lang w:val="en-US" w:eastAsia="zh-CN" w:bidi="ar-SA"/>
        </w:rPr>
        <w:t>文化体育旅游与传媒（类）决算</w:t>
      </w:r>
      <w:r>
        <w:rPr>
          <w:rFonts w:hint="eastAsia" w:ascii="仿宋_GB2312" w:hAnsi="仿宋_GB2312" w:eastAsia="仿宋_GB2312" w:cs="仿宋_GB2312"/>
          <w:color w:val="auto"/>
          <w:kern w:val="0"/>
          <w:sz w:val="32"/>
          <w:szCs w:val="32"/>
          <w:lang w:val="en-US" w:eastAsia="zh-CN" w:bidi="ar-SA"/>
        </w:rPr>
        <w:t>数为946.94万元，与年初预算相比减少300.16万元。其中：</w:t>
      </w:r>
    </w:p>
    <w:p>
      <w:pPr>
        <w:widowControl/>
        <w:spacing w:before="240" w:after="240"/>
        <w:ind w:firstLine="640" w:firstLineChars="200"/>
        <w:jc w:val="left"/>
        <w:rPr>
          <w:rFonts w:hint="eastAsia" w:ascii="仿宋_GB2312" w:eastAsia="仿宋_GB2312"/>
          <w:color w:val="auto"/>
          <w:sz w:val="32"/>
          <w:szCs w:val="32"/>
        </w:rPr>
      </w:pPr>
      <w:r>
        <w:rPr>
          <w:rFonts w:hint="eastAsia" w:ascii="仿宋_GB2312" w:eastAsia="仿宋_GB2312"/>
          <w:b w:val="0"/>
          <w:bCs w:val="0"/>
          <w:color w:val="auto"/>
          <w:sz w:val="32"/>
          <w:szCs w:val="32"/>
          <w:lang w:val="en-US" w:eastAsia="zh-CN"/>
        </w:rPr>
        <w:t>1、</w:t>
      </w:r>
      <w:r>
        <w:rPr>
          <w:rFonts w:hint="eastAsia" w:ascii="仿宋_GB2312" w:eastAsia="仿宋_GB2312"/>
          <w:b w:val="0"/>
          <w:bCs w:val="0"/>
          <w:color w:val="auto"/>
          <w:sz w:val="32"/>
          <w:szCs w:val="32"/>
        </w:rPr>
        <w:t>文化和旅游（款）艺术表演团体（项）</w:t>
      </w:r>
      <w:r>
        <w:rPr>
          <w:rFonts w:hint="eastAsia" w:ascii="仿宋_GB2312" w:hAnsi="仿宋_GB2312" w:eastAsia="仿宋_GB2312" w:cs="仿宋_GB2312"/>
          <w:b w:val="0"/>
          <w:bCs w:val="0"/>
          <w:color w:val="auto"/>
          <w:kern w:val="0"/>
          <w:sz w:val="32"/>
          <w:szCs w:val="32"/>
          <w:lang w:val="en-US" w:eastAsia="zh-CN" w:bidi="ar-SA"/>
        </w:rPr>
        <w:t>。</w:t>
      </w:r>
      <w:r>
        <w:rPr>
          <w:rFonts w:hint="eastAsia" w:ascii="仿宋_GB2312" w:hAnsi="仿宋_GB2312" w:eastAsia="仿宋_GB2312" w:cs="仿宋_GB2312"/>
          <w:color w:val="auto"/>
          <w:kern w:val="0"/>
          <w:sz w:val="32"/>
          <w:szCs w:val="32"/>
          <w:lang w:val="en-US" w:eastAsia="zh-CN" w:bidi="ar-SA"/>
        </w:rPr>
        <w:t>年初预算1247.10万元，支出决算943.71万元，完成年初预算的75.67%。</w:t>
      </w:r>
      <w:r>
        <w:rPr>
          <w:rFonts w:hint="eastAsia" w:ascii="仿宋_GB2312" w:eastAsia="仿宋_GB2312"/>
          <w:b w:val="0"/>
          <w:bCs w:val="0"/>
          <w:color w:val="auto"/>
          <w:sz w:val="32"/>
          <w:szCs w:val="32"/>
          <w:lang w:val="en-US" w:eastAsia="zh-CN"/>
        </w:rPr>
        <w:t>决</w:t>
      </w:r>
      <w:r>
        <w:rPr>
          <w:rFonts w:hint="eastAsia" w:ascii="仿宋_GB2312" w:eastAsia="仿宋_GB2312"/>
          <w:b w:val="0"/>
          <w:bCs w:val="0"/>
          <w:color w:val="auto"/>
          <w:sz w:val="32"/>
          <w:szCs w:val="32"/>
        </w:rPr>
        <w:t>算数与年初预算数的差异原因：</w:t>
      </w:r>
      <w:r>
        <w:rPr>
          <w:rFonts w:hint="eastAsia" w:ascii="仿宋_GB2312" w:eastAsia="仿宋_GB2312"/>
          <w:color w:val="auto"/>
          <w:sz w:val="32"/>
          <w:szCs w:val="32"/>
        </w:rPr>
        <w:t>减少了人员</w:t>
      </w:r>
      <w:r>
        <w:rPr>
          <w:rFonts w:hint="eastAsia" w:ascii="仿宋_GB2312" w:eastAsia="仿宋_GB2312"/>
          <w:color w:val="auto"/>
          <w:sz w:val="32"/>
          <w:szCs w:val="32"/>
          <w:lang w:val="en-US" w:eastAsia="zh-CN"/>
        </w:rPr>
        <w:t>经费及</w:t>
      </w:r>
      <w:r>
        <w:rPr>
          <w:rFonts w:hint="eastAsia" w:ascii="仿宋_GB2312" w:eastAsia="仿宋_GB2312"/>
          <w:color w:val="auto"/>
          <w:sz w:val="32"/>
          <w:szCs w:val="32"/>
        </w:rPr>
        <w:t>项目</w:t>
      </w:r>
      <w:r>
        <w:rPr>
          <w:rFonts w:hint="eastAsia" w:ascii="仿宋_GB2312" w:eastAsia="仿宋_GB2312"/>
          <w:color w:val="auto"/>
          <w:sz w:val="32"/>
          <w:szCs w:val="32"/>
          <w:lang w:val="en-US" w:eastAsia="zh-CN"/>
        </w:rPr>
        <w:t>经费支出</w:t>
      </w:r>
      <w:r>
        <w:rPr>
          <w:rFonts w:hint="eastAsia" w:ascii="仿宋_GB2312" w:eastAsia="仿宋_GB2312"/>
          <w:color w:val="auto"/>
          <w:sz w:val="32"/>
          <w:szCs w:val="32"/>
        </w:rPr>
        <w:t>。</w:t>
      </w:r>
    </w:p>
    <w:p>
      <w:pPr>
        <w:pStyle w:val="23"/>
        <w:ind w:firstLine="640" w:firstLineChars="200"/>
        <w:jc w:val="left"/>
        <w:rPr>
          <w:rFonts w:hint="eastAsia"/>
          <w:b w:val="0"/>
          <w:bCs w:val="0"/>
        </w:rPr>
      </w:pPr>
      <w:r>
        <w:rPr>
          <w:rFonts w:hint="eastAsia" w:ascii="仿宋_GB2312" w:eastAsia="仿宋_GB2312"/>
          <w:b w:val="0"/>
          <w:bCs w:val="0"/>
          <w:color w:val="auto"/>
          <w:sz w:val="32"/>
          <w:szCs w:val="32"/>
          <w:lang w:val="en-US" w:eastAsia="zh-CN"/>
        </w:rPr>
        <w:t>2、</w:t>
      </w:r>
      <w:r>
        <w:rPr>
          <w:rFonts w:hint="eastAsia" w:ascii="仿宋_GB2312" w:eastAsia="仿宋_GB2312"/>
          <w:b w:val="0"/>
          <w:bCs w:val="0"/>
          <w:color w:val="auto"/>
          <w:sz w:val="32"/>
          <w:szCs w:val="32"/>
        </w:rPr>
        <w:t>文化和旅游（款）</w:t>
      </w:r>
      <w:r>
        <w:rPr>
          <w:rFonts w:hint="eastAsia" w:ascii="仿宋_GB2312" w:eastAsia="仿宋_GB2312"/>
          <w:b w:val="0"/>
          <w:bCs w:val="0"/>
          <w:color w:val="auto"/>
          <w:sz w:val="32"/>
          <w:szCs w:val="32"/>
          <w:lang w:val="en-US" w:eastAsia="zh-CN"/>
        </w:rPr>
        <w:t>文化创作与保护</w:t>
      </w:r>
      <w:r>
        <w:rPr>
          <w:rFonts w:hint="eastAsia" w:ascii="仿宋_GB2312" w:eastAsia="仿宋_GB2312"/>
          <w:b w:val="0"/>
          <w:bCs w:val="0"/>
          <w:color w:val="auto"/>
          <w:sz w:val="32"/>
          <w:szCs w:val="32"/>
        </w:rPr>
        <w:t>（项）</w:t>
      </w:r>
      <w:r>
        <w:rPr>
          <w:rFonts w:hint="eastAsia" w:ascii="仿宋_GB2312" w:hAnsi="仿宋_GB2312" w:eastAsia="仿宋_GB2312" w:cs="仿宋_GB2312"/>
          <w:b w:val="0"/>
          <w:bCs w:val="0"/>
          <w:color w:val="auto"/>
          <w:kern w:val="0"/>
          <w:sz w:val="32"/>
          <w:szCs w:val="32"/>
          <w:lang w:val="en-US" w:eastAsia="zh-CN" w:bidi="ar-SA"/>
        </w:rPr>
        <w:t>。年初预算0万元，支出决算3.23万元，完成年初预算的0%。</w:t>
      </w:r>
      <w:r>
        <w:rPr>
          <w:rFonts w:hint="eastAsia" w:ascii="仿宋_GB2312" w:eastAsia="仿宋_GB2312"/>
          <w:b w:val="0"/>
          <w:bCs w:val="0"/>
          <w:color w:val="auto"/>
          <w:sz w:val="32"/>
          <w:szCs w:val="32"/>
          <w:lang w:val="en-US" w:eastAsia="zh-CN"/>
        </w:rPr>
        <w:t>决</w:t>
      </w:r>
      <w:r>
        <w:rPr>
          <w:rFonts w:hint="eastAsia" w:ascii="仿宋_GB2312" w:eastAsia="仿宋_GB2312"/>
          <w:b w:val="0"/>
          <w:bCs w:val="0"/>
          <w:color w:val="auto"/>
          <w:sz w:val="32"/>
          <w:szCs w:val="32"/>
        </w:rPr>
        <w:t>算数与年初预算数的差异原因：</w:t>
      </w:r>
      <w:r>
        <w:rPr>
          <w:rFonts w:hint="eastAsia" w:ascii="仿宋_GB2312" w:eastAsia="仿宋_GB2312"/>
          <w:b w:val="0"/>
          <w:bCs w:val="0"/>
          <w:color w:val="auto"/>
          <w:sz w:val="32"/>
          <w:szCs w:val="32"/>
          <w:lang w:val="en-US" w:eastAsia="zh-CN"/>
        </w:rPr>
        <w:t>增加艺术发展专资金经费支出</w:t>
      </w:r>
      <w:r>
        <w:rPr>
          <w:rFonts w:hint="eastAsia" w:ascii="仿宋_GB2312" w:eastAsia="仿宋_GB2312"/>
          <w:b w:val="0"/>
          <w:bCs w:val="0"/>
          <w:color w:val="auto"/>
          <w:sz w:val="32"/>
          <w:szCs w:val="32"/>
        </w:rPr>
        <w:t>。</w:t>
      </w:r>
    </w:p>
    <w:p>
      <w:pPr>
        <w:pStyle w:val="34"/>
        <w:widowControl/>
        <w:numPr>
          <w:ilvl w:val="0"/>
          <w:numId w:val="0"/>
        </w:numPr>
        <w:spacing w:before="240" w:after="240" w:line="560" w:lineRule="atLeast"/>
        <w:ind w:left="490" w:leftChars="0"/>
        <w:rPr>
          <w:rFonts w:hint="eastAsia" w:ascii="仿宋_GB2312" w:hAnsi="仿宋_GB2312" w:eastAsia="仿宋_GB2312" w:cs="仿宋_GB2312"/>
          <w:b/>
          <w:bCs/>
          <w:color w:val="auto"/>
          <w:kern w:val="0"/>
          <w:sz w:val="32"/>
          <w:szCs w:val="32"/>
          <w:lang w:val="en-US" w:eastAsia="zh-CN" w:bidi="ar-SA"/>
        </w:rPr>
      </w:pPr>
      <w:r>
        <w:rPr>
          <w:rFonts w:hint="eastAsia" w:ascii="仿宋_GB2312" w:hAnsi="仿宋_GB2312" w:eastAsia="仿宋_GB2312" w:cs="仿宋_GB2312"/>
          <w:b/>
          <w:bCs/>
          <w:color w:val="auto"/>
          <w:kern w:val="0"/>
          <w:sz w:val="32"/>
          <w:szCs w:val="32"/>
          <w:lang w:val="en-US" w:eastAsia="zh-CN" w:bidi="ar-SA"/>
        </w:rPr>
        <w:t>（三）社会保障和就业支出（类）</w:t>
      </w:r>
    </w:p>
    <w:p>
      <w:pPr>
        <w:pStyle w:val="34"/>
        <w:widowControl/>
        <w:numPr>
          <w:ilvl w:val="0"/>
          <w:numId w:val="0"/>
        </w:numPr>
        <w:spacing w:before="240" w:after="240" w:line="560" w:lineRule="atLeast"/>
        <w:ind w:firstLine="640" w:firstLineChars="200"/>
        <w:rPr>
          <w:rFonts w:hint="eastAsia" w:ascii="仿宋_GB2312" w:hAnsi="仿宋_GB2312" w:eastAsia="仿宋_GB2312" w:cs="仿宋_GB2312"/>
          <w:b w:val="0"/>
          <w:bCs w:val="0"/>
          <w:color w:val="auto"/>
          <w:kern w:val="0"/>
          <w:sz w:val="32"/>
          <w:szCs w:val="32"/>
          <w:lang w:val="en-US" w:eastAsia="zh-CN" w:bidi="ar-SA"/>
        </w:rPr>
      </w:pPr>
      <w:r>
        <w:rPr>
          <w:rFonts w:hint="eastAsia" w:ascii="仿宋_GB2312" w:hAnsi="仿宋_GB2312" w:eastAsia="仿宋_GB2312" w:cs="仿宋_GB2312"/>
          <w:b w:val="0"/>
          <w:bCs w:val="0"/>
          <w:color w:val="auto"/>
          <w:kern w:val="0"/>
          <w:sz w:val="32"/>
          <w:szCs w:val="32"/>
          <w:lang w:val="en-US" w:eastAsia="zh-CN" w:bidi="ar-SA"/>
        </w:rPr>
        <w:t>社会保障和就业支出（类）决算数为 </w:t>
      </w:r>
      <w:r>
        <w:rPr>
          <w:rFonts w:hint="default" w:ascii="仿宋_GB2312" w:hAnsi="仿宋_GB2312" w:eastAsia="仿宋_GB2312" w:cs="仿宋_GB2312"/>
          <w:b w:val="0"/>
          <w:bCs w:val="0"/>
          <w:color w:val="auto"/>
          <w:kern w:val="0"/>
          <w:sz w:val="32"/>
          <w:szCs w:val="32"/>
          <w:lang w:val="en-US" w:eastAsia="zh-CN" w:bidi="ar-SA"/>
        </w:rPr>
        <w:t>307.55</w:t>
      </w:r>
      <w:r>
        <w:rPr>
          <w:rFonts w:hint="eastAsia" w:ascii="仿宋_GB2312" w:hAnsi="仿宋_GB2312" w:eastAsia="仿宋_GB2312" w:cs="仿宋_GB2312"/>
          <w:b w:val="0"/>
          <w:bCs w:val="0"/>
          <w:color w:val="auto"/>
          <w:kern w:val="0"/>
          <w:sz w:val="32"/>
          <w:szCs w:val="32"/>
          <w:lang w:val="en-US" w:eastAsia="zh-CN" w:bidi="ar-SA"/>
        </w:rPr>
        <w:t>万元，与年初预算相比减少</w:t>
      </w:r>
      <w:r>
        <w:rPr>
          <w:rFonts w:hint="default" w:ascii="仿宋_GB2312" w:hAnsi="仿宋_GB2312" w:eastAsia="仿宋_GB2312" w:cs="仿宋_GB2312"/>
          <w:b w:val="0"/>
          <w:bCs w:val="0"/>
          <w:color w:val="auto"/>
          <w:kern w:val="0"/>
          <w:sz w:val="32"/>
          <w:szCs w:val="32"/>
          <w:lang w:val="en-US" w:eastAsia="zh-CN" w:bidi="ar-SA"/>
        </w:rPr>
        <w:t>75.61</w:t>
      </w:r>
      <w:r>
        <w:rPr>
          <w:rFonts w:hint="eastAsia" w:ascii="仿宋_GB2312" w:hAnsi="仿宋_GB2312" w:eastAsia="仿宋_GB2312" w:cs="仿宋_GB2312"/>
          <w:b w:val="0"/>
          <w:bCs w:val="0"/>
          <w:color w:val="auto"/>
          <w:kern w:val="0"/>
          <w:sz w:val="32"/>
          <w:szCs w:val="32"/>
          <w:lang w:val="en-US" w:eastAsia="zh-CN" w:bidi="ar-SA"/>
        </w:rPr>
        <w:t>万元。其中：</w:t>
      </w:r>
    </w:p>
    <w:p>
      <w:pPr>
        <w:pStyle w:val="34"/>
        <w:widowControl/>
        <w:numPr>
          <w:ilvl w:val="0"/>
          <w:numId w:val="3"/>
        </w:numPr>
        <w:spacing w:before="240" w:after="240" w:line="560" w:lineRule="atLeast"/>
        <w:ind w:firstLine="640" w:firstLineChars="200"/>
        <w:rPr>
          <w:rFonts w:hint="eastAsia" w:ascii="仿宋_GB2312" w:hAnsi="仿宋_GB2312" w:eastAsia="仿宋_GB2312" w:cs="仿宋_GB2312"/>
          <w:b w:val="0"/>
          <w:bCs w:val="0"/>
          <w:color w:val="auto"/>
          <w:kern w:val="0"/>
          <w:sz w:val="32"/>
          <w:szCs w:val="32"/>
          <w:lang w:val="en-US" w:eastAsia="zh-CN" w:bidi="ar-SA"/>
        </w:rPr>
      </w:pPr>
      <w:r>
        <w:rPr>
          <w:rFonts w:hint="eastAsia" w:ascii="仿宋_GB2312" w:hAnsi="仿宋_GB2312" w:eastAsia="仿宋_GB2312" w:cs="仿宋_GB2312"/>
          <w:b w:val="0"/>
          <w:bCs w:val="0"/>
          <w:color w:val="auto"/>
          <w:kern w:val="0"/>
          <w:sz w:val="32"/>
          <w:szCs w:val="32"/>
          <w:lang w:val="en-US" w:eastAsia="zh-CN" w:bidi="ar-SA"/>
        </w:rPr>
        <w:t>行政事业单位养老支出（款）事业单位离退休（项）。年初预算</w:t>
      </w:r>
      <w:r>
        <w:rPr>
          <w:rFonts w:hint="default" w:ascii="仿宋_GB2312" w:hAnsi="仿宋_GB2312" w:eastAsia="仿宋_GB2312" w:cs="仿宋_GB2312"/>
          <w:b w:val="0"/>
          <w:bCs w:val="0"/>
          <w:color w:val="auto"/>
          <w:kern w:val="0"/>
          <w:sz w:val="32"/>
          <w:szCs w:val="32"/>
          <w:lang w:val="en-US" w:eastAsia="zh-CN" w:bidi="ar-SA"/>
        </w:rPr>
        <w:t>302.35</w:t>
      </w:r>
      <w:r>
        <w:rPr>
          <w:rFonts w:hint="eastAsia" w:ascii="仿宋_GB2312" w:hAnsi="仿宋_GB2312" w:eastAsia="仿宋_GB2312" w:cs="仿宋_GB2312"/>
          <w:b w:val="0"/>
          <w:bCs w:val="0"/>
          <w:color w:val="auto"/>
          <w:kern w:val="0"/>
          <w:sz w:val="32"/>
          <w:szCs w:val="32"/>
          <w:lang w:val="en-US" w:eastAsia="zh-CN" w:bidi="ar-SA"/>
        </w:rPr>
        <w:t>万元，支出决算</w:t>
      </w:r>
      <w:r>
        <w:rPr>
          <w:rFonts w:hint="default" w:ascii="仿宋_GB2312" w:hAnsi="仿宋_GB2312" w:eastAsia="仿宋_GB2312" w:cs="仿宋_GB2312"/>
          <w:b w:val="0"/>
          <w:bCs w:val="0"/>
          <w:color w:val="auto"/>
          <w:kern w:val="0"/>
          <w:sz w:val="32"/>
          <w:szCs w:val="32"/>
          <w:lang w:val="en-US" w:eastAsia="zh-CN" w:bidi="ar-SA"/>
        </w:rPr>
        <w:t>226.69</w:t>
      </w:r>
      <w:r>
        <w:rPr>
          <w:rFonts w:hint="eastAsia" w:ascii="仿宋_GB2312" w:hAnsi="仿宋_GB2312" w:eastAsia="仿宋_GB2312" w:cs="仿宋_GB2312"/>
          <w:b w:val="0"/>
          <w:bCs w:val="0"/>
          <w:color w:val="auto"/>
          <w:kern w:val="0"/>
          <w:sz w:val="32"/>
          <w:szCs w:val="32"/>
          <w:lang w:val="en-US" w:eastAsia="zh-CN" w:bidi="ar-SA"/>
        </w:rPr>
        <w:t>万元，完成年初预算的</w:t>
      </w:r>
      <w:r>
        <w:rPr>
          <w:rFonts w:hint="default" w:ascii="仿宋_GB2312" w:hAnsi="仿宋_GB2312" w:eastAsia="仿宋_GB2312" w:cs="仿宋_GB2312"/>
          <w:b w:val="0"/>
          <w:bCs w:val="0"/>
          <w:color w:val="auto"/>
          <w:kern w:val="0"/>
          <w:sz w:val="32"/>
          <w:szCs w:val="32"/>
          <w:lang w:val="en-US" w:eastAsia="zh-CN" w:bidi="ar-SA"/>
        </w:rPr>
        <w:t>74.98</w:t>
      </w:r>
      <w:r>
        <w:rPr>
          <w:rFonts w:hint="eastAsia" w:ascii="仿宋_GB2312" w:hAnsi="仿宋_GB2312" w:eastAsia="仿宋_GB2312" w:cs="仿宋_GB2312"/>
          <w:b w:val="0"/>
          <w:bCs w:val="0"/>
          <w:color w:val="auto"/>
          <w:kern w:val="0"/>
          <w:sz w:val="32"/>
          <w:szCs w:val="32"/>
          <w:lang w:val="en-US" w:eastAsia="zh-CN" w:bidi="ar-SA"/>
        </w:rPr>
        <w:t>%。决算数与年初预算数的差异原因：</w:t>
      </w:r>
      <w:r>
        <w:rPr>
          <w:rFonts w:hint="eastAsia" w:ascii="仿宋" w:hAnsi="仿宋" w:eastAsia="仿宋" w:cs="仿宋"/>
          <w:color w:val="auto"/>
          <w:sz w:val="32"/>
          <w:szCs w:val="32"/>
        </w:rPr>
        <w:t>减少了退休</w:t>
      </w:r>
      <w:r>
        <w:rPr>
          <w:rFonts w:hint="eastAsia" w:ascii="仿宋" w:hAnsi="仿宋" w:eastAsia="仿宋" w:cs="仿宋"/>
          <w:color w:val="auto"/>
          <w:sz w:val="32"/>
          <w:szCs w:val="32"/>
          <w:lang w:val="en-US" w:eastAsia="zh-CN"/>
        </w:rPr>
        <w:t>人员</w:t>
      </w:r>
      <w:r>
        <w:rPr>
          <w:rFonts w:hint="eastAsia" w:ascii="仿宋" w:hAnsi="仿宋" w:eastAsia="仿宋" w:cs="仿宋"/>
          <w:color w:val="auto"/>
          <w:sz w:val="32"/>
          <w:szCs w:val="32"/>
        </w:rPr>
        <w:t>经费</w:t>
      </w:r>
      <w:r>
        <w:rPr>
          <w:rFonts w:hint="eastAsia" w:ascii="仿宋" w:hAnsi="仿宋" w:eastAsia="仿宋" w:cs="仿宋"/>
          <w:color w:val="auto"/>
          <w:sz w:val="32"/>
          <w:szCs w:val="32"/>
          <w:lang w:val="en-US" w:eastAsia="zh-CN"/>
        </w:rPr>
        <w:t>支出</w:t>
      </w:r>
      <w:r>
        <w:rPr>
          <w:rFonts w:hint="eastAsia" w:ascii="仿宋_GB2312" w:hAnsi="仿宋_GB2312" w:eastAsia="仿宋_GB2312" w:cs="仿宋_GB2312"/>
          <w:b w:val="0"/>
          <w:bCs w:val="0"/>
          <w:color w:val="auto"/>
          <w:kern w:val="0"/>
          <w:sz w:val="32"/>
          <w:szCs w:val="32"/>
          <w:lang w:val="en-US" w:eastAsia="zh-CN" w:bidi="ar-SA"/>
        </w:rPr>
        <w:t>。</w:t>
      </w:r>
    </w:p>
    <w:p>
      <w:pPr>
        <w:pStyle w:val="34"/>
        <w:widowControl/>
        <w:numPr>
          <w:ilvl w:val="0"/>
          <w:numId w:val="3"/>
        </w:numPr>
        <w:spacing w:before="240" w:after="240" w:line="560" w:lineRule="atLeast"/>
        <w:ind w:firstLine="640" w:firstLineChars="200"/>
        <w:rPr>
          <w:rFonts w:hint="eastAsia" w:ascii="仿宋_GB2312" w:hAnsi="仿宋_GB2312" w:eastAsia="仿宋_GB2312" w:cs="仿宋_GB2312"/>
          <w:b w:val="0"/>
          <w:bCs w:val="0"/>
          <w:color w:val="auto"/>
          <w:kern w:val="0"/>
          <w:sz w:val="32"/>
          <w:szCs w:val="32"/>
          <w:lang w:val="en-US" w:eastAsia="zh-CN" w:bidi="ar-SA"/>
        </w:rPr>
      </w:pPr>
      <w:r>
        <w:rPr>
          <w:rFonts w:hint="eastAsia" w:ascii="仿宋_GB2312" w:hAnsi="仿宋_GB2312" w:eastAsia="仿宋_GB2312" w:cs="仿宋_GB2312"/>
          <w:b w:val="0"/>
          <w:bCs w:val="0"/>
          <w:color w:val="auto"/>
          <w:kern w:val="0"/>
          <w:sz w:val="32"/>
          <w:szCs w:val="32"/>
          <w:lang w:val="en-US" w:eastAsia="zh-CN" w:bidi="ar-SA"/>
        </w:rPr>
        <w:t>行政事业单位养老支出（款）机关事业单位基本养老保险缴费支出（项）。年初预算</w:t>
      </w:r>
      <w:r>
        <w:rPr>
          <w:rFonts w:hint="default" w:ascii="仿宋_GB2312" w:hAnsi="仿宋_GB2312" w:eastAsia="仿宋_GB2312" w:cs="仿宋_GB2312"/>
          <w:b w:val="0"/>
          <w:bCs w:val="0"/>
          <w:color w:val="auto"/>
          <w:kern w:val="0"/>
          <w:sz w:val="32"/>
          <w:szCs w:val="32"/>
          <w:lang w:val="en-US" w:eastAsia="zh-CN" w:bidi="ar-SA"/>
        </w:rPr>
        <w:t>69.58</w:t>
      </w:r>
      <w:r>
        <w:rPr>
          <w:rFonts w:hint="eastAsia" w:ascii="仿宋_GB2312" w:hAnsi="仿宋_GB2312" w:eastAsia="仿宋_GB2312" w:cs="仿宋_GB2312"/>
          <w:b w:val="0"/>
          <w:bCs w:val="0"/>
          <w:color w:val="auto"/>
          <w:kern w:val="0"/>
          <w:sz w:val="32"/>
          <w:szCs w:val="32"/>
          <w:lang w:val="en-US" w:eastAsia="zh-CN" w:bidi="ar-SA"/>
        </w:rPr>
        <w:t>万元，支出决算</w:t>
      </w:r>
      <w:r>
        <w:rPr>
          <w:rFonts w:hint="default" w:ascii="仿宋_GB2312" w:hAnsi="仿宋_GB2312" w:eastAsia="仿宋_GB2312" w:cs="仿宋_GB2312"/>
          <w:b w:val="0"/>
          <w:bCs w:val="0"/>
          <w:color w:val="auto"/>
          <w:kern w:val="0"/>
          <w:sz w:val="32"/>
          <w:szCs w:val="32"/>
          <w:lang w:val="en-US" w:eastAsia="zh-CN" w:bidi="ar-SA"/>
        </w:rPr>
        <w:t>70.83</w:t>
      </w:r>
      <w:r>
        <w:rPr>
          <w:rFonts w:hint="eastAsia" w:ascii="仿宋_GB2312" w:hAnsi="仿宋_GB2312" w:eastAsia="仿宋_GB2312" w:cs="仿宋_GB2312"/>
          <w:b w:val="0"/>
          <w:bCs w:val="0"/>
          <w:color w:val="auto"/>
          <w:kern w:val="0"/>
          <w:sz w:val="32"/>
          <w:szCs w:val="32"/>
          <w:lang w:val="en-US" w:eastAsia="zh-CN" w:bidi="ar-SA"/>
        </w:rPr>
        <w:t>万元，完成年初预算的</w:t>
      </w:r>
      <w:r>
        <w:rPr>
          <w:rFonts w:hint="default" w:ascii="仿宋_GB2312" w:hAnsi="仿宋_GB2312" w:eastAsia="仿宋_GB2312" w:cs="仿宋_GB2312"/>
          <w:b w:val="0"/>
          <w:bCs w:val="0"/>
          <w:color w:val="auto"/>
          <w:kern w:val="0"/>
          <w:sz w:val="32"/>
          <w:szCs w:val="32"/>
          <w:lang w:val="en-US" w:eastAsia="zh-CN" w:bidi="ar-SA"/>
        </w:rPr>
        <w:t>101.80</w:t>
      </w:r>
      <w:r>
        <w:rPr>
          <w:rFonts w:hint="eastAsia" w:ascii="仿宋_GB2312" w:hAnsi="仿宋_GB2312" w:eastAsia="仿宋_GB2312" w:cs="仿宋_GB2312"/>
          <w:b w:val="0"/>
          <w:bCs w:val="0"/>
          <w:color w:val="auto"/>
          <w:kern w:val="0"/>
          <w:sz w:val="32"/>
          <w:szCs w:val="32"/>
          <w:lang w:val="en-US" w:eastAsia="zh-CN" w:bidi="ar-SA"/>
        </w:rPr>
        <w:t>%。决算数与年初预算数的差异原因：2025年人员变动及社保缴费基数调差，相对增加了机关事业单位基本养老保险缴费支出。</w:t>
      </w:r>
    </w:p>
    <w:p>
      <w:pPr>
        <w:pStyle w:val="34"/>
        <w:widowControl/>
        <w:numPr>
          <w:ilvl w:val="0"/>
          <w:numId w:val="0"/>
        </w:numPr>
        <w:spacing w:before="240" w:after="240" w:line="560" w:lineRule="atLeast"/>
        <w:ind w:firstLine="640" w:firstLineChars="200"/>
        <w:rPr>
          <w:rFonts w:hint="default" w:ascii="仿宋_GB2312" w:hAnsi="仿宋_GB2312" w:eastAsia="仿宋_GB2312" w:cs="仿宋_GB2312"/>
          <w:b w:val="0"/>
          <w:bCs w:val="0"/>
          <w:color w:val="FF0000"/>
          <w:kern w:val="0"/>
          <w:sz w:val="32"/>
          <w:szCs w:val="32"/>
          <w:lang w:val="en-US" w:eastAsia="zh-CN" w:bidi="ar-SA"/>
        </w:rPr>
      </w:pPr>
      <w:r>
        <w:rPr>
          <w:rFonts w:hint="eastAsia" w:ascii="仿宋_GB2312" w:hAnsi="仿宋_GB2312" w:eastAsia="仿宋_GB2312" w:cs="仿宋_GB2312"/>
          <w:b w:val="0"/>
          <w:bCs w:val="0"/>
          <w:color w:val="auto"/>
          <w:kern w:val="0"/>
          <w:sz w:val="32"/>
          <w:szCs w:val="32"/>
          <w:lang w:val="en-US" w:eastAsia="zh-CN" w:bidi="ar-SA"/>
        </w:rPr>
        <w:t>3、行政事业单位养老支出（款）机关事业单位职业年金缴费支出（项）。年初预算7.85万元，支出决算6.82万元，完成年初预算的86.88%。决算数与年初预算数的差异原因：2025年退休1人，按社保通知数据，实缴退休前机关事业单位职业年金缴费。</w:t>
      </w:r>
    </w:p>
    <w:p>
      <w:pPr>
        <w:pStyle w:val="34"/>
        <w:widowControl/>
        <w:numPr>
          <w:ilvl w:val="0"/>
          <w:numId w:val="0"/>
        </w:numPr>
        <w:spacing w:before="240" w:after="240" w:line="560" w:lineRule="atLeast"/>
        <w:ind w:firstLine="640" w:firstLineChars="200"/>
        <w:rPr>
          <w:rFonts w:hint="eastAsia" w:ascii="仿宋_GB2312" w:hAnsi="仿宋_GB2312" w:eastAsia="仿宋_GB2312" w:cs="仿宋_GB2312"/>
          <w:b/>
          <w:bCs/>
          <w:color w:val="auto"/>
          <w:kern w:val="0"/>
          <w:sz w:val="32"/>
          <w:szCs w:val="32"/>
          <w:lang w:val="en-US" w:eastAsia="zh-CN" w:bidi="ar-SA"/>
        </w:rPr>
      </w:pPr>
      <w:r>
        <w:rPr>
          <w:rFonts w:hint="eastAsia" w:ascii="仿宋_GB2312" w:hAnsi="仿宋_GB2312" w:eastAsia="仿宋_GB2312" w:cs="仿宋_GB2312"/>
          <w:b w:val="0"/>
          <w:bCs w:val="0"/>
          <w:color w:val="auto"/>
          <w:kern w:val="0"/>
          <w:sz w:val="32"/>
          <w:szCs w:val="32"/>
          <w:lang w:val="en-US" w:eastAsia="zh-CN" w:bidi="ar-SA"/>
        </w:rPr>
        <w:t>4、其他社会保障和就业支出（款）其他社会保障和就业支出（项）。年初预算3.38万元，支出决算3.20万元，完成年初预算的94.67%。决算数与年初预算数的差异原因：社保缴费比例下降相对减少了其他社会保障和就业支出。</w:t>
      </w:r>
    </w:p>
    <w:p>
      <w:pPr>
        <w:pStyle w:val="34"/>
        <w:widowControl/>
        <w:numPr>
          <w:ilvl w:val="0"/>
          <w:numId w:val="0"/>
        </w:numPr>
        <w:spacing w:before="240" w:after="240" w:line="560" w:lineRule="atLeast"/>
        <w:ind w:left="490" w:leftChars="0"/>
        <w:rPr>
          <w:rFonts w:hint="eastAsia" w:ascii="仿宋_GB2312" w:hAnsi="仿宋_GB2312" w:eastAsia="仿宋_GB2312" w:cs="仿宋_GB2312"/>
          <w:b/>
          <w:bCs/>
          <w:color w:val="auto"/>
          <w:kern w:val="0"/>
          <w:sz w:val="32"/>
          <w:szCs w:val="32"/>
          <w:lang w:val="en-US" w:eastAsia="zh-CN" w:bidi="ar-SA"/>
        </w:rPr>
      </w:pPr>
      <w:r>
        <w:rPr>
          <w:rFonts w:hint="eastAsia" w:ascii="仿宋_GB2312" w:hAnsi="仿宋_GB2312" w:eastAsia="仿宋_GB2312" w:cs="仿宋_GB2312"/>
          <w:b/>
          <w:bCs/>
          <w:color w:val="auto"/>
          <w:kern w:val="0"/>
          <w:sz w:val="32"/>
          <w:szCs w:val="32"/>
          <w:lang w:val="en-US" w:eastAsia="zh-CN" w:bidi="ar-SA"/>
        </w:rPr>
        <w:t>（四）卫生健康支出（类）</w:t>
      </w:r>
    </w:p>
    <w:p>
      <w:pPr>
        <w:pStyle w:val="34"/>
        <w:widowControl/>
        <w:numPr>
          <w:ilvl w:val="0"/>
          <w:numId w:val="0"/>
        </w:numPr>
        <w:spacing w:before="240" w:after="240" w:line="560" w:lineRule="atLeast"/>
        <w:ind w:firstLine="540" w:firstLineChars="200"/>
        <w:rPr>
          <w:rFonts w:hint="eastAsia" w:ascii="仿宋_GB2312" w:hAnsi="仿宋_GB2312" w:eastAsia="仿宋_GB2312" w:cs="仿宋_GB2312"/>
          <w:b w:val="0"/>
          <w:bCs w:val="0"/>
          <w:color w:val="auto"/>
          <w:kern w:val="0"/>
          <w:sz w:val="32"/>
          <w:szCs w:val="32"/>
          <w:lang w:val="en-US" w:eastAsia="zh-CN" w:bidi="ar-SA"/>
        </w:rPr>
      </w:pPr>
      <w:r>
        <w:rPr>
          <w:rFonts w:ascii="仿宋_GB2312" w:hAnsi="仿宋_GB2312" w:eastAsia="仿宋_GB2312" w:cs="仿宋_GB2312"/>
          <w:color w:val="auto"/>
          <w:kern w:val="0"/>
          <w:sz w:val="27"/>
          <w:szCs w:val="27"/>
        </w:rPr>
        <w:t>卫</w:t>
      </w:r>
      <w:r>
        <w:rPr>
          <w:rFonts w:hint="eastAsia" w:ascii="仿宋_GB2312" w:hAnsi="仿宋_GB2312" w:eastAsia="仿宋_GB2312" w:cs="仿宋_GB2312"/>
          <w:b w:val="0"/>
          <w:bCs w:val="0"/>
          <w:color w:val="auto"/>
          <w:kern w:val="0"/>
          <w:sz w:val="32"/>
          <w:szCs w:val="32"/>
          <w:lang w:val="en-US" w:eastAsia="zh-CN" w:bidi="ar-SA"/>
        </w:rPr>
        <w:t>生健康支出（类）决算数为 39.42万元，与年初预算相比增加4.94万元。其中：</w:t>
      </w:r>
    </w:p>
    <w:p>
      <w:pPr>
        <w:widowControl/>
        <w:numPr>
          <w:ilvl w:val="0"/>
          <w:numId w:val="0"/>
        </w:numPr>
        <w:spacing w:before="240" w:after="240"/>
        <w:ind w:firstLine="640" w:firstLineChars="200"/>
        <w:jc w:val="left"/>
        <w:rPr>
          <w:rFonts w:hint="eastAsia" w:ascii="仿宋_GB2312" w:hAnsi="仿宋_GB2312" w:eastAsia="仿宋_GB2312" w:cs="仿宋_GB2312"/>
          <w:b/>
          <w:bCs/>
          <w:color w:val="auto"/>
          <w:kern w:val="0"/>
          <w:sz w:val="32"/>
          <w:szCs w:val="32"/>
          <w:lang w:val="en-US" w:eastAsia="zh-CN" w:bidi="ar-SA"/>
        </w:rPr>
      </w:pPr>
      <w:r>
        <w:rPr>
          <w:rFonts w:hint="eastAsia" w:ascii="仿宋_GB2312" w:hAnsi="仿宋_GB2312" w:eastAsia="仿宋_GB2312" w:cs="仿宋_GB2312"/>
          <w:b w:val="0"/>
          <w:bCs w:val="0"/>
          <w:color w:val="auto"/>
          <w:kern w:val="0"/>
          <w:sz w:val="32"/>
          <w:szCs w:val="32"/>
          <w:lang w:val="en-US" w:eastAsia="zh-CN" w:bidi="ar-SA"/>
        </w:rPr>
        <w:t>1、行政事业单位医疗（款）事业单位医疗（项）。年初预算34.48万元，支出决算39.42万元，完成年初预算的114.33%。决算数与年初预算数的差异原因：2025年人员变动及社保缴费基数调差，相对增加了医疗保险缴费支出。</w:t>
      </w:r>
    </w:p>
    <w:p>
      <w:pPr>
        <w:widowControl/>
        <w:numPr>
          <w:ilvl w:val="0"/>
          <w:numId w:val="0"/>
        </w:numPr>
        <w:spacing w:before="240" w:after="240"/>
        <w:ind w:firstLine="643" w:firstLineChars="200"/>
        <w:jc w:val="left"/>
        <w:rPr>
          <w:rFonts w:hint="eastAsia" w:ascii="仿宋_GB2312" w:hAnsi="仿宋_GB2312" w:eastAsia="仿宋_GB2312" w:cs="仿宋_GB2312"/>
          <w:b/>
          <w:bCs/>
          <w:color w:val="auto"/>
          <w:kern w:val="0"/>
          <w:sz w:val="32"/>
          <w:szCs w:val="32"/>
          <w:lang w:val="en-US" w:eastAsia="zh-CN" w:bidi="ar-SA"/>
        </w:rPr>
      </w:pPr>
      <w:r>
        <w:rPr>
          <w:rFonts w:hint="eastAsia" w:ascii="仿宋_GB2312" w:hAnsi="仿宋_GB2312" w:eastAsia="仿宋_GB2312" w:cs="仿宋_GB2312"/>
          <w:b/>
          <w:bCs/>
          <w:color w:val="auto"/>
          <w:kern w:val="0"/>
          <w:sz w:val="32"/>
          <w:szCs w:val="32"/>
          <w:lang w:val="en-US" w:eastAsia="zh-CN" w:bidi="ar-SA"/>
        </w:rPr>
        <w:t>（五）农林水支出（类）</w:t>
      </w:r>
    </w:p>
    <w:p>
      <w:pPr>
        <w:widowControl/>
        <w:numPr>
          <w:ilvl w:val="0"/>
          <w:numId w:val="0"/>
        </w:numPr>
        <w:tabs>
          <w:tab w:val="left" w:pos="840"/>
        </w:tabs>
        <w:spacing w:before="240" w:after="240"/>
        <w:ind w:firstLine="640" w:firstLineChars="200"/>
        <w:jc w:val="left"/>
        <w:rPr>
          <w:rFonts w:hint="eastAsia" w:ascii="仿宋_GB2312" w:hAnsi="仿宋_GB2312" w:eastAsia="仿宋_GB2312" w:cs="仿宋_GB2312"/>
          <w:b w:val="0"/>
          <w:bCs w:val="0"/>
          <w:color w:val="auto"/>
          <w:kern w:val="0"/>
          <w:sz w:val="32"/>
          <w:szCs w:val="32"/>
          <w:lang w:val="en-US" w:eastAsia="zh-CN" w:bidi="ar-SA"/>
        </w:rPr>
      </w:pPr>
      <w:r>
        <w:rPr>
          <w:rFonts w:hint="eastAsia" w:ascii="仿宋_GB2312" w:hAnsi="仿宋_GB2312" w:eastAsia="仿宋_GB2312" w:cs="仿宋_GB2312"/>
          <w:b w:val="0"/>
          <w:bCs w:val="0"/>
          <w:color w:val="auto"/>
          <w:kern w:val="0"/>
          <w:sz w:val="32"/>
          <w:szCs w:val="32"/>
          <w:lang w:val="en-US" w:eastAsia="zh-CN" w:bidi="ar-SA"/>
        </w:rPr>
        <w:t>农林水支出（类）决算数为3.15万元，与年初预算相比增加3.15万元。其中：</w:t>
      </w:r>
    </w:p>
    <w:p>
      <w:pPr>
        <w:widowControl/>
        <w:numPr>
          <w:ilvl w:val="0"/>
          <w:numId w:val="0"/>
        </w:numPr>
        <w:spacing w:before="240" w:after="240"/>
        <w:ind w:firstLine="640" w:firstLineChars="200"/>
        <w:jc w:val="left"/>
        <w:rPr>
          <w:rFonts w:hint="eastAsia" w:ascii="仿宋_GB2312" w:hAnsi="Times New Roman" w:eastAsia="仿宋_GB2312" w:cs="Times New Roman"/>
          <w:color w:val="auto"/>
          <w:sz w:val="32"/>
          <w:szCs w:val="32"/>
          <w:lang w:val="en-US" w:eastAsia="zh-CN"/>
        </w:rPr>
      </w:pPr>
      <w:r>
        <w:rPr>
          <w:rFonts w:hint="eastAsia" w:ascii="仿宋_GB2312" w:eastAsia="仿宋_GB2312" w:cs="Times New Roman"/>
          <w:color w:val="auto"/>
          <w:sz w:val="32"/>
          <w:szCs w:val="32"/>
          <w:lang w:val="en-US" w:eastAsia="zh-CN"/>
        </w:rPr>
        <w:t>1、</w:t>
      </w:r>
      <w:r>
        <w:rPr>
          <w:rFonts w:hint="eastAsia" w:ascii="仿宋_GB2312" w:hAnsi="Times New Roman" w:eastAsia="仿宋_GB2312" w:cs="Times New Roman"/>
          <w:color w:val="auto"/>
          <w:sz w:val="32"/>
          <w:szCs w:val="32"/>
          <w:lang w:val="en-US" w:eastAsia="zh-CN"/>
        </w:rPr>
        <w:t>巩固脱贫攻坚成果衔接乡村振兴（款）其他巩固脱贫攻坚成果衔接乡村振兴支出（项）</w:t>
      </w:r>
      <w:r>
        <w:rPr>
          <w:rFonts w:hint="eastAsia" w:ascii="仿宋_GB2312" w:eastAsia="仿宋_GB2312" w:cs="Times New Roman"/>
          <w:color w:val="auto"/>
          <w:sz w:val="32"/>
          <w:szCs w:val="32"/>
          <w:lang w:val="en-US" w:eastAsia="zh-CN"/>
        </w:rPr>
        <w:t>。</w:t>
      </w:r>
      <w:r>
        <w:rPr>
          <w:rFonts w:hint="eastAsia" w:ascii="仿宋_GB2312" w:hAnsi="仿宋_GB2312" w:eastAsia="仿宋_GB2312" w:cs="仿宋_GB2312"/>
          <w:b w:val="0"/>
          <w:bCs w:val="0"/>
          <w:color w:val="auto"/>
          <w:kern w:val="0"/>
          <w:sz w:val="32"/>
          <w:szCs w:val="32"/>
          <w:lang w:val="en-US" w:eastAsia="zh-CN" w:bidi="ar-SA"/>
        </w:rPr>
        <w:t>年初预算0万元，支出决算3.15万元，完成年初预算的0%。决算数与年初预算数的差异原因：追加2025年驻村人员</w:t>
      </w:r>
      <w:r>
        <w:rPr>
          <w:rFonts w:hint="eastAsia" w:ascii="仿宋_GB2312" w:hAnsi="Times New Roman" w:eastAsia="仿宋_GB2312" w:cs="Times New Roman"/>
          <w:color w:val="auto"/>
          <w:sz w:val="32"/>
          <w:szCs w:val="32"/>
          <w:lang w:val="en-US" w:eastAsia="zh-CN"/>
        </w:rPr>
        <w:t>其他巩固脱贫攻坚成果衔接乡村振兴支出</w:t>
      </w:r>
      <w:r>
        <w:rPr>
          <w:rFonts w:hint="eastAsia" w:ascii="仿宋_GB2312" w:hAnsi="仿宋_GB2312" w:eastAsia="仿宋_GB2312" w:cs="仿宋_GB2312"/>
          <w:b w:val="0"/>
          <w:bCs w:val="0"/>
          <w:color w:val="auto"/>
          <w:kern w:val="0"/>
          <w:sz w:val="32"/>
          <w:szCs w:val="32"/>
          <w:lang w:val="en-US" w:eastAsia="zh-CN" w:bidi="ar-SA"/>
        </w:rPr>
        <w:t>。</w:t>
      </w:r>
    </w:p>
    <w:p>
      <w:pPr>
        <w:widowControl/>
        <w:numPr>
          <w:ilvl w:val="0"/>
          <w:numId w:val="0"/>
        </w:numPr>
        <w:tabs>
          <w:tab w:val="left" w:pos="840"/>
        </w:tabs>
        <w:spacing w:before="240" w:after="240"/>
        <w:ind w:left="426" w:leftChars="0"/>
        <w:jc w:val="left"/>
        <w:rPr>
          <w:rFonts w:hint="eastAsia" w:ascii="仿宋_GB2312" w:hAnsi="仿宋_GB2312" w:eastAsia="仿宋_GB2312" w:cs="仿宋_GB2312"/>
          <w:b/>
          <w:bCs/>
          <w:color w:val="auto"/>
          <w:kern w:val="0"/>
          <w:sz w:val="32"/>
          <w:szCs w:val="32"/>
          <w:lang w:val="en-US" w:eastAsia="zh-CN" w:bidi="ar-SA"/>
        </w:rPr>
      </w:pPr>
      <w:r>
        <w:rPr>
          <w:rFonts w:hint="eastAsia" w:ascii="仿宋_GB2312" w:hAnsi="仿宋_GB2312" w:eastAsia="仿宋_GB2312" w:cs="仿宋_GB2312"/>
          <w:b/>
          <w:bCs/>
          <w:color w:val="auto"/>
          <w:kern w:val="0"/>
          <w:sz w:val="32"/>
          <w:szCs w:val="32"/>
          <w:lang w:val="en-US" w:eastAsia="zh-CN" w:bidi="ar-SA"/>
        </w:rPr>
        <w:t>（六）住房保障支出（类）</w:t>
      </w:r>
    </w:p>
    <w:p>
      <w:pPr>
        <w:widowControl/>
        <w:numPr>
          <w:ilvl w:val="0"/>
          <w:numId w:val="0"/>
        </w:numPr>
        <w:tabs>
          <w:tab w:val="left" w:pos="840"/>
        </w:tabs>
        <w:spacing w:before="240" w:after="240"/>
        <w:ind w:firstLine="640" w:firstLineChars="200"/>
        <w:jc w:val="left"/>
        <w:rPr>
          <w:rFonts w:hint="eastAsia" w:ascii="仿宋_GB2312" w:hAnsi="仿宋_GB2312" w:eastAsia="仿宋_GB2312" w:cs="仿宋_GB2312"/>
          <w:b w:val="0"/>
          <w:bCs w:val="0"/>
          <w:color w:val="auto"/>
          <w:kern w:val="0"/>
          <w:sz w:val="32"/>
          <w:szCs w:val="32"/>
          <w:lang w:val="en-US" w:eastAsia="zh-CN" w:bidi="ar-SA"/>
        </w:rPr>
      </w:pPr>
      <w:r>
        <w:rPr>
          <w:rFonts w:hint="eastAsia" w:ascii="仿宋_GB2312" w:hAnsi="仿宋_GB2312" w:eastAsia="仿宋_GB2312" w:cs="仿宋_GB2312"/>
          <w:b w:val="0"/>
          <w:bCs w:val="0"/>
          <w:color w:val="auto"/>
          <w:kern w:val="0"/>
          <w:sz w:val="32"/>
          <w:szCs w:val="32"/>
          <w:lang w:val="en-US" w:eastAsia="zh-CN" w:bidi="ar-SA"/>
        </w:rPr>
        <w:t>住房保障支出（类）决算数为58.57万元，与年初预算相比减少0.75万元。其中：</w:t>
      </w:r>
    </w:p>
    <w:p>
      <w:pPr>
        <w:widowControl/>
        <w:numPr>
          <w:ilvl w:val="0"/>
          <w:numId w:val="0"/>
        </w:numPr>
        <w:tabs>
          <w:tab w:val="left" w:pos="840"/>
        </w:tabs>
        <w:spacing w:before="240" w:after="240"/>
        <w:ind w:firstLine="640" w:firstLineChars="200"/>
        <w:jc w:val="left"/>
        <w:rPr>
          <w:rFonts w:hint="eastAsia" w:ascii="仿宋_GB2312" w:hAnsi="仿宋_GB2312" w:eastAsia="仿宋_GB2312" w:cs="仿宋_GB2312"/>
          <w:b w:val="0"/>
          <w:bCs w:val="0"/>
          <w:color w:val="FF0000"/>
          <w:kern w:val="0"/>
          <w:sz w:val="32"/>
          <w:szCs w:val="32"/>
          <w:lang w:val="en-US" w:eastAsia="zh-CN" w:bidi="ar-SA"/>
        </w:rPr>
      </w:pPr>
      <w:r>
        <w:rPr>
          <w:rFonts w:hint="eastAsia" w:ascii="仿宋_GB2312" w:hAnsi="仿宋_GB2312" w:eastAsia="仿宋_GB2312" w:cs="仿宋_GB2312"/>
          <w:b w:val="0"/>
          <w:bCs w:val="0"/>
          <w:color w:val="auto"/>
          <w:kern w:val="0"/>
          <w:sz w:val="32"/>
          <w:szCs w:val="32"/>
          <w:lang w:val="en-US" w:eastAsia="zh-CN" w:bidi="ar-SA"/>
        </w:rPr>
        <w:t>1、住房改革支出（款）住房公积金（项）。年初预算57.81万元，支出决算58.57万元，完成年初预算的101.31%。决算数与年初预算数的差异原因：2025年人员变动及缴费基数调整相对增加了住房公积金缴费支出。</w:t>
      </w:r>
    </w:p>
    <w:p>
      <w:pPr>
        <w:widowControl/>
        <w:numPr>
          <w:ilvl w:val="0"/>
          <w:numId w:val="0"/>
        </w:numPr>
        <w:tabs>
          <w:tab w:val="left" w:pos="840"/>
        </w:tabs>
        <w:spacing w:before="240" w:after="240"/>
        <w:ind w:firstLine="643" w:firstLineChars="200"/>
        <w:jc w:val="left"/>
        <w:rPr>
          <w:rFonts w:ascii="黑体" w:hAnsi="黑体" w:eastAsia="黑体" w:cs="黑体"/>
          <w:b/>
          <w:bCs/>
          <w:kern w:val="0"/>
          <w:sz w:val="32"/>
          <w:szCs w:val="32"/>
        </w:rPr>
      </w:pPr>
      <w:r>
        <w:rPr>
          <w:rFonts w:ascii="黑体" w:hAnsi="黑体" w:eastAsia="黑体" w:cs="黑体"/>
          <w:b/>
          <w:bCs/>
          <w:kern w:val="0"/>
          <w:sz w:val="32"/>
          <w:szCs w:val="32"/>
        </w:rPr>
        <w:t>六、一般公共预算财政拨款基本支出决算情况说明</w:t>
      </w:r>
    </w:p>
    <w:p>
      <w:pPr>
        <w:widowControl/>
        <w:spacing w:before="240" w:after="240"/>
        <w:ind w:firstLine="640" w:firstLineChars="200"/>
        <w:rPr>
          <w:rFonts w:hint="eastAsia" w:ascii="仿宋_GB2312" w:hAnsi="仿宋_GB2312" w:eastAsia="仿宋_GB2312" w:cs="仿宋_GB2312"/>
          <w:b w:val="0"/>
          <w:bCs w:val="0"/>
          <w:color w:val="auto"/>
          <w:kern w:val="0"/>
          <w:sz w:val="32"/>
          <w:szCs w:val="32"/>
          <w:lang w:val="en-US" w:eastAsia="zh-CN" w:bidi="ar-SA"/>
        </w:rPr>
      </w:pPr>
      <w:r>
        <w:rPr>
          <w:rFonts w:hint="eastAsia" w:ascii="仿宋_GB2312" w:hAnsi="仿宋_GB2312" w:eastAsia="仿宋_GB2312" w:cs="仿宋_GB2312"/>
          <w:b w:val="0"/>
          <w:bCs w:val="0"/>
          <w:color w:val="auto"/>
          <w:kern w:val="0"/>
          <w:sz w:val="32"/>
          <w:szCs w:val="32"/>
          <w:lang w:val="en-US" w:eastAsia="zh-CN" w:bidi="ar-SA"/>
        </w:rPr>
        <w:t>赤峰市艺术剧院（赤峰市乌兰牧骑） 2025年度一般公共预算财政拨款基本支出决算1229.22万元，其中：</w:t>
      </w:r>
    </w:p>
    <w:p>
      <w:pPr>
        <w:widowControl/>
        <w:spacing w:before="240" w:after="240"/>
        <w:ind w:firstLine="643" w:firstLineChars="200"/>
        <w:rPr>
          <w:rFonts w:hint="eastAsia" w:ascii="仿宋_GB2312" w:hAnsi="仿宋_GB2312" w:eastAsia="仿宋_GB2312" w:cs="仿宋_GB2312"/>
          <w:b w:val="0"/>
          <w:bCs w:val="0"/>
          <w:color w:val="auto"/>
          <w:kern w:val="0"/>
          <w:sz w:val="32"/>
          <w:szCs w:val="32"/>
          <w:lang w:val="en-US" w:eastAsia="zh-CN" w:bidi="ar-SA"/>
        </w:rPr>
      </w:pPr>
      <w:r>
        <w:rPr>
          <w:rFonts w:hint="eastAsia" w:ascii="仿宋_GB2312" w:hAnsi="仿宋_GB2312" w:eastAsia="仿宋_GB2312" w:cs="仿宋_GB2312"/>
          <w:b/>
          <w:bCs/>
          <w:color w:val="auto"/>
          <w:kern w:val="0"/>
          <w:sz w:val="32"/>
          <w:szCs w:val="32"/>
          <w:lang w:val="en-US" w:eastAsia="zh-CN" w:bidi="ar-SA"/>
        </w:rPr>
        <w:t>（一）人员经费 1182.30万元。</w:t>
      </w:r>
      <w:r>
        <w:rPr>
          <w:rFonts w:hint="eastAsia" w:ascii="仿宋_GB2312" w:hAnsi="仿宋_GB2312" w:eastAsia="仿宋_GB2312" w:cs="仿宋_GB2312"/>
          <w:b w:val="0"/>
          <w:bCs w:val="0"/>
          <w:color w:val="auto"/>
          <w:kern w:val="0"/>
          <w:sz w:val="32"/>
          <w:szCs w:val="32"/>
          <w:lang w:val="en-US" w:eastAsia="zh-CN" w:bidi="ar-SA"/>
        </w:rPr>
        <w:t>主要包括：基本工资、津贴补贴、奖金、绩效工资、机关事业单位基本养老保险缴费、职业年金缴费、职工基本医疗保险缴费、住房公积金、其他工资福利支出、其他社保障缴费、离休费、退休费、抚恤金、生活补助、其他对个人和家庭的补助。</w:t>
      </w:r>
    </w:p>
    <w:p>
      <w:pPr>
        <w:widowControl/>
        <w:spacing w:before="240" w:after="240"/>
        <w:ind w:firstLine="643" w:firstLineChars="200"/>
        <w:rPr>
          <w:rFonts w:hint="eastAsia" w:ascii="仿宋_GB2312" w:hAnsi="仿宋_GB2312" w:eastAsia="仿宋_GB2312" w:cs="仿宋_GB2312"/>
          <w:b w:val="0"/>
          <w:bCs w:val="0"/>
          <w:color w:val="auto"/>
          <w:kern w:val="0"/>
          <w:sz w:val="32"/>
          <w:szCs w:val="32"/>
          <w:lang w:val="en-US" w:eastAsia="zh-CN" w:bidi="ar-SA"/>
        </w:rPr>
      </w:pPr>
      <w:r>
        <w:rPr>
          <w:rFonts w:hint="eastAsia" w:ascii="仿宋_GB2312" w:hAnsi="仿宋_GB2312" w:eastAsia="仿宋_GB2312" w:cs="仿宋_GB2312"/>
          <w:b/>
          <w:bCs/>
          <w:color w:val="auto"/>
          <w:kern w:val="0"/>
          <w:sz w:val="32"/>
          <w:szCs w:val="32"/>
          <w:lang w:val="en-US" w:eastAsia="zh-CN" w:bidi="ar-SA"/>
        </w:rPr>
        <w:t>（二）公用经费 46.92万元。</w:t>
      </w:r>
      <w:r>
        <w:rPr>
          <w:rFonts w:hint="eastAsia" w:ascii="仿宋_GB2312" w:hAnsi="仿宋_GB2312" w:eastAsia="仿宋_GB2312" w:cs="仿宋_GB2312"/>
          <w:b w:val="0"/>
          <w:bCs w:val="0"/>
          <w:color w:val="auto"/>
          <w:kern w:val="0"/>
          <w:sz w:val="32"/>
          <w:szCs w:val="32"/>
          <w:lang w:val="en-US" w:eastAsia="zh-CN" w:bidi="ar-SA"/>
        </w:rPr>
        <w:t>主要包括：办公费、水费、电费、邮电费、取暖费、差旅费、维修（护）费、劳务费、福利费、公务用车运行维护费、其他交通费用、其他商品和服务支出。</w:t>
      </w:r>
    </w:p>
    <w:p>
      <w:pPr>
        <w:widowControl/>
        <w:spacing w:before="240" w:after="240"/>
        <w:ind w:firstLine="643" w:firstLineChars="200"/>
        <w:rPr>
          <w:rFonts w:ascii="Times New Roman" w:hAnsi="Times New Roman" w:eastAsia="Times New Roman" w:cs="Times New Roman"/>
          <w:color w:val="auto"/>
          <w:kern w:val="0"/>
          <w:sz w:val="24"/>
        </w:rPr>
      </w:pPr>
      <w:r>
        <w:rPr>
          <w:rFonts w:ascii="黑体" w:hAnsi="黑体" w:eastAsia="黑体" w:cs="黑体"/>
          <w:b/>
          <w:bCs/>
          <w:color w:val="auto"/>
          <w:kern w:val="0"/>
          <w:sz w:val="32"/>
          <w:szCs w:val="32"/>
        </w:rPr>
        <w:t>七、一般公共预算财政拨款项目支出决算情况说明</w:t>
      </w:r>
    </w:p>
    <w:p>
      <w:pPr>
        <w:widowControl/>
        <w:spacing w:before="240" w:after="240"/>
        <w:ind w:firstLine="640" w:firstLineChars="200"/>
        <w:rPr>
          <w:rFonts w:hint="eastAsia" w:ascii="仿宋_GB2312" w:hAnsi="仿宋_GB2312" w:eastAsia="仿宋_GB2312" w:cs="仿宋_GB2312"/>
          <w:b w:val="0"/>
          <w:bCs w:val="0"/>
          <w:color w:val="auto"/>
          <w:kern w:val="0"/>
          <w:sz w:val="32"/>
          <w:szCs w:val="32"/>
          <w:lang w:val="en-US" w:eastAsia="zh-CN" w:bidi="ar-SA"/>
        </w:rPr>
      </w:pPr>
      <w:r>
        <w:rPr>
          <w:rFonts w:hint="eastAsia" w:ascii="仿宋_GB2312" w:hAnsi="仿宋_GB2312" w:eastAsia="仿宋_GB2312" w:cs="仿宋_GB2312"/>
          <w:b w:val="0"/>
          <w:bCs w:val="0"/>
          <w:color w:val="auto"/>
          <w:kern w:val="0"/>
          <w:sz w:val="32"/>
          <w:szCs w:val="32"/>
          <w:lang w:val="en-US" w:eastAsia="zh-CN" w:bidi="ar-SA"/>
        </w:rPr>
        <w:t>赤峰市艺术剧院（赤峰市乌兰牧骑） 2025年度一般公共预算财政拨款项目支出决算162.49万元，其中：</w:t>
      </w:r>
    </w:p>
    <w:p>
      <w:pPr>
        <w:widowControl/>
        <w:numPr>
          <w:ilvl w:val="0"/>
          <w:numId w:val="4"/>
        </w:numPr>
        <w:spacing w:before="240" w:after="240"/>
        <w:ind w:firstLine="643" w:firstLineChars="200"/>
        <w:rPr>
          <w:rFonts w:hint="eastAsia" w:ascii="仿宋_GB2312" w:hAnsi="仿宋_GB2312" w:eastAsia="仿宋_GB2312" w:cs="仿宋_GB2312"/>
          <w:b/>
          <w:bCs/>
          <w:color w:val="auto"/>
          <w:kern w:val="0"/>
          <w:sz w:val="32"/>
          <w:szCs w:val="32"/>
          <w:lang w:val="en-US" w:eastAsia="zh-CN" w:bidi="ar-SA"/>
        </w:rPr>
      </w:pPr>
      <w:r>
        <w:rPr>
          <w:rFonts w:hint="eastAsia" w:ascii="仿宋_GB2312" w:hAnsi="仿宋_GB2312" w:eastAsia="仿宋_GB2312" w:cs="仿宋_GB2312"/>
          <w:b/>
          <w:bCs/>
          <w:color w:val="auto"/>
          <w:kern w:val="0"/>
          <w:sz w:val="32"/>
          <w:szCs w:val="32"/>
          <w:lang w:val="en-US" w:eastAsia="zh-CN" w:bidi="ar-SA"/>
        </w:rPr>
        <w:t>工资福利支出 0万元。</w:t>
      </w:r>
    </w:p>
    <w:p>
      <w:pPr>
        <w:widowControl/>
        <w:numPr>
          <w:ilvl w:val="0"/>
          <w:numId w:val="0"/>
        </w:numPr>
        <w:spacing w:before="240" w:after="240"/>
        <w:ind w:firstLine="643" w:firstLineChars="200"/>
        <w:rPr>
          <w:rFonts w:hint="eastAsia" w:ascii="仿宋_GB2312" w:hAnsi="仿宋_GB2312" w:eastAsia="仿宋_GB2312" w:cs="仿宋_GB2312"/>
          <w:b w:val="0"/>
          <w:bCs w:val="0"/>
          <w:color w:val="auto"/>
          <w:kern w:val="0"/>
          <w:sz w:val="32"/>
          <w:szCs w:val="32"/>
          <w:lang w:val="en-US" w:eastAsia="zh-CN" w:bidi="ar-SA"/>
        </w:rPr>
      </w:pPr>
      <w:r>
        <w:rPr>
          <w:rFonts w:hint="eastAsia" w:ascii="仿宋_GB2312" w:hAnsi="仿宋_GB2312" w:eastAsia="仿宋_GB2312" w:cs="仿宋_GB2312"/>
          <w:b/>
          <w:bCs/>
          <w:color w:val="auto"/>
          <w:kern w:val="0"/>
          <w:sz w:val="32"/>
          <w:szCs w:val="32"/>
          <w:lang w:val="en-US" w:eastAsia="zh-CN" w:bidi="ar-SA"/>
        </w:rPr>
        <w:t>（二）商品和服务支出 140.77万元。</w:t>
      </w:r>
      <w:r>
        <w:rPr>
          <w:rFonts w:hint="eastAsia" w:ascii="仿宋_GB2312" w:hAnsi="仿宋_GB2312" w:eastAsia="仿宋_GB2312" w:cs="仿宋_GB2312"/>
          <w:b w:val="0"/>
          <w:bCs w:val="0"/>
          <w:color w:val="auto"/>
          <w:kern w:val="0"/>
          <w:sz w:val="32"/>
          <w:szCs w:val="32"/>
          <w:lang w:val="en-US" w:eastAsia="zh-CN" w:bidi="ar-SA"/>
        </w:rPr>
        <w:t>主要包括：差旅费、维修（护）费、租赁费、专用材料费、劳务费、培训费、公务用车运行维护费、其他交通费用、其他商品和服务支出等。</w:t>
      </w:r>
    </w:p>
    <w:p>
      <w:pPr>
        <w:widowControl/>
        <w:numPr>
          <w:ilvl w:val="0"/>
          <w:numId w:val="0"/>
        </w:numPr>
        <w:spacing w:before="240" w:after="240"/>
        <w:ind w:firstLine="643" w:firstLineChars="200"/>
        <w:rPr>
          <w:rFonts w:hint="eastAsia" w:ascii="仿宋_GB2312" w:hAnsi="仿宋_GB2312" w:eastAsia="仿宋_GB2312" w:cs="仿宋_GB2312"/>
          <w:b w:val="0"/>
          <w:bCs w:val="0"/>
          <w:color w:val="auto"/>
          <w:kern w:val="0"/>
          <w:sz w:val="32"/>
          <w:szCs w:val="32"/>
          <w:lang w:val="en-US" w:eastAsia="zh-CN" w:bidi="ar-SA"/>
        </w:rPr>
      </w:pPr>
      <w:r>
        <w:rPr>
          <w:rFonts w:hint="eastAsia" w:ascii="仿宋_GB2312" w:hAnsi="仿宋_GB2312" w:eastAsia="仿宋_GB2312" w:cs="仿宋_GB2312"/>
          <w:b/>
          <w:bCs/>
          <w:color w:val="auto"/>
          <w:kern w:val="0"/>
          <w:sz w:val="32"/>
          <w:szCs w:val="32"/>
          <w:lang w:val="en-US" w:eastAsia="zh-CN" w:bidi="ar-SA"/>
        </w:rPr>
        <w:t>（三）资本性支出</w:t>
      </w:r>
      <w:r>
        <w:rPr>
          <w:rFonts w:hint="default" w:ascii="仿宋_GB2312" w:hAnsi="仿宋_GB2312" w:eastAsia="仿宋_GB2312" w:cs="仿宋_GB2312"/>
          <w:b/>
          <w:bCs/>
          <w:color w:val="auto"/>
          <w:kern w:val="0"/>
          <w:sz w:val="32"/>
          <w:szCs w:val="32"/>
          <w:lang w:val="en-US" w:eastAsia="zh-CN" w:bidi="ar-SA"/>
        </w:rPr>
        <w:t>21.73</w:t>
      </w:r>
      <w:r>
        <w:rPr>
          <w:rFonts w:hint="eastAsia" w:ascii="仿宋_GB2312" w:hAnsi="仿宋_GB2312" w:eastAsia="仿宋_GB2312" w:cs="仿宋_GB2312"/>
          <w:b/>
          <w:bCs/>
          <w:color w:val="auto"/>
          <w:kern w:val="0"/>
          <w:sz w:val="32"/>
          <w:szCs w:val="32"/>
          <w:lang w:val="en-US" w:eastAsia="zh-CN" w:bidi="ar-SA"/>
        </w:rPr>
        <w:t>万元。</w:t>
      </w:r>
      <w:r>
        <w:rPr>
          <w:rFonts w:hint="eastAsia" w:ascii="仿宋_GB2312" w:hAnsi="仿宋_GB2312" w:eastAsia="仿宋_GB2312" w:cs="仿宋_GB2312"/>
          <w:b w:val="0"/>
          <w:bCs w:val="0"/>
          <w:color w:val="auto"/>
          <w:kern w:val="0"/>
          <w:sz w:val="32"/>
          <w:szCs w:val="32"/>
          <w:lang w:val="en-US" w:eastAsia="zh-CN" w:bidi="ar-SA"/>
        </w:rPr>
        <w:t>主要包括：专用设备购置。</w:t>
      </w:r>
    </w:p>
    <w:p>
      <w:pPr>
        <w:widowControl/>
        <w:numPr>
          <w:ilvl w:val="0"/>
          <w:numId w:val="0"/>
        </w:numPr>
        <w:spacing w:before="240" w:after="240"/>
        <w:ind w:firstLine="643" w:firstLineChars="200"/>
        <w:rPr>
          <w:rFonts w:ascii="Times New Roman" w:hAnsi="Times New Roman" w:eastAsia="Times New Roman" w:cs="Times New Roman"/>
          <w:kern w:val="0"/>
          <w:sz w:val="24"/>
        </w:rPr>
      </w:pPr>
      <w:r>
        <w:rPr>
          <w:rFonts w:ascii="黑体" w:hAnsi="黑体" w:eastAsia="黑体" w:cs="黑体"/>
          <w:b/>
          <w:bCs/>
          <w:kern w:val="0"/>
          <w:sz w:val="32"/>
          <w:szCs w:val="32"/>
        </w:rPr>
        <w:t>八、财政拨款“三公”经费支出决算情况说明</w:t>
      </w:r>
    </w:p>
    <w:p>
      <w:pPr>
        <w:widowControl/>
        <w:numPr>
          <w:ilvl w:val="0"/>
          <w:numId w:val="5"/>
        </w:numPr>
        <w:spacing w:before="240" w:after="240"/>
        <w:ind w:firstLine="643" w:firstLineChars="200"/>
        <w:jc w:val="left"/>
        <w:rPr>
          <w:rFonts w:hint="eastAsia" w:ascii="仿宋_GB2312" w:hAnsi="仿宋_GB2312" w:eastAsia="仿宋_GB2312" w:cs="仿宋_GB2312"/>
          <w:b/>
          <w:bCs/>
          <w:color w:val="auto"/>
          <w:kern w:val="0"/>
          <w:sz w:val="32"/>
          <w:szCs w:val="32"/>
          <w:lang w:val="en-US" w:eastAsia="zh-CN" w:bidi="ar-SA"/>
        </w:rPr>
      </w:pPr>
      <w:r>
        <w:rPr>
          <w:rFonts w:hint="eastAsia" w:ascii="仿宋_GB2312" w:hAnsi="仿宋_GB2312" w:eastAsia="仿宋_GB2312" w:cs="仿宋_GB2312"/>
          <w:b/>
          <w:bCs/>
          <w:color w:val="auto"/>
          <w:kern w:val="0"/>
          <w:sz w:val="32"/>
          <w:szCs w:val="32"/>
          <w:lang w:val="en-US" w:eastAsia="zh-CN" w:bidi="ar-SA"/>
        </w:rPr>
        <w:t>财政拨款“三公”经费支出总体情况说明。</w:t>
      </w:r>
    </w:p>
    <w:p>
      <w:pPr>
        <w:widowControl/>
        <w:numPr>
          <w:ilvl w:val="0"/>
          <w:numId w:val="0"/>
        </w:numPr>
        <w:spacing w:before="240" w:after="240"/>
        <w:ind w:firstLine="640" w:firstLineChars="200"/>
        <w:jc w:val="left"/>
        <w:rPr>
          <w:rFonts w:hint="eastAsia" w:ascii="仿宋_GB2312" w:hAnsi="仿宋_GB2312" w:eastAsia="仿宋_GB2312" w:cs="仿宋_GB2312"/>
          <w:b w:val="0"/>
          <w:bCs w:val="0"/>
          <w:color w:val="auto"/>
          <w:kern w:val="0"/>
          <w:sz w:val="32"/>
          <w:szCs w:val="32"/>
          <w:lang w:val="en-US" w:eastAsia="zh-CN" w:bidi="ar-SA"/>
        </w:rPr>
      </w:pPr>
      <w:r>
        <w:rPr>
          <w:rFonts w:hint="eastAsia" w:ascii="仿宋_GB2312" w:hAnsi="仿宋_GB2312" w:eastAsia="仿宋_GB2312" w:cs="仿宋_GB2312"/>
          <w:b w:val="0"/>
          <w:bCs w:val="0"/>
          <w:color w:val="auto"/>
          <w:kern w:val="0"/>
          <w:sz w:val="32"/>
          <w:szCs w:val="32"/>
          <w:lang w:val="en-US" w:eastAsia="zh-CN" w:bidi="ar-SA"/>
        </w:rPr>
        <w:t>赤峰市艺术剧院（赤峰市乌兰牧骑） 202</w:t>
      </w:r>
      <w:r>
        <w:rPr>
          <w:rFonts w:hint="default" w:ascii="仿宋_GB2312" w:hAnsi="仿宋_GB2312" w:eastAsia="仿宋_GB2312" w:cs="仿宋_GB2312"/>
          <w:b w:val="0"/>
          <w:bCs w:val="0"/>
          <w:color w:val="auto"/>
          <w:kern w:val="0"/>
          <w:sz w:val="32"/>
          <w:szCs w:val="32"/>
          <w:lang w:val="en-US" w:eastAsia="zh-CN" w:bidi="ar-SA"/>
        </w:rPr>
        <w:t>5</w:t>
      </w:r>
      <w:r>
        <w:rPr>
          <w:rFonts w:hint="eastAsia" w:ascii="仿宋_GB2312" w:hAnsi="仿宋_GB2312" w:eastAsia="仿宋_GB2312" w:cs="仿宋_GB2312"/>
          <w:b w:val="0"/>
          <w:bCs w:val="0"/>
          <w:color w:val="auto"/>
          <w:kern w:val="0"/>
          <w:sz w:val="32"/>
          <w:szCs w:val="32"/>
          <w:lang w:val="en-US" w:eastAsia="zh-CN" w:bidi="ar-SA"/>
        </w:rPr>
        <w:t>年度财政拨款“三公”经费全年预算</w:t>
      </w:r>
      <w:r>
        <w:rPr>
          <w:rFonts w:hint="default" w:ascii="仿宋_GB2312" w:hAnsi="仿宋_GB2312" w:eastAsia="仿宋_GB2312" w:cs="仿宋_GB2312"/>
          <w:b w:val="0"/>
          <w:bCs w:val="0"/>
          <w:color w:val="auto"/>
          <w:kern w:val="0"/>
          <w:sz w:val="32"/>
          <w:szCs w:val="32"/>
          <w:lang w:val="en-US" w:eastAsia="zh-CN" w:bidi="ar-SA"/>
        </w:rPr>
        <w:t>9.66</w:t>
      </w:r>
      <w:r>
        <w:rPr>
          <w:rFonts w:hint="eastAsia" w:ascii="仿宋_GB2312" w:hAnsi="仿宋_GB2312" w:eastAsia="仿宋_GB2312" w:cs="仿宋_GB2312"/>
          <w:b w:val="0"/>
          <w:bCs w:val="0"/>
          <w:color w:val="auto"/>
          <w:kern w:val="0"/>
          <w:sz w:val="32"/>
          <w:szCs w:val="32"/>
          <w:lang w:val="en-US" w:eastAsia="zh-CN" w:bidi="ar-SA"/>
        </w:rPr>
        <w:t>万元，支出决算</w:t>
      </w:r>
      <w:r>
        <w:rPr>
          <w:rFonts w:hint="default" w:ascii="仿宋_GB2312" w:hAnsi="仿宋_GB2312" w:eastAsia="仿宋_GB2312" w:cs="仿宋_GB2312"/>
          <w:b w:val="0"/>
          <w:bCs w:val="0"/>
          <w:color w:val="auto"/>
          <w:kern w:val="0"/>
          <w:sz w:val="32"/>
          <w:szCs w:val="32"/>
          <w:lang w:val="en-US" w:eastAsia="zh-CN" w:bidi="ar-SA"/>
        </w:rPr>
        <w:t>9.66</w:t>
      </w:r>
      <w:r>
        <w:rPr>
          <w:rFonts w:hint="eastAsia" w:ascii="仿宋_GB2312" w:hAnsi="仿宋_GB2312" w:eastAsia="仿宋_GB2312" w:cs="仿宋_GB2312"/>
          <w:b w:val="0"/>
          <w:bCs w:val="0"/>
          <w:color w:val="auto"/>
          <w:kern w:val="0"/>
          <w:sz w:val="32"/>
          <w:szCs w:val="32"/>
          <w:lang w:val="en-US" w:eastAsia="zh-CN" w:bidi="ar-SA"/>
        </w:rPr>
        <w:t xml:space="preserve">万元，完成预算的 </w:t>
      </w:r>
      <w:r>
        <w:rPr>
          <w:rFonts w:hint="default" w:ascii="仿宋_GB2312" w:hAnsi="仿宋_GB2312" w:eastAsia="仿宋_GB2312" w:cs="仿宋_GB2312"/>
          <w:b w:val="0"/>
          <w:bCs w:val="0"/>
          <w:color w:val="auto"/>
          <w:kern w:val="0"/>
          <w:sz w:val="32"/>
          <w:szCs w:val="32"/>
          <w:lang w:val="en-US" w:eastAsia="zh-CN" w:bidi="ar-SA"/>
        </w:rPr>
        <w:t>99.94</w:t>
      </w:r>
      <w:r>
        <w:rPr>
          <w:rFonts w:hint="eastAsia" w:ascii="仿宋_GB2312" w:hAnsi="仿宋_GB2312" w:eastAsia="仿宋_GB2312" w:cs="仿宋_GB2312"/>
          <w:b w:val="0"/>
          <w:bCs w:val="0"/>
          <w:color w:val="auto"/>
          <w:kern w:val="0"/>
          <w:sz w:val="32"/>
          <w:szCs w:val="32"/>
          <w:lang w:val="en-US" w:eastAsia="zh-CN" w:bidi="ar-SA"/>
        </w:rPr>
        <w:t>%。其中：因公出国（境）费全年预算 0万元，支出决算 0万元，完成预算的 0%；公务用车购置及运行维护费全年预算</w:t>
      </w:r>
      <w:r>
        <w:rPr>
          <w:rFonts w:hint="default" w:ascii="仿宋_GB2312" w:hAnsi="仿宋_GB2312" w:eastAsia="仿宋_GB2312" w:cs="仿宋_GB2312"/>
          <w:b w:val="0"/>
          <w:bCs w:val="0"/>
          <w:color w:val="auto"/>
          <w:kern w:val="0"/>
          <w:sz w:val="32"/>
          <w:szCs w:val="32"/>
          <w:lang w:val="en-US" w:eastAsia="zh-CN" w:bidi="ar-SA"/>
        </w:rPr>
        <w:t>9.66</w:t>
      </w:r>
      <w:r>
        <w:rPr>
          <w:rFonts w:hint="eastAsia" w:ascii="仿宋_GB2312" w:hAnsi="仿宋_GB2312" w:eastAsia="仿宋_GB2312" w:cs="仿宋_GB2312"/>
          <w:b w:val="0"/>
          <w:bCs w:val="0"/>
          <w:color w:val="auto"/>
          <w:kern w:val="0"/>
          <w:sz w:val="32"/>
          <w:szCs w:val="32"/>
          <w:lang w:val="en-US" w:eastAsia="zh-CN" w:bidi="ar-SA"/>
        </w:rPr>
        <w:t xml:space="preserve">万元，支出决算 </w:t>
      </w:r>
      <w:r>
        <w:rPr>
          <w:rFonts w:hint="default" w:ascii="仿宋_GB2312" w:hAnsi="仿宋_GB2312" w:eastAsia="仿宋_GB2312" w:cs="仿宋_GB2312"/>
          <w:b w:val="0"/>
          <w:bCs w:val="0"/>
          <w:color w:val="auto"/>
          <w:kern w:val="0"/>
          <w:sz w:val="32"/>
          <w:szCs w:val="32"/>
          <w:lang w:val="en-US" w:eastAsia="zh-CN" w:bidi="ar-SA"/>
        </w:rPr>
        <w:t>9.66</w:t>
      </w:r>
      <w:r>
        <w:rPr>
          <w:rFonts w:hint="eastAsia" w:ascii="仿宋_GB2312" w:hAnsi="仿宋_GB2312" w:eastAsia="仿宋_GB2312" w:cs="仿宋_GB2312"/>
          <w:b w:val="0"/>
          <w:bCs w:val="0"/>
          <w:color w:val="auto"/>
          <w:kern w:val="0"/>
          <w:sz w:val="32"/>
          <w:szCs w:val="32"/>
          <w:lang w:val="en-US" w:eastAsia="zh-CN" w:bidi="ar-SA"/>
        </w:rPr>
        <w:t>万元，完成预算的</w:t>
      </w:r>
      <w:r>
        <w:rPr>
          <w:rFonts w:hint="default" w:ascii="仿宋_GB2312" w:hAnsi="仿宋_GB2312" w:eastAsia="仿宋_GB2312" w:cs="仿宋_GB2312"/>
          <w:b w:val="0"/>
          <w:bCs w:val="0"/>
          <w:color w:val="auto"/>
          <w:kern w:val="0"/>
          <w:sz w:val="32"/>
          <w:szCs w:val="32"/>
          <w:lang w:val="en-US" w:eastAsia="zh-CN" w:bidi="ar-SA"/>
        </w:rPr>
        <w:t>99.94</w:t>
      </w:r>
      <w:r>
        <w:rPr>
          <w:rFonts w:hint="eastAsia" w:ascii="仿宋_GB2312" w:hAnsi="仿宋_GB2312" w:eastAsia="仿宋_GB2312" w:cs="仿宋_GB2312"/>
          <w:b w:val="0"/>
          <w:bCs w:val="0"/>
          <w:color w:val="auto"/>
          <w:kern w:val="0"/>
          <w:sz w:val="32"/>
          <w:szCs w:val="32"/>
          <w:lang w:val="en-US" w:eastAsia="zh-CN" w:bidi="ar-SA"/>
        </w:rPr>
        <w:t>%；公务接待费全年预算 0万元，支出决算 0万元，完成预算的 0%。202</w:t>
      </w:r>
      <w:r>
        <w:rPr>
          <w:rFonts w:hint="default" w:ascii="仿宋_GB2312" w:hAnsi="仿宋_GB2312" w:eastAsia="仿宋_GB2312" w:cs="仿宋_GB2312"/>
          <w:b w:val="0"/>
          <w:bCs w:val="0"/>
          <w:color w:val="auto"/>
          <w:kern w:val="0"/>
          <w:sz w:val="32"/>
          <w:szCs w:val="32"/>
          <w:lang w:val="en-US" w:eastAsia="zh-CN" w:bidi="ar-SA"/>
        </w:rPr>
        <w:t>5</w:t>
      </w:r>
      <w:r>
        <w:rPr>
          <w:rFonts w:hint="eastAsia" w:ascii="仿宋_GB2312" w:hAnsi="仿宋_GB2312" w:eastAsia="仿宋_GB2312" w:cs="仿宋_GB2312"/>
          <w:b w:val="0"/>
          <w:bCs w:val="0"/>
          <w:color w:val="auto"/>
          <w:kern w:val="0"/>
          <w:sz w:val="32"/>
          <w:szCs w:val="32"/>
          <w:lang w:val="en-US" w:eastAsia="zh-CN" w:bidi="ar-SA"/>
        </w:rPr>
        <w:t>年度一般公共预算财政拨款“三公”经费全年预算</w:t>
      </w:r>
      <w:r>
        <w:rPr>
          <w:rFonts w:hint="default" w:ascii="仿宋_GB2312" w:hAnsi="仿宋_GB2312" w:eastAsia="仿宋_GB2312" w:cs="仿宋_GB2312"/>
          <w:b w:val="0"/>
          <w:bCs w:val="0"/>
          <w:color w:val="auto"/>
          <w:kern w:val="0"/>
          <w:sz w:val="32"/>
          <w:szCs w:val="32"/>
          <w:lang w:val="en-US" w:eastAsia="zh-CN" w:bidi="ar-SA"/>
        </w:rPr>
        <w:t>9.66</w:t>
      </w:r>
      <w:r>
        <w:rPr>
          <w:rFonts w:hint="eastAsia" w:ascii="仿宋_GB2312" w:hAnsi="仿宋_GB2312" w:eastAsia="仿宋_GB2312" w:cs="仿宋_GB2312"/>
          <w:b w:val="0"/>
          <w:bCs w:val="0"/>
          <w:color w:val="auto"/>
          <w:kern w:val="0"/>
          <w:sz w:val="32"/>
          <w:szCs w:val="32"/>
          <w:lang w:val="en-US" w:eastAsia="zh-CN" w:bidi="ar-SA"/>
        </w:rPr>
        <w:t xml:space="preserve">万元，支出决算 </w:t>
      </w:r>
      <w:r>
        <w:rPr>
          <w:rFonts w:hint="default" w:ascii="仿宋_GB2312" w:hAnsi="仿宋_GB2312" w:eastAsia="仿宋_GB2312" w:cs="仿宋_GB2312"/>
          <w:b w:val="0"/>
          <w:bCs w:val="0"/>
          <w:color w:val="auto"/>
          <w:kern w:val="0"/>
          <w:sz w:val="32"/>
          <w:szCs w:val="32"/>
          <w:lang w:val="en-US" w:eastAsia="zh-CN" w:bidi="ar-SA"/>
        </w:rPr>
        <w:t>9.66</w:t>
      </w:r>
      <w:r>
        <w:rPr>
          <w:rFonts w:hint="eastAsia" w:ascii="仿宋_GB2312" w:hAnsi="仿宋_GB2312" w:eastAsia="仿宋_GB2312" w:cs="仿宋_GB2312"/>
          <w:b w:val="0"/>
          <w:bCs w:val="0"/>
          <w:color w:val="auto"/>
          <w:kern w:val="0"/>
          <w:sz w:val="32"/>
          <w:szCs w:val="32"/>
          <w:lang w:val="en-US" w:eastAsia="zh-CN" w:bidi="ar-SA"/>
        </w:rPr>
        <w:t>万元，与预算差异原因</w:t>
      </w:r>
      <w:r>
        <w:rPr>
          <w:rFonts w:hint="default" w:ascii="仿宋_GB2312" w:hAnsi="仿宋_GB2312" w:eastAsia="仿宋_GB2312" w:cs="仿宋_GB2312"/>
          <w:b w:val="0"/>
          <w:bCs w:val="0"/>
          <w:color w:val="auto"/>
          <w:kern w:val="0"/>
          <w:sz w:val="32"/>
          <w:szCs w:val="32"/>
          <w:lang w:val="en-US" w:eastAsia="zh-CN" w:bidi="ar-SA"/>
        </w:rPr>
        <w:t>:</w:t>
      </w:r>
      <w:r>
        <w:rPr>
          <w:rFonts w:hint="eastAsia" w:ascii="仿宋_GB2312" w:hAnsi="仿宋_GB2312" w:eastAsia="仿宋_GB2312" w:cs="仿宋_GB2312"/>
          <w:b w:val="0"/>
          <w:bCs w:val="0"/>
          <w:color w:val="auto"/>
          <w:kern w:val="0"/>
          <w:sz w:val="32"/>
          <w:szCs w:val="32"/>
          <w:lang w:val="en-US" w:eastAsia="zh-CN" w:bidi="ar-SA"/>
        </w:rPr>
        <w:t>减少了业务用车保养及保险相应费用。</w:t>
      </w:r>
    </w:p>
    <w:p>
      <w:pPr>
        <w:widowControl/>
        <w:numPr>
          <w:ilvl w:val="0"/>
          <w:numId w:val="0"/>
        </w:numPr>
        <w:spacing w:before="240" w:after="240"/>
        <w:ind w:firstLine="643" w:firstLineChars="200"/>
        <w:jc w:val="left"/>
        <w:rPr>
          <w:rFonts w:hint="eastAsia" w:ascii="仿宋_GB2312" w:hAnsi="仿宋_GB2312" w:eastAsia="仿宋_GB2312" w:cs="仿宋_GB2312"/>
          <w:b/>
          <w:bCs/>
          <w:color w:val="auto"/>
          <w:kern w:val="0"/>
          <w:sz w:val="32"/>
          <w:szCs w:val="32"/>
          <w:lang w:val="en-US" w:eastAsia="zh-CN" w:bidi="ar-SA"/>
        </w:rPr>
      </w:pPr>
      <w:r>
        <w:rPr>
          <w:rFonts w:hint="eastAsia" w:ascii="仿宋_GB2312" w:hAnsi="仿宋_GB2312" w:eastAsia="仿宋_GB2312" w:cs="仿宋_GB2312"/>
          <w:b/>
          <w:bCs/>
          <w:color w:val="auto"/>
          <w:kern w:val="0"/>
          <w:sz w:val="32"/>
          <w:szCs w:val="32"/>
          <w:lang w:val="en-US" w:eastAsia="zh-CN" w:bidi="ar-SA"/>
        </w:rPr>
        <w:t>（二）财政拨款“三公”经费支出具体情况说明。</w:t>
      </w:r>
    </w:p>
    <w:p>
      <w:pPr>
        <w:widowControl/>
        <w:numPr>
          <w:ilvl w:val="0"/>
          <w:numId w:val="0"/>
        </w:numPr>
        <w:spacing w:before="240" w:after="240"/>
        <w:ind w:firstLine="640" w:firstLineChars="200"/>
        <w:jc w:val="left"/>
        <w:rPr>
          <w:rFonts w:hint="eastAsia" w:ascii="仿宋_GB2312" w:hAnsi="仿宋_GB2312" w:eastAsia="仿宋_GB2312" w:cs="仿宋_GB2312"/>
          <w:b w:val="0"/>
          <w:bCs w:val="0"/>
          <w:color w:val="auto"/>
          <w:kern w:val="0"/>
          <w:sz w:val="32"/>
          <w:szCs w:val="32"/>
          <w:lang w:val="en-US" w:eastAsia="zh-CN" w:bidi="ar-SA"/>
        </w:rPr>
      </w:pPr>
      <w:r>
        <w:rPr>
          <w:rFonts w:hint="eastAsia" w:ascii="仿宋_GB2312" w:hAnsi="仿宋_GB2312" w:eastAsia="仿宋_GB2312" w:cs="仿宋_GB2312"/>
          <w:b w:val="0"/>
          <w:bCs w:val="0"/>
          <w:color w:val="auto"/>
          <w:kern w:val="0"/>
          <w:sz w:val="32"/>
          <w:szCs w:val="32"/>
          <w:lang w:val="en-US" w:eastAsia="zh-CN" w:bidi="ar-SA"/>
        </w:rPr>
        <w:t>赤峰市艺术剧院（赤峰市乌兰牧骑） 2025年度财政拨款“三公”经费支出 9.66万元。因公出国（境）费支出 0万元，占 0%；公务用车购置及运行维护费支出 9.66万元，占 100.00%；公务接待费支出 0万元，占 0%。其中：</w:t>
      </w:r>
    </w:p>
    <w:p>
      <w:pPr>
        <w:widowControl/>
        <w:numPr>
          <w:ilvl w:val="0"/>
          <w:numId w:val="6"/>
        </w:numPr>
        <w:spacing w:before="240" w:after="240"/>
        <w:ind w:firstLine="640" w:firstLineChars="200"/>
        <w:jc w:val="left"/>
        <w:rPr>
          <w:rFonts w:hint="eastAsia" w:ascii="仿宋_GB2312" w:hAnsi="仿宋_GB2312" w:eastAsia="仿宋_GB2312" w:cs="仿宋_GB2312"/>
          <w:b w:val="0"/>
          <w:bCs w:val="0"/>
          <w:color w:val="auto"/>
          <w:kern w:val="0"/>
          <w:sz w:val="32"/>
          <w:szCs w:val="32"/>
          <w:lang w:val="en-US" w:eastAsia="zh-CN" w:bidi="ar-SA"/>
        </w:rPr>
      </w:pPr>
      <w:r>
        <w:rPr>
          <w:rFonts w:hint="eastAsia" w:ascii="仿宋_GB2312" w:hAnsi="仿宋_GB2312" w:eastAsia="仿宋_GB2312" w:cs="仿宋_GB2312"/>
          <w:b w:val="0"/>
          <w:bCs w:val="0"/>
          <w:color w:val="auto"/>
          <w:kern w:val="0"/>
          <w:sz w:val="32"/>
          <w:szCs w:val="32"/>
          <w:lang w:val="en-US" w:eastAsia="zh-CN" w:bidi="ar-SA"/>
        </w:rPr>
        <w:t>因公出国（境）费支出 0万元，全年出国（境）团组0 个，累计0 人次。与上年决算相比，增加 0万元，增长 0%，变动原因：本年度无因公出国（境）费支出。</w:t>
      </w:r>
    </w:p>
    <w:p>
      <w:pPr>
        <w:widowControl/>
        <w:numPr>
          <w:ilvl w:val="0"/>
          <w:numId w:val="0"/>
        </w:numPr>
        <w:spacing w:before="240" w:after="240"/>
        <w:ind w:firstLine="640" w:firstLineChars="200"/>
        <w:jc w:val="left"/>
        <w:rPr>
          <w:rFonts w:hint="eastAsia" w:ascii="仿宋_GB2312" w:hAnsi="仿宋_GB2312" w:eastAsia="仿宋_GB2312" w:cs="仿宋_GB2312"/>
          <w:b w:val="0"/>
          <w:bCs w:val="0"/>
          <w:color w:val="auto"/>
          <w:kern w:val="0"/>
          <w:sz w:val="32"/>
          <w:szCs w:val="32"/>
          <w:lang w:val="en-US" w:eastAsia="zh-CN" w:bidi="ar-SA"/>
        </w:rPr>
      </w:pPr>
      <w:r>
        <w:rPr>
          <w:rFonts w:hint="eastAsia" w:ascii="仿宋_GB2312" w:hAnsi="仿宋_GB2312" w:eastAsia="仿宋_GB2312" w:cs="仿宋_GB2312"/>
          <w:b w:val="0"/>
          <w:bCs w:val="0"/>
          <w:color w:val="auto"/>
          <w:kern w:val="0"/>
          <w:sz w:val="32"/>
          <w:szCs w:val="32"/>
          <w:lang w:val="en-US" w:eastAsia="zh-CN" w:bidi="ar-SA"/>
        </w:rPr>
        <w:t>2、公务用车购置及运行维护费支出 9.66万元。其中：</w:t>
      </w:r>
    </w:p>
    <w:p>
      <w:pPr>
        <w:widowControl/>
        <w:numPr>
          <w:ilvl w:val="0"/>
          <w:numId w:val="0"/>
        </w:numPr>
        <w:spacing w:before="240" w:after="240"/>
        <w:ind w:firstLine="640" w:firstLineChars="200"/>
        <w:jc w:val="left"/>
        <w:rPr>
          <w:rFonts w:hint="eastAsia" w:ascii="仿宋_GB2312" w:hAnsi="仿宋_GB2312" w:eastAsia="仿宋_GB2312" w:cs="仿宋_GB2312"/>
          <w:b w:val="0"/>
          <w:bCs w:val="0"/>
          <w:color w:val="auto"/>
          <w:kern w:val="0"/>
          <w:sz w:val="32"/>
          <w:szCs w:val="32"/>
          <w:lang w:val="en-US" w:eastAsia="zh-CN" w:bidi="ar-SA"/>
        </w:rPr>
      </w:pPr>
      <w:r>
        <w:rPr>
          <w:rFonts w:hint="eastAsia" w:ascii="仿宋_GB2312" w:hAnsi="仿宋_GB2312" w:eastAsia="仿宋_GB2312" w:cs="仿宋_GB2312"/>
          <w:b w:val="0"/>
          <w:bCs w:val="0"/>
          <w:color w:val="auto"/>
          <w:kern w:val="0"/>
          <w:sz w:val="32"/>
          <w:szCs w:val="32"/>
          <w:lang w:val="en-US" w:eastAsia="zh-CN" w:bidi="ar-SA"/>
        </w:rPr>
        <w:t>（1）公务用车购置支出 0万元。本年度使用财政拨款购置公务用车0 辆，开支内容：本年度无公务用车购置支出。与上年决算相比，增加0万元，增长0 %，变动原因：本年度无公务用车购置支出。</w:t>
      </w:r>
    </w:p>
    <w:p>
      <w:pPr>
        <w:widowControl/>
        <w:numPr>
          <w:ilvl w:val="0"/>
          <w:numId w:val="0"/>
        </w:numPr>
        <w:spacing w:before="240" w:after="240"/>
        <w:ind w:firstLine="640" w:firstLineChars="200"/>
        <w:jc w:val="left"/>
        <w:rPr>
          <w:rFonts w:hint="eastAsia" w:ascii="仿宋_GB2312" w:hAnsi="仿宋_GB2312" w:eastAsia="仿宋_GB2312" w:cs="仿宋_GB2312"/>
          <w:b w:val="0"/>
          <w:bCs w:val="0"/>
          <w:color w:val="auto"/>
          <w:kern w:val="0"/>
          <w:sz w:val="32"/>
          <w:szCs w:val="32"/>
          <w:lang w:val="en-US" w:eastAsia="zh-CN" w:bidi="ar-SA"/>
        </w:rPr>
      </w:pPr>
      <w:r>
        <w:rPr>
          <w:rFonts w:hint="eastAsia" w:ascii="仿宋_GB2312" w:hAnsi="仿宋_GB2312" w:eastAsia="仿宋_GB2312" w:cs="仿宋_GB2312"/>
          <w:b w:val="0"/>
          <w:bCs w:val="0"/>
          <w:color w:val="auto"/>
          <w:kern w:val="0"/>
          <w:sz w:val="32"/>
          <w:szCs w:val="32"/>
          <w:lang w:val="en-US" w:eastAsia="zh-CN" w:bidi="ar-SA"/>
        </w:rPr>
        <w:t>（2）公务用车运行维护费支出9.66万元。公务用车运行维护费主要用于按规定保留的公务用车的燃料费、维修费、过桥过路费、保险费用等支出。截至2025年12月31日，使用财政拨款开支的公务用车保有量为4 辆。与上年决算相比，减少0.02万元，下降0.25%，变动原因：减少了业务用车保养及保险相应费用。</w:t>
      </w:r>
    </w:p>
    <w:p>
      <w:pPr>
        <w:widowControl/>
        <w:numPr>
          <w:ilvl w:val="0"/>
          <w:numId w:val="0"/>
        </w:numPr>
        <w:spacing w:before="240" w:after="240"/>
        <w:ind w:firstLine="640" w:firstLineChars="200"/>
        <w:jc w:val="left"/>
        <w:rPr>
          <w:rFonts w:ascii="Times New Roman" w:hAnsi="Times New Roman" w:eastAsia="Times New Roman" w:cs="Times New Roman"/>
          <w:kern w:val="0"/>
          <w:sz w:val="24"/>
        </w:rPr>
      </w:pPr>
      <w:r>
        <w:rPr>
          <w:rFonts w:hint="eastAsia" w:ascii="仿宋_GB2312" w:hAnsi="仿宋_GB2312" w:eastAsia="仿宋_GB2312" w:cs="仿宋_GB2312"/>
          <w:b w:val="0"/>
          <w:bCs w:val="0"/>
          <w:color w:val="auto"/>
          <w:kern w:val="0"/>
          <w:sz w:val="32"/>
          <w:szCs w:val="32"/>
          <w:lang w:val="en-US" w:eastAsia="zh-CN" w:bidi="ar-SA"/>
        </w:rPr>
        <w:t>3、公务接待费支出 0万元。其中：国内公务接待支出 0万元，接待0 批次，0 人次，开支内容：本年度无公务接待费支出；国（境）外公务接待支出 0万元，接待0 批次，0 人次，开支内容：本年度无国（境）外公务接待支出。与上年决算相比，增加 0万元，增长0%，变动原因：本年度无国（境）外公务接待支出。</w:t>
      </w:r>
    </w:p>
    <w:p>
      <w:pPr>
        <w:widowControl/>
        <w:spacing w:before="240" w:after="240"/>
        <w:ind w:firstLine="643" w:firstLineChars="200"/>
        <w:jc w:val="left"/>
        <w:rPr>
          <w:rFonts w:ascii="Times New Roman" w:hAnsi="Times New Roman" w:eastAsia="Times New Roman" w:cs="Times New Roman"/>
          <w:kern w:val="0"/>
          <w:sz w:val="24"/>
        </w:rPr>
      </w:pPr>
      <w:r>
        <w:rPr>
          <w:rFonts w:ascii="黑体" w:hAnsi="黑体" w:eastAsia="黑体" w:cs="黑体"/>
          <w:b/>
          <w:bCs/>
          <w:kern w:val="0"/>
          <w:sz w:val="32"/>
          <w:szCs w:val="32"/>
        </w:rPr>
        <w:t>九、政府性基金预算财政拨款支出决算情况说明</w:t>
      </w:r>
    </w:p>
    <w:p>
      <w:pPr>
        <w:widowControl/>
        <w:numPr>
          <w:ilvl w:val="0"/>
          <w:numId w:val="0"/>
        </w:numPr>
        <w:spacing w:before="240" w:after="240"/>
        <w:ind w:firstLine="640" w:firstLineChars="200"/>
        <w:jc w:val="left"/>
        <w:rPr>
          <w:rFonts w:ascii="Times New Roman" w:hAnsi="Times New Roman" w:eastAsia="Times New Roman" w:cs="Times New Roman"/>
          <w:kern w:val="0"/>
          <w:sz w:val="24"/>
        </w:rPr>
      </w:pPr>
      <w:r>
        <w:rPr>
          <w:rFonts w:hint="eastAsia" w:ascii="仿宋_GB2312" w:hAnsi="仿宋_GB2312" w:eastAsia="仿宋_GB2312" w:cs="仿宋_GB2312"/>
          <w:b w:val="0"/>
          <w:bCs w:val="0"/>
          <w:color w:val="auto"/>
          <w:kern w:val="0"/>
          <w:sz w:val="32"/>
          <w:szCs w:val="32"/>
          <w:lang w:val="en-US" w:eastAsia="zh-CN" w:bidi="ar-SA"/>
        </w:rPr>
        <w:t>赤峰市艺术剧院（赤峰市乌兰牧骑） 2025年度政府性基金预算财政拨款支出决算 0万元。与上年决算相比，增加0万元，增长变动原因：本年无政府性基金预算财政拨款收、支、余。</w:t>
      </w:r>
    </w:p>
    <w:p>
      <w:pPr>
        <w:widowControl/>
        <w:spacing w:before="240" w:after="240"/>
        <w:ind w:firstLine="643" w:firstLineChars="200"/>
        <w:jc w:val="left"/>
        <w:rPr>
          <w:rFonts w:ascii="Times New Roman" w:hAnsi="Times New Roman" w:eastAsia="Times New Roman" w:cs="Times New Roman"/>
          <w:kern w:val="0"/>
          <w:sz w:val="24"/>
        </w:rPr>
      </w:pPr>
      <w:r>
        <w:rPr>
          <w:rFonts w:ascii="黑体" w:hAnsi="黑体" w:eastAsia="黑体" w:cs="黑体"/>
          <w:b/>
          <w:bCs/>
          <w:kern w:val="0"/>
          <w:sz w:val="32"/>
          <w:szCs w:val="32"/>
        </w:rPr>
        <w:t>十、国有资本经营预算财政拨款支出决算情况说明</w:t>
      </w:r>
    </w:p>
    <w:p>
      <w:pPr>
        <w:widowControl/>
        <w:numPr>
          <w:ilvl w:val="0"/>
          <w:numId w:val="0"/>
        </w:numPr>
        <w:spacing w:before="240" w:after="240"/>
        <w:ind w:firstLine="640" w:firstLineChars="200"/>
        <w:jc w:val="left"/>
        <w:rPr>
          <w:rFonts w:hint="eastAsia" w:ascii="仿宋_GB2312" w:hAnsi="仿宋_GB2312" w:eastAsia="仿宋_GB2312" w:cs="仿宋_GB2312"/>
          <w:b w:val="0"/>
          <w:bCs w:val="0"/>
          <w:color w:val="auto"/>
          <w:kern w:val="0"/>
          <w:sz w:val="32"/>
          <w:szCs w:val="32"/>
          <w:lang w:val="en-US" w:eastAsia="zh-CN" w:bidi="ar-SA"/>
        </w:rPr>
      </w:pPr>
      <w:r>
        <w:rPr>
          <w:rFonts w:hint="eastAsia" w:ascii="仿宋_GB2312" w:hAnsi="仿宋_GB2312" w:eastAsia="仿宋_GB2312" w:cs="仿宋_GB2312"/>
          <w:b w:val="0"/>
          <w:bCs w:val="0"/>
          <w:color w:val="auto"/>
          <w:kern w:val="0"/>
          <w:sz w:val="32"/>
          <w:szCs w:val="32"/>
          <w:lang w:val="en-US" w:eastAsia="zh-CN" w:bidi="ar-SA"/>
        </w:rPr>
        <w:t>赤峰市艺术剧院（赤峰市乌兰牧骑） 2025年度国有资本经营预算财政拨款支出决算 0万元。与上年决算相比，增加 0万元，增长0%，变动原因：本年无国有资本经营预算财政拨款收、支、余。</w:t>
      </w:r>
    </w:p>
    <w:p>
      <w:pPr>
        <w:widowControl/>
        <w:spacing w:before="240" w:after="240"/>
        <w:ind w:firstLine="643" w:firstLineChars="200"/>
        <w:jc w:val="left"/>
        <w:rPr>
          <w:rFonts w:ascii="黑体" w:hAnsi="黑体" w:eastAsia="黑体" w:cs="黑体"/>
          <w:b/>
          <w:bCs/>
          <w:kern w:val="0"/>
          <w:sz w:val="32"/>
          <w:szCs w:val="32"/>
        </w:rPr>
      </w:pPr>
      <w:r>
        <w:rPr>
          <w:rFonts w:ascii="黑体" w:hAnsi="黑体" w:eastAsia="黑体" w:cs="黑体"/>
          <w:b/>
          <w:bCs/>
          <w:kern w:val="0"/>
          <w:sz w:val="32"/>
          <w:szCs w:val="32"/>
        </w:rPr>
        <w:t>十一、机关运行经费（公用经费）支出决算情况说明</w:t>
      </w:r>
    </w:p>
    <w:p>
      <w:pPr>
        <w:widowControl/>
        <w:spacing w:before="240" w:after="240"/>
        <w:rPr>
          <w:rFonts w:hint="eastAsia" w:ascii="仿宋_GB2312" w:hAnsi="仿宋_GB2312" w:eastAsia="仿宋_GB2312" w:cs="仿宋_GB2312"/>
          <w:b w:val="0"/>
          <w:bCs w:val="0"/>
          <w:color w:val="auto"/>
          <w:kern w:val="0"/>
          <w:sz w:val="32"/>
          <w:szCs w:val="32"/>
          <w:lang w:val="en-US" w:eastAsia="zh-CN" w:bidi="ar-SA"/>
        </w:rPr>
      </w:pPr>
      <w:r>
        <w:rPr>
          <w:rFonts w:ascii="Calibri" w:hAnsi="Calibri" w:eastAsia="Calibri" w:cs="Calibri"/>
          <w:kern w:val="0"/>
          <w:sz w:val="27"/>
          <w:szCs w:val="27"/>
        </w:rPr>
        <w:t> </w:t>
      </w:r>
      <w:r>
        <w:rPr>
          <w:rFonts w:ascii="仿宋_GB2312" w:hAnsi="仿宋_GB2312" w:eastAsia="仿宋_GB2312" w:cs="仿宋_GB2312"/>
          <w:kern w:val="0"/>
          <w:sz w:val="27"/>
          <w:szCs w:val="27"/>
        </w:rPr>
        <w:t xml:space="preserve"> </w:t>
      </w:r>
      <w:r>
        <w:rPr>
          <w:rFonts w:ascii="Calibri" w:hAnsi="Calibri" w:eastAsia="Calibri" w:cs="Calibri"/>
          <w:kern w:val="0"/>
          <w:sz w:val="27"/>
          <w:szCs w:val="27"/>
        </w:rPr>
        <w:t> </w:t>
      </w:r>
      <w:r>
        <w:rPr>
          <w:rFonts w:ascii="仿宋_GB2312" w:hAnsi="仿宋_GB2312" w:eastAsia="仿宋_GB2312" w:cs="仿宋_GB2312"/>
          <w:kern w:val="0"/>
          <w:sz w:val="27"/>
          <w:szCs w:val="27"/>
        </w:rPr>
        <w:t xml:space="preserve"> </w:t>
      </w:r>
      <w:r>
        <w:rPr>
          <w:rFonts w:hint="eastAsia" w:ascii="仿宋_GB2312" w:hAnsi="仿宋_GB2312" w:eastAsia="仿宋_GB2312" w:cs="仿宋_GB2312"/>
          <w:b w:val="0"/>
          <w:bCs w:val="0"/>
          <w:color w:val="auto"/>
          <w:kern w:val="0"/>
          <w:sz w:val="32"/>
          <w:szCs w:val="32"/>
          <w:lang w:val="en-US" w:eastAsia="zh-CN" w:bidi="ar-SA"/>
        </w:rPr>
        <w:t>赤峰市艺术剧院（赤峰市乌兰牧骑） 2025年度公用经费支出决算46.92万元，与上年决算相比，增加9.89万元，增长26.72%，变动原因：2025年退休公用经费全部支出。其中，机关运行经费支出决算 0万元。比上年决算相比，增加0万元，增长0%，变动原因：我单位类型为公益一类事业单位，无机关运行经费支出。</w:t>
      </w:r>
    </w:p>
    <w:p>
      <w:pPr>
        <w:widowControl/>
        <w:numPr>
          <w:ilvl w:val="0"/>
          <w:numId w:val="7"/>
        </w:numPr>
        <w:spacing w:before="240" w:after="240"/>
        <w:ind w:firstLine="643" w:firstLineChars="200"/>
        <w:rPr>
          <w:rFonts w:ascii="黑体" w:hAnsi="黑体" w:eastAsia="黑体" w:cs="黑体"/>
          <w:b/>
          <w:bCs/>
          <w:kern w:val="0"/>
          <w:sz w:val="32"/>
          <w:szCs w:val="32"/>
        </w:rPr>
      </w:pPr>
      <w:r>
        <w:rPr>
          <w:rFonts w:ascii="黑体" w:hAnsi="黑体" w:eastAsia="黑体" w:cs="黑体"/>
          <w:b/>
          <w:bCs/>
          <w:kern w:val="0"/>
          <w:sz w:val="32"/>
          <w:szCs w:val="32"/>
        </w:rPr>
        <w:t>政府采购支出决算情况说明</w:t>
      </w:r>
    </w:p>
    <w:p>
      <w:pPr>
        <w:widowControl/>
        <w:numPr>
          <w:ilvl w:val="0"/>
          <w:numId w:val="0"/>
        </w:numPr>
        <w:spacing w:before="240" w:after="240"/>
        <w:ind w:firstLine="640" w:firstLineChars="200"/>
        <w:rPr>
          <w:rFonts w:hint="eastAsia" w:ascii="仿宋_GB2312" w:hAnsi="仿宋_GB2312" w:eastAsia="仿宋_GB2312" w:cs="仿宋_GB2312"/>
          <w:b w:val="0"/>
          <w:bCs w:val="0"/>
          <w:color w:val="auto"/>
          <w:kern w:val="0"/>
          <w:sz w:val="32"/>
          <w:szCs w:val="32"/>
          <w:lang w:val="en-US" w:eastAsia="zh-CN" w:bidi="ar-SA"/>
        </w:rPr>
      </w:pPr>
      <w:r>
        <w:rPr>
          <w:rFonts w:hint="eastAsia" w:ascii="仿宋_GB2312" w:hAnsi="仿宋_GB2312" w:eastAsia="仿宋_GB2312" w:cs="仿宋_GB2312"/>
          <w:b w:val="0"/>
          <w:bCs w:val="0"/>
          <w:color w:val="auto"/>
          <w:kern w:val="0"/>
          <w:sz w:val="32"/>
          <w:szCs w:val="32"/>
          <w:lang w:val="en-US" w:eastAsia="zh-CN" w:bidi="ar-SA"/>
        </w:rPr>
        <w:t>赤峰市艺术剧院（赤峰市乌兰牧骑） 2025年度政府采购支出总额 9.66万元，其中：政府采购货物支出 0.55万元、政府采购工程支出 0万元、政府采购服务支出 9.11万元。政府采购授予中小企业合同金额 9.66万元，占政府采购支出总额的100%，其中：授予小微企业合同金额 9.66万元，占政府采购支出总额的100%；货物采购授予中小企业合同金额占货物支出金额的5.69%，工程采购授予中小企业合同金额占工程支出金额的0%，服务采购授予中小企业合同金额占服务支出金额的94.31%。</w:t>
      </w:r>
    </w:p>
    <w:p>
      <w:pPr>
        <w:widowControl/>
        <w:numPr>
          <w:ilvl w:val="0"/>
          <w:numId w:val="7"/>
        </w:numPr>
        <w:spacing w:before="240" w:after="240"/>
        <w:ind w:left="0" w:leftChars="0" w:firstLine="643" w:firstLineChars="200"/>
        <w:rPr>
          <w:rFonts w:ascii="黑体" w:hAnsi="黑体" w:eastAsia="黑体" w:cs="黑体"/>
          <w:b/>
          <w:bCs/>
          <w:kern w:val="0"/>
          <w:sz w:val="32"/>
          <w:szCs w:val="32"/>
        </w:rPr>
      </w:pPr>
      <w:r>
        <w:rPr>
          <w:rFonts w:ascii="黑体" w:hAnsi="黑体" w:eastAsia="黑体" w:cs="黑体"/>
          <w:b/>
          <w:bCs/>
          <w:kern w:val="0"/>
          <w:sz w:val="32"/>
          <w:szCs w:val="32"/>
        </w:rPr>
        <w:t>国有资产占用情况说明</w:t>
      </w:r>
    </w:p>
    <w:p>
      <w:pPr>
        <w:widowControl/>
        <w:numPr>
          <w:ilvl w:val="0"/>
          <w:numId w:val="0"/>
        </w:numPr>
        <w:spacing w:before="240" w:after="240"/>
        <w:ind w:firstLine="640" w:firstLineChars="200"/>
        <w:rPr>
          <w:rFonts w:hint="eastAsia" w:ascii="仿宋_GB2312" w:hAnsi="仿宋_GB2312" w:eastAsia="仿宋_GB2312" w:cs="仿宋_GB2312"/>
          <w:b w:val="0"/>
          <w:bCs w:val="0"/>
          <w:color w:val="auto"/>
          <w:kern w:val="0"/>
          <w:sz w:val="32"/>
          <w:szCs w:val="32"/>
          <w:lang w:val="en-US" w:eastAsia="zh-CN" w:bidi="ar-SA"/>
        </w:rPr>
      </w:pPr>
      <w:r>
        <w:rPr>
          <w:rFonts w:hint="eastAsia" w:ascii="仿宋_GB2312" w:hAnsi="仿宋_GB2312" w:eastAsia="仿宋_GB2312" w:cs="仿宋_GB2312"/>
          <w:b w:val="0"/>
          <w:bCs w:val="0"/>
          <w:color w:val="auto"/>
          <w:kern w:val="0"/>
          <w:sz w:val="32"/>
          <w:szCs w:val="32"/>
          <w:lang w:val="en-US" w:eastAsia="zh-CN" w:bidi="ar-SA"/>
        </w:rPr>
        <w:t>赤峰市艺术剧院（赤峰市乌兰牧骑） 截至2025年12月31日，本单位共有车辆 4辆，其中：副部（省）级及以上领导用车0 辆、主要负责人用车 0辆、机要通信用车 0辆、应急保障用车 0辆、执法执勤用车 0辆、特种专业技术用车 2辆、离退休干部服务用车 0辆，其他用车 2辆；单价100万元（含）以上的设备（不含车辆） 0台（套）。</w:t>
      </w:r>
    </w:p>
    <w:p>
      <w:pPr>
        <w:widowControl/>
        <w:numPr>
          <w:ilvl w:val="0"/>
          <w:numId w:val="0"/>
        </w:numPr>
        <w:spacing w:before="240" w:after="240"/>
        <w:ind w:firstLine="643" w:firstLineChars="200"/>
        <w:rPr>
          <w:rFonts w:ascii="黑体" w:hAnsi="黑体" w:eastAsia="黑体" w:cs="黑体"/>
          <w:b/>
          <w:bCs/>
          <w:kern w:val="0"/>
          <w:sz w:val="32"/>
          <w:szCs w:val="32"/>
        </w:rPr>
      </w:pPr>
      <w:r>
        <w:rPr>
          <w:rFonts w:ascii="黑体" w:hAnsi="黑体" w:eastAsia="黑体" w:cs="黑体"/>
          <w:b/>
          <w:bCs/>
          <w:kern w:val="0"/>
          <w:sz w:val="32"/>
          <w:szCs w:val="32"/>
        </w:rPr>
        <w:t>十四、预算绩效情况说明</w:t>
      </w:r>
    </w:p>
    <w:p>
      <w:pPr>
        <w:widowControl/>
        <w:spacing w:before="240" w:after="240"/>
        <w:jc w:val="left"/>
        <w:rPr>
          <w:rFonts w:hint="eastAsia" w:ascii="仿宋_GB2312" w:hAnsi="仿宋_GB2312" w:eastAsia="仿宋_GB2312" w:cs="仿宋_GB2312"/>
          <w:b/>
          <w:bCs/>
          <w:color w:val="auto"/>
          <w:kern w:val="0"/>
          <w:sz w:val="32"/>
          <w:szCs w:val="32"/>
          <w:lang w:val="en-US" w:eastAsia="zh-CN" w:bidi="ar-SA"/>
        </w:rPr>
      </w:pPr>
      <w:r>
        <w:rPr>
          <w:rFonts w:ascii="kai_ti_gb2312" w:hAnsi="kai_ti_gb2312" w:eastAsia="kai_ti_gb2312" w:cs="kai_ti_gb2312"/>
          <w:b/>
          <w:bCs/>
          <w:kern w:val="0"/>
          <w:sz w:val="27"/>
          <w:szCs w:val="27"/>
        </w:rPr>
        <w:t xml:space="preserve">    </w:t>
      </w:r>
      <w:r>
        <w:rPr>
          <w:rFonts w:hint="eastAsia" w:ascii="仿宋_GB2312" w:hAnsi="仿宋_GB2312" w:eastAsia="仿宋_GB2312" w:cs="仿宋_GB2312"/>
          <w:b/>
          <w:bCs/>
          <w:color w:val="auto"/>
          <w:kern w:val="0"/>
          <w:sz w:val="32"/>
          <w:szCs w:val="32"/>
          <w:lang w:val="en-US" w:eastAsia="zh-CN" w:bidi="ar-SA"/>
        </w:rPr>
        <w:t>（一）预算绩效管理工作开展情况。</w:t>
      </w:r>
    </w:p>
    <w:p>
      <w:pPr>
        <w:widowControl/>
        <w:numPr>
          <w:ilvl w:val="0"/>
          <w:numId w:val="0"/>
        </w:numPr>
        <w:spacing w:before="240" w:after="240"/>
        <w:ind w:firstLine="640" w:firstLineChars="200"/>
        <w:rPr>
          <w:rFonts w:hint="eastAsia" w:ascii="仿宋_GB2312" w:hAnsi="仿宋_GB2312" w:eastAsia="仿宋_GB2312" w:cs="仿宋_GB2312"/>
          <w:b w:val="0"/>
          <w:bCs w:val="0"/>
          <w:color w:val="auto"/>
          <w:kern w:val="0"/>
          <w:sz w:val="32"/>
          <w:szCs w:val="32"/>
          <w:lang w:val="en-US" w:eastAsia="zh-CN" w:bidi="ar-SA"/>
        </w:rPr>
      </w:pPr>
      <w:r>
        <w:rPr>
          <w:rFonts w:hint="eastAsia" w:ascii="仿宋_GB2312" w:hAnsi="仿宋_GB2312" w:eastAsia="仿宋_GB2312" w:cs="仿宋_GB2312"/>
          <w:b w:val="0"/>
          <w:bCs w:val="0"/>
          <w:color w:val="auto"/>
          <w:kern w:val="0"/>
          <w:sz w:val="32"/>
          <w:szCs w:val="32"/>
          <w:lang w:val="en-US" w:eastAsia="zh-CN" w:bidi="ar-SA"/>
        </w:rPr>
        <w:t>赤峰市艺术剧院（赤峰市乌兰牧骑） 根据预算绩效管理要求组织对2025年一般公共预算项目支出全面开展绩效自评，其中一级项目5个，二级项目0个，共涉及资金162.49万元，占一般公共预算项目支出总额的100%；政府性基金预算项目0个，其中，一级项目 0个，二级项目0个，共涉及资金0万元，占应纳入绩效自评的政府性基金预算项目支出总额的0%。</w:t>
      </w:r>
    </w:p>
    <w:p>
      <w:pPr>
        <w:widowControl/>
        <w:numPr>
          <w:ilvl w:val="0"/>
          <w:numId w:val="0"/>
        </w:numPr>
        <w:spacing w:before="240" w:after="240"/>
        <w:ind w:firstLine="643" w:firstLineChars="200"/>
        <w:rPr>
          <w:rFonts w:hint="eastAsia" w:ascii="仿宋_GB2312" w:hAnsi="仿宋_GB2312" w:eastAsia="仿宋_GB2312" w:cs="仿宋_GB2312"/>
          <w:b/>
          <w:bCs/>
          <w:color w:val="auto"/>
          <w:kern w:val="0"/>
          <w:sz w:val="32"/>
          <w:szCs w:val="32"/>
          <w:lang w:val="en-US" w:eastAsia="zh-CN" w:bidi="ar-SA"/>
        </w:rPr>
      </w:pPr>
      <w:r>
        <w:rPr>
          <w:rFonts w:hint="eastAsia" w:ascii="仿宋_GB2312" w:hAnsi="仿宋_GB2312" w:eastAsia="仿宋_GB2312" w:cs="仿宋_GB2312"/>
          <w:b/>
          <w:bCs/>
          <w:color w:val="auto"/>
          <w:kern w:val="0"/>
          <w:sz w:val="32"/>
          <w:szCs w:val="32"/>
          <w:lang w:val="en-US" w:eastAsia="zh-CN" w:bidi="ar-SA"/>
        </w:rPr>
        <w:t>（二）单位决算中项目绩效自评结果。</w:t>
      </w:r>
    </w:p>
    <w:p>
      <w:pPr>
        <w:widowControl/>
        <w:numPr>
          <w:ilvl w:val="0"/>
          <w:numId w:val="0"/>
        </w:numPr>
        <w:spacing w:before="240" w:after="240"/>
        <w:ind w:firstLine="640" w:firstLineChars="200"/>
        <w:rPr>
          <w:rFonts w:hint="eastAsia" w:ascii="仿宋_GB2312" w:hAnsi="仿宋_GB2312" w:eastAsia="仿宋_GB2312" w:cs="仿宋_GB2312"/>
          <w:b w:val="0"/>
          <w:bCs w:val="0"/>
          <w:color w:val="auto"/>
          <w:kern w:val="0"/>
          <w:sz w:val="32"/>
          <w:szCs w:val="32"/>
          <w:lang w:val="en-US" w:eastAsia="zh-CN" w:bidi="ar-SA"/>
        </w:rPr>
      </w:pPr>
      <w:r>
        <w:rPr>
          <w:rFonts w:hint="eastAsia" w:ascii="仿宋_GB2312" w:hAnsi="仿宋_GB2312" w:eastAsia="仿宋_GB2312" w:cs="仿宋_GB2312"/>
          <w:b w:val="0"/>
          <w:bCs w:val="0"/>
          <w:color w:val="auto"/>
          <w:kern w:val="0"/>
          <w:sz w:val="32"/>
          <w:szCs w:val="32"/>
          <w:lang w:val="en-US" w:eastAsia="zh-CN" w:bidi="ar-SA"/>
        </w:rPr>
        <w:t>赤峰市艺术剧院（赤峰市乌兰牧骑） 2025年度在决算中反映5个一般公共预算项目，以及0个政府性基金项目，共5个项目的绩效自评结果。</w:t>
      </w:r>
    </w:p>
    <w:p>
      <w:pPr>
        <w:widowControl/>
        <w:numPr>
          <w:ilvl w:val="0"/>
          <w:numId w:val="0"/>
        </w:numPr>
        <w:spacing w:before="240" w:after="240"/>
        <w:ind w:firstLine="640" w:firstLineChars="200"/>
        <w:rPr>
          <w:rFonts w:hint="eastAsia" w:ascii="仿宋_GB2312" w:hAnsi="仿宋_GB2312" w:eastAsia="仿宋_GB2312" w:cs="仿宋_GB2312"/>
          <w:b w:val="0"/>
          <w:bCs w:val="0"/>
          <w:color w:val="auto"/>
          <w:kern w:val="0"/>
          <w:sz w:val="32"/>
          <w:szCs w:val="32"/>
          <w:lang w:val="en-US" w:eastAsia="zh-CN" w:bidi="ar-SA"/>
        </w:rPr>
      </w:pPr>
      <w:r>
        <w:rPr>
          <w:rFonts w:hint="eastAsia" w:ascii="仿宋_GB2312" w:hAnsi="仿宋_GB2312" w:eastAsia="仿宋_GB2312" w:cs="仿宋_GB2312"/>
          <w:b w:val="0"/>
          <w:bCs w:val="0"/>
          <w:color w:val="auto"/>
          <w:kern w:val="0"/>
          <w:sz w:val="32"/>
          <w:szCs w:val="32"/>
          <w:lang w:val="en-US" w:eastAsia="zh-CN" w:bidi="ar-SA"/>
        </w:rPr>
        <w:t>1、专项工作经费（政协活动）项目自评综述：根据年初设定的绩效目标，项目自评得分100分。全年预算数为1.29万元，执行数为1.29万元，完成预算的100%。项目绩效目标完成情况：赤峰市艺术剧院(赤峰市乌兰牧骑 )完成了庆祝新中国成立75周年暨人民政协成立75周年文艺晚会政协活动,以精彩纷呈的节目殷殷深情歌颂党、祝福袓国、赞美家乡。圆满完成了演出任务，以精彩纷呈的节目殷殷深情歌颂党、祝福袓国、赞美家乡。</w:t>
      </w:r>
    </w:p>
    <w:p>
      <w:pPr>
        <w:widowControl/>
        <w:numPr>
          <w:ilvl w:val="0"/>
          <w:numId w:val="0"/>
        </w:numPr>
        <w:spacing w:before="240" w:after="240"/>
        <w:ind w:firstLine="640" w:firstLineChars="200"/>
        <w:rPr>
          <w:rFonts w:hint="eastAsia" w:ascii="仿宋_GB2312" w:hAnsi="仿宋_GB2312" w:eastAsia="仿宋_GB2312" w:cs="仿宋_GB2312"/>
          <w:b w:val="0"/>
          <w:bCs w:val="0"/>
          <w:color w:val="auto"/>
          <w:kern w:val="0"/>
          <w:sz w:val="32"/>
          <w:szCs w:val="32"/>
          <w:lang w:val="en-US" w:eastAsia="zh-CN" w:bidi="ar-SA"/>
        </w:rPr>
      </w:pPr>
      <w:r>
        <w:rPr>
          <w:rFonts w:hint="eastAsia" w:ascii="仿宋_GB2312" w:hAnsi="仿宋_GB2312" w:eastAsia="仿宋_GB2312" w:cs="仿宋_GB2312"/>
          <w:b w:val="0"/>
          <w:bCs w:val="0"/>
          <w:color w:val="auto"/>
          <w:kern w:val="0"/>
          <w:sz w:val="32"/>
          <w:szCs w:val="32"/>
          <w:lang w:val="en-US" w:eastAsia="zh-CN" w:bidi="ar-SA"/>
        </w:rPr>
        <w:t>2、艺术发展专项资金项目自评综述：根据年初设定的绩效目标，项目自评得分85.04分。全年预算数为21万元，执行数为3.23万元，完成预算的15.38%。项目绩效目标完成情况： 赤峰市艺术剧院（赤峰市乌兰牧骑）2025年获批自治区艺术发展专项资金21万元，专项用于4个重点作品的打磨提升、排练优化与艺术呈现升级。项目以推出思想精深、艺术精湛、制作精良的文艺精品为核心目标，着力提升原创作品质量与舞台表演水平，更好满足基层群众精神文化需求。4个扶持作品均按计划完成修改提升任务，艺术质量与演出效果显著增强。项目实施有效丰富了基层公共文化服务供给，常态化开展惠民演出与文化下基层活动，切实提升全区文艺院团创作生产能力与整体水平；持续弘扬主旋律、传播正能量，营造积极健康、体现社会主义核心价值观的文化氛围；充分发挥优秀文艺作品在创作导向、题材选择、艺术水准上的引领示范作用，助力打造地域文化名片，进一步扩大内蒙古自治区文化品牌的知名度与影响力，修改提升工作如期完成。发现的主要问题及原因：年底创排及演出任务集中繁重，导致未能在2025年年底前完成报销流程。下一步改进措施：2026年按财政申批进度继续完成支付任务。</w:t>
      </w:r>
    </w:p>
    <w:p>
      <w:pPr>
        <w:widowControl/>
        <w:numPr>
          <w:ilvl w:val="0"/>
          <w:numId w:val="0"/>
        </w:numPr>
        <w:spacing w:before="240" w:after="240"/>
        <w:ind w:firstLine="640" w:firstLineChars="200"/>
        <w:rPr>
          <w:rFonts w:hint="eastAsia" w:ascii="仿宋_GB2312" w:hAnsi="仿宋_GB2312" w:eastAsia="仿宋_GB2312" w:cs="仿宋_GB2312"/>
          <w:b w:val="0"/>
          <w:bCs w:val="0"/>
          <w:color w:val="auto"/>
          <w:kern w:val="0"/>
          <w:sz w:val="32"/>
          <w:szCs w:val="32"/>
          <w:lang w:val="en-US" w:eastAsia="zh-CN" w:bidi="ar-SA"/>
        </w:rPr>
      </w:pPr>
      <w:r>
        <w:rPr>
          <w:rFonts w:hint="eastAsia" w:ascii="仿宋_GB2312" w:hAnsi="仿宋_GB2312" w:eastAsia="仿宋_GB2312" w:cs="仿宋_GB2312"/>
          <w:b w:val="0"/>
          <w:bCs w:val="0"/>
          <w:color w:val="auto"/>
          <w:kern w:val="0"/>
          <w:sz w:val="32"/>
          <w:szCs w:val="32"/>
          <w:lang w:val="en-US" w:eastAsia="zh-CN" w:bidi="ar-SA"/>
        </w:rPr>
        <w:t>3、第十一届全区少数民族传统体育运动会代表团开幕式入场驻停表演经费项目自评综述：根据年初设定的绩效目标，项目自评得分100分。全年预算数为36.09万元，执行数为36.09万元，完成预算的100%。项目绩效目标完成情况： 第十一届全区少数民族传统体育运动会代表团开幕式入场驻停表演于2025年7月圆满完成演出任务。</w:t>
      </w:r>
    </w:p>
    <w:p>
      <w:pPr>
        <w:widowControl/>
        <w:numPr>
          <w:ilvl w:val="0"/>
          <w:numId w:val="0"/>
        </w:numPr>
        <w:spacing w:before="240" w:after="240"/>
        <w:ind w:firstLine="640" w:firstLineChars="200"/>
        <w:rPr>
          <w:rFonts w:hint="eastAsia" w:ascii="仿宋_GB2312" w:hAnsi="仿宋_GB2312" w:eastAsia="仿宋_GB2312" w:cs="仿宋_GB2312"/>
          <w:b w:val="0"/>
          <w:bCs w:val="0"/>
          <w:color w:val="auto"/>
          <w:kern w:val="0"/>
          <w:sz w:val="32"/>
          <w:szCs w:val="32"/>
          <w:lang w:val="en-US" w:eastAsia="zh-CN" w:bidi="ar-SA"/>
        </w:rPr>
      </w:pPr>
      <w:r>
        <w:rPr>
          <w:rFonts w:hint="eastAsia" w:ascii="仿宋_GB2312" w:hAnsi="仿宋_GB2312" w:eastAsia="仿宋_GB2312" w:cs="仿宋_GB2312"/>
          <w:b w:val="0"/>
          <w:bCs w:val="0"/>
          <w:color w:val="auto"/>
          <w:kern w:val="0"/>
          <w:sz w:val="32"/>
          <w:szCs w:val="32"/>
          <w:lang w:val="en-US" w:eastAsia="zh-CN" w:bidi="ar-SA"/>
        </w:rPr>
        <w:t>4、乌兰牧骑补助经费项目自评综述：根据年初设定的绩效目标，项目自评得分92.18分。全年预算数为255万元，执行数为55.67万元，完成预算的21.83%。项目绩效目标完成情况： 2025 年，赤峰市艺术剧院（赤峰市乌兰牧骑）始终以习近平新时代中国特色社会主义思想为指导，深入学习贯彻党的二十届四中精神及习近平总书记关于文艺工作、内蒙古工作的重要论述，牢牢把握“举旗帜、聚民心、育新人、兴文化、展形象”的使命任务，坚守“红色文艺轻骑兵”初心使命，以北疆文化建设提升行动为引领，在政治建设、艺术创作、惠民服务、改革发展等方面精准发力。惠民演出辅导服务精准务实，服务群众直达基层。传承“哪里有群众，哪里就是舞台”的优良传统，构建“中心剧场—街区戏台—乡村舞台”三级演出网络，深入林区、草原、嘎查、哨所开展惠民演出165 场，惠及群众 50 余万人次。创新“乌兰牧骑+”综合服务模式在基层开展艺术辅导、政策宣讲、公益服务等活动，圆满完成年度各项工作任务。发现的主要问题及原因：乌兰牧骑补助经费-大型原创话剧《铁骑丹心》于2025年10月25、26日圆满完成演出，年末项目经费暂未支付。下一步改进措施：该项目经费结转至2026年继续完成支付事项。</w:t>
      </w:r>
    </w:p>
    <w:p>
      <w:pPr>
        <w:widowControl/>
        <w:numPr>
          <w:ilvl w:val="0"/>
          <w:numId w:val="0"/>
        </w:numPr>
        <w:spacing w:before="240" w:after="240"/>
        <w:ind w:firstLine="640" w:firstLineChars="200"/>
        <w:rPr>
          <w:rFonts w:hint="eastAsia" w:ascii="仿宋_GB2312" w:hAnsi="仿宋_GB2312" w:eastAsia="仿宋_GB2312" w:cs="仿宋_GB2312"/>
          <w:b w:val="0"/>
          <w:bCs w:val="0"/>
          <w:color w:val="auto"/>
          <w:kern w:val="0"/>
          <w:sz w:val="32"/>
          <w:szCs w:val="32"/>
          <w:lang w:val="en-US" w:eastAsia="zh-CN" w:bidi="ar-SA"/>
        </w:rPr>
      </w:pPr>
      <w:r>
        <w:rPr>
          <w:rFonts w:hint="eastAsia" w:ascii="仿宋_GB2312" w:hAnsi="仿宋_GB2312" w:eastAsia="仿宋_GB2312" w:cs="仿宋_GB2312"/>
          <w:b w:val="0"/>
          <w:bCs w:val="0"/>
          <w:color w:val="auto"/>
          <w:kern w:val="0"/>
          <w:sz w:val="32"/>
          <w:szCs w:val="32"/>
          <w:lang w:val="en-US" w:eastAsia="zh-CN" w:bidi="ar-SA"/>
        </w:rPr>
        <w:t>5、乌兰牧骑补助经费项目自评综述：根据年初设定的绩效目标，项目自评得分82.5分。全年预算数为267.64万元，年度调整减少资金201.43万元，执行数为66.21万元，完成预算的100%。项目绩效目标完成情况：2024年乌兰牧骑补助经费年末结转至2025年继续完成。大型原创音乐剧《美丽的家园》于2025年初开始筹备，原定于2025年9月首演，因赤峰市民族事务委员会指定我单位具体负责第十一届内蒙古少数民族传统体育运动会代表团开幕式入场驻停表演工作导致音乐剧延期,暂未成形，年末财政收回。下基层开展惠民公益演出、宣传、辅导、服务，圆满完成任务。发现的主要问题及原因：2024年乌兰牧骑补助经费年末结转至2025年，年末项目经费有剩余。下一步改进措施：该乌兰牧骑补助经费剩余经费年末缴回财政。</w:t>
      </w:r>
    </w:p>
    <w:p>
      <w:pPr>
        <w:pStyle w:val="7"/>
        <w:keepNext w:val="0"/>
        <w:keepLines w:val="0"/>
        <w:widowControl/>
        <w:spacing w:before="299" w:after="299" w:line="240" w:lineRule="auto"/>
        <w:jc w:val="both"/>
        <w:rPr>
          <w:rFonts w:ascii="fang_zheng_xiao_biao_song_ti" w:hAnsi="fang_zheng_xiao_biao_song_ti" w:eastAsia="fang_zheng_xiao_biao_song_ti" w:cs="fang_zheng_xiao_biao_song_ti"/>
          <w:kern w:val="0"/>
          <w:sz w:val="36"/>
          <w:szCs w:val="36"/>
        </w:rPr>
      </w:pPr>
    </w:p>
    <w:p>
      <w:pPr>
        <w:pStyle w:val="7"/>
        <w:keepNext w:val="0"/>
        <w:keepLines w:val="0"/>
        <w:widowControl/>
        <w:spacing w:before="299" w:after="299" w:line="240" w:lineRule="auto"/>
        <w:jc w:val="center"/>
        <w:rPr>
          <w:rFonts w:ascii="Times New Roman" w:hAnsi="Times New Roman" w:eastAsia="Times New Roman" w:cs="Times New Roman"/>
          <w:b/>
          <w:bCs/>
          <w:kern w:val="0"/>
          <w:sz w:val="36"/>
          <w:szCs w:val="36"/>
        </w:rPr>
      </w:pPr>
      <w:r>
        <w:rPr>
          <w:rFonts w:ascii="fang_zheng_xiao_biao_song_ti" w:hAnsi="fang_zheng_xiao_biao_song_ti" w:eastAsia="fang_zheng_xiao_biao_song_ti" w:cs="fang_zheng_xiao_biao_song_ti"/>
          <w:kern w:val="0"/>
          <w:sz w:val="36"/>
          <w:szCs w:val="36"/>
        </w:rPr>
        <w:t>第三部分 名词解释</w:t>
      </w:r>
    </w:p>
    <w:p>
      <w:pPr>
        <w:widowControl/>
        <w:spacing w:before="240" w:after="240"/>
        <w:jc w:val="left"/>
        <w:rPr>
          <w:rFonts w:ascii="Times New Roman" w:hAnsi="Times New Roman" w:eastAsia="Times New Roman" w:cs="Times New Roman"/>
          <w:kern w:val="0"/>
          <w:sz w:val="32"/>
          <w:szCs w:val="32"/>
        </w:rPr>
      </w:pPr>
      <w:r>
        <w:rPr>
          <w:rFonts w:ascii="Calibri" w:hAnsi="Calibri" w:eastAsia="Calibri" w:cs="Calibri"/>
          <w:b/>
          <w:bCs/>
          <w:kern w:val="0"/>
          <w:sz w:val="27"/>
          <w:szCs w:val="27"/>
        </w:rPr>
        <w:t> </w:t>
      </w:r>
      <w:r>
        <w:rPr>
          <w:rFonts w:ascii="仿宋_GB2312" w:hAnsi="仿宋_GB2312" w:eastAsia="仿宋_GB2312" w:cs="仿宋_GB2312"/>
          <w:b/>
          <w:bCs/>
          <w:kern w:val="0"/>
          <w:sz w:val="27"/>
          <w:szCs w:val="27"/>
        </w:rPr>
        <w:t xml:space="preserve"> </w:t>
      </w:r>
      <w:r>
        <w:rPr>
          <w:rFonts w:ascii="Calibri" w:hAnsi="Calibri" w:eastAsia="Calibri" w:cs="Calibri"/>
          <w:b/>
          <w:bCs/>
          <w:kern w:val="0"/>
          <w:sz w:val="27"/>
          <w:szCs w:val="27"/>
        </w:rPr>
        <w:t> </w:t>
      </w:r>
      <w:r>
        <w:rPr>
          <w:rFonts w:ascii="仿宋_GB2312" w:hAnsi="仿宋_GB2312" w:eastAsia="仿宋_GB2312" w:cs="仿宋_GB2312"/>
          <w:b/>
          <w:bCs/>
          <w:kern w:val="0"/>
          <w:sz w:val="32"/>
          <w:szCs w:val="32"/>
        </w:rPr>
        <w:t xml:space="preserve"> 一、财政拨款收入：</w:t>
      </w:r>
      <w:r>
        <w:rPr>
          <w:rFonts w:ascii="仿宋_GB2312" w:hAnsi="仿宋_GB2312" w:eastAsia="仿宋_GB2312" w:cs="仿宋_GB2312"/>
          <w:kern w:val="0"/>
          <w:sz w:val="32"/>
          <w:szCs w:val="32"/>
        </w:rPr>
        <w:t>从同级财政部门取得的各类财政拨款，包括一般公共预算财政拨款、政府性基金预算财政拨款、国有资本经营预算财政拨款。</w:t>
      </w:r>
    </w:p>
    <w:p>
      <w:pPr>
        <w:widowControl/>
        <w:spacing w:before="240" w:after="240"/>
        <w:jc w:val="left"/>
        <w:rPr>
          <w:rFonts w:ascii="Times New Roman" w:hAnsi="Times New Roman" w:eastAsia="Times New Roman" w:cs="Times New Roman"/>
          <w:kern w:val="0"/>
          <w:sz w:val="32"/>
          <w:szCs w:val="32"/>
        </w:rPr>
      </w:pPr>
      <w:r>
        <w:rPr>
          <w:rFonts w:ascii="Calibri" w:hAnsi="Calibri" w:eastAsia="Calibri" w:cs="Calibri"/>
          <w:b/>
          <w:bCs/>
          <w:kern w:val="0"/>
          <w:sz w:val="32"/>
          <w:szCs w:val="32"/>
        </w:rPr>
        <w:t> </w:t>
      </w:r>
      <w:r>
        <w:rPr>
          <w:rFonts w:ascii="仿宋_GB2312" w:hAnsi="仿宋_GB2312" w:eastAsia="仿宋_GB2312" w:cs="仿宋_GB2312"/>
          <w:b/>
          <w:bCs/>
          <w:kern w:val="0"/>
          <w:sz w:val="32"/>
          <w:szCs w:val="32"/>
        </w:rPr>
        <w:t xml:space="preserve"> </w:t>
      </w:r>
      <w:r>
        <w:rPr>
          <w:rFonts w:ascii="Calibri" w:hAnsi="Calibri" w:eastAsia="Calibri" w:cs="Calibri"/>
          <w:b/>
          <w:bCs/>
          <w:kern w:val="0"/>
          <w:sz w:val="32"/>
          <w:szCs w:val="32"/>
        </w:rPr>
        <w:t> </w:t>
      </w:r>
      <w:r>
        <w:rPr>
          <w:rFonts w:ascii="仿宋_GB2312" w:hAnsi="仿宋_GB2312" w:eastAsia="仿宋_GB2312" w:cs="仿宋_GB2312"/>
          <w:b/>
          <w:bCs/>
          <w:kern w:val="0"/>
          <w:sz w:val="32"/>
          <w:szCs w:val="32"/>
        </w:rPr>
        <w:t xml:space="preserve"> 二、上级补助收入：</w:t>
      </w:r>
      <w:r>
        <w:rPr>
          <w:rFonts w:ascii="仿宋_GB2312" w:hAnsi="仿宋_GB2312" w:eastAsia="仿宋_GB2312" w:cs="仿宋_GB2312"/>
          <w:kern w:val="0"/>
          <w:sz w:val="32"/>
          <w:szCs w:val="32"/>
        </w:rPr>
        <w:t>指事业单位从主管部门和上级单位取得的非财政补助收入。</w:t>
      </w:r>
    </w:p>
    <w:p>
      <w:pPr>
        <w:widowControl/>
        <w:spacing w:before="240" w:after="240"/>
        <w:jc w:val="left"/>
        <w:rPr>
          <w:rFonts w:ascii="Times New Roman" w:hAnsi="Times New Roman" w:eastAsia="Times New Roman" w:cs="Times New Roman"/>
          <w:kern w:val="0"/>
          <w:sz w:val="32"/>
          <w:szCs w:val="32"/>
        </w:rPr>
      </w:pPr>
      <w:r>
        <w:rPr>
          <w:rFonts w:ascii="Calibri" w:hAnsi="Calibri" w:eastAsia="Calibri" w:cs="Calibri"/>
          <w:b/>
          <w:bCs/>
          <w:kern w:val="0"/>
          <w:sz w:val="32"/>
          <w:szCs w:val="32"/>
        </w:rPr>
        <w:t> </w:t>
      </w:r>
      <w:r>
        <w:rPr>
          <w:rFonts w:ascii="仿宋_GB2312" w:hAnsi="仿宋_GB2312" w:eastAsia="仿宋_GB2312" w:cs="仿宋_GB2312"/>
          <w:b/>
          <w:bCs/>
          <w:kern w:val="0"/>
          <w:sz w:val="32"/>
          <w:szCs w:val="32"/>
        </w:rPr>
        <w:t xml:space="preserve"> </w:t>
      </w:r>
      <w:r>
        <w:rPr>
          <w:rFonts w:ascii="Calibri" w:hAnsi="Calibri" w:eastAsia="Calibri" w:cs="Calibri"/>
          <w:b/>
          <w:bCs/>
          <w:kern w:val="0"/>
          <w:sz w:val="32"/>
          <w:szCs w:val="32"/>
        </w:rPr>
        <w:t> </w:t>
      </w:r>
      <w:r>
        <w:rPr>
          <w:rFonts w:ascii="仿宋_GB2312" w:hAnsi="仿宋_GB2312" w:eastAsia="仿宋_GB2312" w:cs="仿宋_GB2312"/>
          <w:b/>
          <w:bCs/>
          <w:kern w:val="0"/>
          <w:sz w:val="32"/>
          <w:szCs w:val="32"/>
        </w:rPr>
        <w:t xml:space="preserve"> 三、财政专户管理教育收费：</w:t>
      </w:r>
      <w:r>
        <w:rPr>
          <w:rFonts w:ascii="仿宋_GB2312" w:hAnsi="仿宋_GB2312" w:eastAsia="仿宋_GB2312" w:cs="仿宋_GB2312"/>
          <w:kern w:val="0"/>
          <w:sz w:val="32"/>
          <w:szCs w:val="32"/>
        </w:rPr>
        <w:t>指缴入财政专户、实行专项管理的高中以上学费、住宿费、高校委托培养费、函大、电大、夜大及短训班培训费等教育收费。</w:t>
      </w:r>
    </w:p>
    <w:p>
      <w:pPr>
        <w:widowControl/>
        <w:spacing w:before="240" w:after="240"/>
        <w:jc w:val="left"/>
        <w:rPr>
          <w:rFonts w:ascii="Times New Roman" w:hAnsi="Times New Roman" w:eastAsia="Times New Roman" w:cs="Times New Roman"/>
          <w:kern w:val="0"/>
          <w:sz w:val="32"/>
          <w:szCs w:val="32"/>
        </w:rPr>
      </w:pPr>
      <w:r>
        <w:rPr>
          <w:rFonts w:ascii="Calibri" w:hAnsi="Calibri" w:eastAsia="Calibri" w:cs="Calibri"/>
          <w:b/>
          <w:bCs/>
          <w:kern w:val="0"/>
          <w:sz w:val="32"/>
          <w:szCs w:val="32"/>
        </w:rPr>
        <w:t> </w:t>
      </w:r>
      <w:r>
        <w:rPr>
          <w:rFonts w:ascii="仿宋_GB2312" w:hAnsi="仿宋_GB2312" w:eastAsia="仿宋_GB2312" w:cs="仿宋_GB2312"/>
          <w:b/>
          <w:bCs/>
          <w:kern w:val="0"/>
          <w:sz w:val="32"/>
          <w:szCs w:val="32"/>
        </w:rPr>
        <w:t xml:space="preserve"> </w:t>
      </w:r>
      <w:r>
        <w:rPr>
          <w:rFonts w:ascii="Calibri" w:hAnsi="Calibri" w:eastAsia="Calibri" w:cs="Calibri"/>
          <w:b/>
          <w:bCs/>
          <w:kern w:val="0"/>
          <w:sz w:val="32"/>
          <w:szCs w:val="32"/>
        </w:rPr>
        <w:t> </w:t>
      </w:r>
      <w:r>
        <w:rPr>
          <w:rFonts w:ascii="仿宋_GB2312" w:hAnsi="仿宋_GB2312" w:eastAsia="仿宋_GB2312" w:cs="仿宋_GB2312"/>
          <w:b/>
          <w:bCs/>
          <w:kern w:val="0"/>
          <w:sz w:val="32"/>
          <w:szCs w:val="32"/>
        </w:rPr>
        <w:t xml:space="preserve"> 四、事业收入：</w:t>
      </w:r>
      <w:r>
        <w:rPr>
          <w:rFonts w:ascii="仿宋_GB2312" w:hAnsi="仿宋_GB2312" w:eastAsia="仿宋_GB2312" w:cs="仿宋_GB2312"/>
          <w:kern w:val="0"/>
          <w:sz w:val="32"/>
          <w:szCs w:val="32"/>
        </w:rPr>
        <w:t>指事业单位开展专业业务活动及其辅助活动取得的收入。</w:t>
      </w:r>
    </w:p>
    <w:p>
      <w:pPr>
        <w:widowControl/>
        <w:spacing w:before="240" w:after="240"/>
        <w:jc w:val="left"/>
        <w:rPr>
          <w:rFonts w:ascii="Times New Roman" w:hAnsi="Times New Roman" w:eastAsia="Times New Roman" w:cs="Times New Roman"/>
          <w:kern w:val="0"/>
          <w:sz w:val="32"/>
          <w:szCs w:val="32"/>
        </w:rPr>
      </w:pPr>
      <w:r>
        <w:rPr>
          <w:rFonts w:ascii="Calibri" w:hAnsi="Calibri" w:eastAsia="Calibri" w:cs="Calibri"/>
          <w:b/>
          <w:bCs/>
          <w:kern w:val="0"/>
          <w:sz w:val="32"/>
          <w:szCs w:val="32"/>
        </w:rPr>
        <w:t> </w:t>
      </w:r>
      <w:r>
        <w:rPr>
          <w:rFonts w:ascii="仿宋_GB2312" w:hAnsi="仿宋_GB2312" w:eastAsia="仿宋_GB2312" w:cs="仿宋_GB2312"/>
          <w:b/>
          <w:bCs/>
          <w:kern w:val="0"/>
          <w:sz w:val="32"/>
          <w:szCs w:val="32"/>
        </w:rPr>
        <w:t xml:space="preserve"> </w:t>
      </w:r>
      <w:r>
        <w:rPr>
          <w:rFonts w:ascii="Calibri" w:hAnsi="Calibri" w:eastAsia="Calibri" w:cs="Calibri"/>
          <w:b/>
          <w:bCs/>
          <w:kern w:val="0"/>
          <w:sz w:val="32"/>
          <w:szCs w:val="32"/>
        </w:rPr>
        <w:t> </w:t>
      </w:r>
      <w:r>
        <w:rPr>
          <w:rFonts w:ascii="仿宋_GB2312" w:hAnsi="仿宋_GB2312" w:eastAsia="仿宋_GB2312" w:cs="仿宋_GB2312"/>
          <w:b/>
          <w:bCs/>
          <w:kern w:val="0"/>
          <w:sz w:val="32"/>
          <w:szCs w:val="32"/>
        </w:rPr>
        <w:t xml:space="preserve"> 五、经营收入：</w:t>
      </w:r>
      <w:r>
        <w:rPr>
          <w:rFonts w:ascii="仿宋_GB2312" w:hAnsi="仿宋_GB2312" w:eastAsia="仿宋_GB2312" w:cs="仿宋_GB2312"/>
          <w:kern w:val="0"/>
          <w:sz w:val="32"/>
          <w:szCs w:val="32"/>
        </w:rPr>
        <w:t>指事业单位在专业业务活动及其辅助活动之外开展非独立核算经营活动取得的收入。</w:t>
      </w:r>
    </w:p>
    <w:p>
      <w:pPr>
        <w:widowControl/>
        <w:spacing w:before="240" w:after="240"/>
        <w:jc w:val="left"/>
        <w:rPr>
          <w:rFonts w:ascii="Times New Roman" w:hAnsi="Times New Roman" w:eastAsia="Times New Roman" w:cs="Times New Roman"/>
          <w:kern w:val="0"/>
          <w:sz w:val="32"/>
          <w:szCs w:val="32"/>
        </w:rPr>
      </w:pPr>
      <w:r>
        <w:rPr>
          <w:rFonts w:ascii="Calibri" w:hAnsi="Calibri" w:eastAsia="Calibri" w:cs="Calibri"/>
          <w:b/>
          <w:bCs/>
          <w:kern w:val="0"/>
          <w:sz w:val="32"/>
          <w:szCs w:val="32"/>
        </w:rPr>
        <w:t> </w:t>
      </w:r>
      <w:r>
        <w:rPr>
          <w:rFonts w:ascii="仿宋_GB2312" w:hAnsi="仿宋_GB2312" w:eastAsia="仿宋_GB2312" w:cs="仿宋_GB2312"/>
          <w:b/>
          <w:bCs/>
          <w:kern w:val="0"/>
          <w:sz w:val="32"/>
          <w:szCs w:val="32"/>
        </w:rPr>
        <w:t xml:space="preserve"> </w:t>
      </w:r>
      <w:r>
        <w:rPr>
          <w:rFonts w:ascii="Calibri" w:hAnsi="Calibri" w:eastAsia="Calibri" w:cs="Calibri"/>
          <w:b/>
          <w:bCs/>
          <w:kern w:val="0"/>
          <w:sz w:val="32"/>
          <w:szCs w:val="32"/>
        </w:rPr>
        <w:t> </w:t>
      </w:r>
      <w:r>
        <w:rPr>
          <w:rFonts w:ascii="仿宋_GB2312" w:hAnsi="仿宋_GB2312" w:eastAsia="仿宋_GB2312" w:cs="仿宋_GB2312"/>
          <w:b/>
          <w:bCs/>
          <w:kern w:val="0"/>
          <w:sz w:val="32"/>
          <w:szCs w:val="32"/>
        </w:rPr>
        <w:t xml:space="preserve"> 六、附属单位上缴收入：</w:t>
      </w:r>
      <w:r>
        <w:rPr>
          <w:rFonts w:ascii="仿宋_GB2312" w:hAnsi="仿宋_GB2312" w:eastAsia="仿宋_GB2312" w:cs="仿宋_GB2312"/>
          <w:kern w:val="0"/>
          <w:sz w:val="32"/>
          <w:szCs w:val="32"/>
        </w:rPr>
        <w:t>指事业单位取得附属独立核算单位按照有关规定上缴的收入。</w:t>
      </w:r>
    </w:p>
    <w:p>
      <w:pPr>
        <w:widowControl/>
        <w:spacing w:before="240" w:after="240"/>
        <w:jc w:val="left"/>
        <w:rPr>
          <w:rFonts w:ascii="Times New Roman" w:hAnsi="Times New Roman" w:eastAsia="Times New Roman" w:cs="Times New Roman"/>
          <w:kern w:val="0"/>
          <w:sz w:val="32"/>
          <w:szCs w:val="32"/>
        </w:rPr>
      </w:pPr>
      <w:r>
        <w:rPr>
          <w:rFonts w:ascii="Calibri" w:hAnsi="Calibri" w:eastAsia="Calibri" w:cs="Calibri"/>
          <w:b/>
          <w:bCs/>
          <w:kern w:val="0"/>
          <w:sz w:val="32"/>
          <w:szCs w:val="32"/>
        </w:rPr>
        <w:t> </w:t>
      </w:r>
      <w:r>
        <w:rPr>
          <w:rFonts w:ascii="仿宋_GB2312" w:hAnsi="仿宋_GB2312" w:eastAsia="仿宋_GB2312" w:cs="仿宋_GB2312"/>
          <w:b/>
          <w:bCs/>
          <w:kern w:val="0"/>
          <w:sz w:val="32"/>
          <w:szCs w:val="32"/>
        </w:rPr>
        <w:t xml:space="preserve"> </w:t>
      </w:r>
      <w:r>
        <w:rPr>
          <w:rFonts w:ascii="Calibri" w:hAnsi="Calibri" w:eastAsia="Calibri" w:cs="Calibri"/>
          <w:b/>
          <w:bCs/>
          <w:kern w:val="0"/>
          <w:sz w:val="32"/>
          <w:szCs w:val="32"/>
        </w:rPr>
        <w:t> </w:t>
      </w:r>
      <w:r>
        <w:rPr>
          <w:rFonts w:ascii="仿宋_GB2312" w:hAnsi="仿宋_GB2312" w:eastAsia="仿宋_GB2312" w:cs="仿宋_GB2312"/>
          <w:b/>
          <w:bCs/>
          <w:kern w:val="0"/>
          <w:sz w:val="32"/>
          <w:szCs w:val="32"/>
        </w:rPr>
        <w:t xml:space="preserve"> 七、其他收入：</w:t>
      </w:r>
      <w:r>
        <w:rPr>
          <w:rFonts w:ascii="仿宋_GB2312" w:hAnsi="仿宋_GB2312" w:eastAsia="仿宋_GB2312" w:cs="仿宋_GB2312"/>
          <w:kern w:val="0"/>
          <w:sz w:val="32"/>
          <w:szCs w:val="32"/>
        </w:rPr>
        <w:t>取得的除上述财政拨款收入、上级补助收入、事业收入、经营收入、附属单位上缴收入等以外的各项收入。</w:t>
      </w:r>
    </w:p>
    <w:p>
      <w:pPr>
        <w:widowControl/>
        <w:spacing w:before="240" w:after="240"/>
        <w:jc w:val="left"/>
        <w:rPr>
          <w:rFonts w:ascii="Times New Roman" w:hAnsi="Times New Roman" w:eastAsia="Times New Roman" w:cs="Times New Roman"/>
          <w:kern w:val="0"/>
          <w:sz w:val="32"/>
          <w:szCs w:val="32"/>
        </w:rPr>
      </w:pPr>
      <w:r>
        <w:rPr>
          <w:rFonts w:ascii="Calibri" w:hAnsi="Calibri" w:eastAsia="Calibri" w:cs="Calibri"/>
          <w:b/>
          <w:bCs/>
          <w:kern w:val="0"/>
          <w:sz w:val="32"/>
          <w:szCs w:val="32"/>
        </w:rPr>
        <w:t> </w:t>
      </w:r>
      <w:r>
        <w:rPr>
          <w:rFonts w:ascii="仿宋_GB2312" w:hAnsi="仿宋_GB2312" w:eastAsia="仿宋_GB2312" w:cs="仿宋_GB2312"/>
          <w:b/>
          <w:bCs/>
          <w:kern w:val="0"/>
          <w:sz w:val="32"/>
          <w:szCs w:val="32"/>
        </w:rPr>
        <w:t xml:space="preserve"> </w:t>
      </w:r>
      <w:r>
        <w:rPr>
          <w:rFonts w:ascii="Calibri" w:hAnsi="Calibri" w:eastAsia="Calibri" w:cs="Calibri"/>
          <w:b/>
          <w:bCs/>
          <w:kern w:val="0"/>
          <w:sz w:val="32"/>
          <w:szCs w:val="32"/>
        </w:rPr>
        <w:t> </w:t>
      </w:r>
      <w:r>
        <w:rPr>
          <w:rFonts w:ascii="仿宋_GB2312" w:hAnsi="仿宋_GB2312" w:eastAsia="仿宋_GB2312" w:cs="仿宋_GB2312"/>
          <w:b/>
          <w:bCs/>
          <w:kern w:val="0"/>
          <w:sz w:val="32"/>
          <w:szCs w:val="32"/>
        </w:rPr>
        <w:t xml:space="preserve"> 八、使用非财政拨款结余（含专用结余）：</w:t>
      </w:r>
      <w:r>
        <w:rPr>
          <w:rFonts w:ascii="仿宋_GB2312" w:hAnsi="仿宋_GB2312" w:eastAsia="仿宋_GB2312" w:cs="仿宋_GB2312"/>
          <w:kern w:val="0"/>
          <w:sz w:val="32"/>
          <w:szCs w:val="32"/>
        </w:rPr>
        <w:t>指事业单位按照预算管理要求使用非财政拨款结余</w:t>
      </w:r>
      <w:r>
        <w:rPr>
          <w:rFonts w:ascii="仿宋_GB2312" w:hAnsi="仿宋_GB2312" w:eastAsia="仿宋_GB2312" w:cs="仿宋_GB2312"/>
          <w:color w:val="000000"/>
          <w:kern w:val="0"/>
          <w:sz w:val="32"/>
          <w:szCs w:val="32"/>
        </w:rPr>
        <w:t>弥补收支差额的金额，以及使用专用结余安排支出的金额。</w:t>
      </w:r>
    </w:p>
    <w:p>
      <w:pPr>
        <w:widowControl/>
        <w:spacing w:before="240" w:after="240"/>
        <w:jc w:val="left"/>
        <w:rPr>
          <w:rFonts w:ascii="Times New Roman" w:hAnsi="Times New Roman" w:eastAsia="Times New Roman" w:cs="Times New Roman"/>
          <w:kern w:val="0"/>
          <w:sz w:val="32"/>
          <w:szCs w:val="32"/>
        </w:rPr>
      </w:pPr>
      <w:r>
        <w:rPr>
          <w:rFonts w:ascii="Calibri" w:hAnsi="Calibri" w:eastAsia="Calibri" w:cs="Calibri"/>
          <w:b/>
          <w:bCs/>
          <w:kern w:val="0"/>
          <w:sz w:val="32"/>
          <w:szCs w:val="32"/>
        </w:rPr>
        <w:t> </w:t>
      </w:r>
      <w:r>
        <w:rPr>
          <w:rFonts w:ascii="仿宋_GB2312" w:hAnsi="仿宋_GB2312" w:eastAsia="仿宋_GB2312" w:cs="仿宋_GB2312"/>
          <w:b/>
          <w:bCs/>
          <w:kern w:val="0"/>
          <w:sz w:val="32"/>
          <w:szCs w:val="32"/>
        </w:rPr>
        <w:t xml:space="preserve"> </w:t>
      </w:r>
      <w:r>
        <w:rPr>
          <w:rFonts w:ascii="Calibri" w:hAnsi="Calibri" w:eastAsia="Calibri" w:cs="Calibri"/>
          <w:b/>
          <w:bCs/>
          <w:kern w:val="0"/>
          <w:sz w:val="32"/>
          <w:szCs w:val="32"/>
        </w:rPr>
        <w:t> </w:t>
      </w:r>
      <w:r>
        <w:rPr>
          <w:rFonts w:ascii="仿宋_GB2312" w:hAnsi="仿宋_GB2312" w:eastAsia="仿宋_GB2312" w:cs="仿宋_GB2312"/>
          <w:b/>
          <w:bCs/>
          <w:kern w:val="0"/>
          <w:sz w:val="32"/>
          <w:szCs w:val="32"/>
        </w:rPr>
        <w:t xml:space="preserve"> 九、年初结转和结余：</w:t>
      </w:r>
      <w:r>
        <w:rPr>
          <w:rFonts w:ascii="仿宋_GB2312" w:hAnsi="仿宋_GB2312" w:eastAsia="仿宋_GB2312" w:cs="仿宋_GB2312"/>
          <w:kern w:val="0"/>
          <w:sz w:val="32"/>
          <w:szCs w:val="32"/>
        </w:rPr>
        <w:t>指单位上年结转本年使用的基本支出结转、项目支出结转和结余、经营结余。</w:t>
      </w:r>
    </w:p>
    <w:p>
      <w:pPr>
        <w:widowControl/>
        <w:spacing w:before="240" w:after="240"/>
        <w:jc w:val="left"/>
        <w:rPr>
          <w:rFonts w:ascii="Times New Roman" w:hAnsi="Times New Roman" w:eastAsia="Times New Roman" w:cs="Times New Roman"/>
          <w:kern w:val="0"/>
          <w:sz w:val="32"/>
          <w:szCs w:val="32"/>
        </w:rPr>
      </w:pPr>
      <w:r>
        <w:rPr>
          <w:rFonts w:ascii="Calibri" w:hAnsi="Calibri" w:eastAsia="Calibri" w:cs="Calibri"/>
          <w:b/>
          <w:bCs/>
          <w:kern w:val="0"/>
          <w:sz w:val="32"/>
          <w:szCs w:val="32"/>
        </w:rPr>
        <w:t> </w:t>
      </w:r>
      <w:r>
        <w:rPr>
          <w:rFonts w:ascii="仿宋_GB2312" w:hAnsi="仿宋_GB2312" w:eastAsia="仿宋_GB2312" w:cs="仿宋_GB2312"/>
          <w:b/>
          <w:bCs/>
          <w:kern w:val="0"/>
          <w:sz w:val="32"/>
          <w:szCs w:val="32"/>
        </w:rPr>
        <w:t xml:space="preserve"> </w:t>
      </w:r>
      <w:r>
        <w:rPr>
          <w:rFonts w:ascii="Calibri" w:hAnsi="Calibri" w:eastAsia="Calibri" w:cs="Calibri"/>
          <w:b/>
          <w:bCs/>
          <w:kern w:val="0"/>
          <w:sz w:val="32"/>
          <w:szCs w:val="32"/>
        </w:rPr>
        <w:t> </w:t>
      </w:r>
      <w:r>
        <w:rPr>
          <w:rFonts w:ascii="仿宋_GB2312" w:hAnsi="仿宋_GB2312" w:eastAsia="仿宋_GB2312" w:cs="仿宋_GB2312"/>
          <w:b/>
          <w:bCs/>
          <w:kern w:val="0"/>
          <w:sz w:val="32"/>
          <w:szCs w:val="32"/>
        </w:rPr>
        <w:t xml:space="preserve"> 十、结余分配：</w:t>
      </w:r>
      <w:r>
        <w:rPr>
          <w:rFonts w:ascii="仿宋_GB2312" w:hAnsi="仿宋_GB2312" w:eastAsia="仿宋_GB2312" w:cs="仿宋_GB2312"/>
          <w:kern w:val="0"/>
          <w:sz w:val="32"/>
          <w:szCs w:val="32"/>
        </w:rPr>
        <w:t>指单位按规定缴纳企业所得税以及从非财政拨款结余或经营结余中提取各类结余的情况。</w:t>
      </w:r>
    </w:p>
    <w:p>
      <w:pPr>
        <w:widowControl/>
        <w:spacing w:before="240" w:after="240"/>
        <w:jc w:val="left"/>
        <w:rPr>
          <w:rFonts w:ascii="Times New Roman" w:hAnsi="Times New Roman" w:eastAsia="Times New Roman" w:cs="Times New Roman"/>
          <w:kern w:val="0"/>
          <w:sz w:val="32"/>
          <w:szCs w:val="32"/>
        </w:rPr>
      </w:pPr>
      <w:r>
        <w:rPr>
          <w:rFonts w:ascii="Calibri" w:hAnsi="Calibri" w:eastAsia="Calibri" w:cs="Calibri"/>
          <w:b/>
          <w:bCs/>
          <w:kern w:val="0"/>
          <w:sz w:val="32"/>
          <w:szCs w:val="32"/>
        </w:rPr>
        <w:t> </w:t>
      </w:r>
      <w:r>
        <w:rPr>
          <w:rFonts w:ascii="仿宋_GB2312" w:hAnsi="仿宋_GB2312" w:eastAsia="仿宋_GB2312" w:cs="仿宋_GB2312"/>
          <w:b/>
          <w:bCs/>
          <w:kern w:val="0"/>
          <w:sz w:val="32"/>
          <w:szCs w:val="32"/>
        </w:rPr>
        <w:t xml:space="preserve"> </w:t>
      </w:r>
      <w:r>
        <w:rPr>
          <w:rFonts w:ascii="Calibri" w:hAnsi="Calibri" w:eastAsia="Calibri" w:cs="Calibri"/>
          <w:b/>
          <w:bCs/>
          <w:kern w:val="0"/>
          <w:sz w:val="32"/>
          <w:szCs w:val="32"/>
        </w:rPr>
        <w:t> </w:t>
      </w:r>
      <w:r>
        <w:rPr>
          <w:rFonts w:ascii="仿宋_GB2312" w:hAnsi="仿宋_GB2312" w:eastAsia="仿宋_GB2312" w:cs="仿宋_GB2312"/>
          <w:b/>
          <w:bCs/>
          <w:kern w:val="0"/>
          <w:sz w:val="32"/>
          <w:szCs w:val="32"/>
        </w:rPr>
        <w:t xml:space="preserve"> 十一、年末结转和结余资金：</w:t>
      </w:r>
      <w:r>
        <w:rPr>
          <w:rFonts w:ascii="仿宋_GB2312" w:hAnsi="仿宋_GB2312" w:eastAsia="仿宋_GB2312" w:cs="仿宋_GB2312"/>
          <w:kern w:val="0"/>
          <w:sz w:val="32"/>
          <w:szCs w:val="32"/>
        </w:rPr>
        <w:t>指单位结转下年的基本支出结转、项目支出结转和结余、经营结余。</w:t>
      </w:r>
    </w:p>
    <w:p>
      <w:pPr>
        <w:widowControl/>
        <w:spacing w:before="240" w:after="240"/>
        <w:jc w:val="left"/>
        <w:rPr>
          <w:rFonts w:ascii="Times New Roman" w:hAnsi="Times New Roman" w:eastAsia="Times New Roman" w:cs="Times New Roman"/>
          <w:kern w:val="0"/>
          <w:sz w:val="32"/>
          <w:szCs w:val="32"/>
        </w:rPr>
      </w:pPr>
      <w:r>
        <w:rPr>
          <w:rFonts w:ascii="Calibri" w:hAnsi="Calibri" w:eastAsia="Calibri" w:cs="Calibri"/>
          <w:b/>
          <w:bCs/>
          <w:kern w:val="0"/>
          <w:sz w:val="32"/>
          <w:szCs w:val="32"/>
        </w:rPr>
        <w:t> </w:t>
      </w:r>
      <w:r>
        <w:rPr>
          <w:rFonts w:ascii="仿宋_GB2312" w:hAnsi="仿宋_GB2312" w:eastAsia="仿宋_GB2312" w:cs="仿宋_GB2312"/>
          <w:b/>
          <w:bCs/>
          <w:kern w:val="0"/>
          <w:sz w:val="32"/>
          <w:szCs w:val="32"/>
        </w:rPr>
        <w:t xml:space="preserve"> </w:t>
      </w:r>
      <w:r>
        <w:rPr>
          <w:rFonts w:ascii="Calibri" w:hAnsi="Calibri" w:eastAsia="Calibri" w:cs="Calibri"/>
          <w:b/>
          <w:bCs/>
          <w:kern w:val="0"/>
          <w:sz w:val="32"/>
          <w:szCs w:val="32"/>
        </w:rPr>
        <w:t> </w:t>
      </w:r>
      <w:r>
        <w:rPr>
          <w:rFonts w:ascii="仿宋_GB2312" w:hAnsi="仿宋_GB2312" w:eastAsia="仿宋_GB2312" w:cs="仿宋_GB2312"/>
          <w:b/>
          <w:bCs/>
          <w:kern w:val="0"/>
          <w:sz w:val="32"/>
          <w:szCs w:val="32"/>
        </w:rPr>
        <w:t xml:space="preserve"> 十二、基本支出：</w:t>
      </w:r>
      <w:r>
        <w:rPr>
          <w:rFonts w:ascii="仿宋_GB2312" w:hAnsi="仿宋_GB2312" w:eastAsia="仿宋_GB2312" w:cs="仿宋_GB2312"/>
          <w:kern w:val="0"/>
          <w:sz w:val="32"/>
          <w:szCs w:val="32"/>
        </w:rPr>
        <w:t>指为保障机构正常运转、完成日常工作任务所发生的支出，包括人员经费和公用经费。</w:t>
      </w:r>
    </w:p>
    <w:p>
      <w:pPr>
        <w:widowControl/>
        <w:spacing w:before="240" w:after="240"/>
        <w:jc w:val="left"/>
        <w:rPr>
          <w:rFonts w:ascii="Times New Roman" w:hAnsi="Times New Roman" w:eastAsia="Times New Roman" w:cs="Times New Roman"/>
          <w:kern w:val="0"/>
          <w:sz w:val="32"/>
          <w:szCs w:val="32"/>
        </w:rPr>
      </w:pPr>
      <w:r>
        <w:rPr>
          <w:rFonts w:ascii="Calibri" w:hAnsi="Calibri" w:eastAsia="Calibri" w:cs="Calibri"/>
          <w:b/>
          <w:bCs/>
          <w:kern w:val="0"/>
          <w:sz w:val="32"/>
          <w:szCs w:val="32"/>
        </w:rPr>
        <w:t> </w:t>
      </w:r>
      <w:r>
        <w:rPr>
          <w:rFonts w:ascii="仿宋_GB2312" w:hAnsi="仿宋_GB2312" w:eastAsia="仿宋_GB2312" w:cs="仿宋_GB2312"/>
          <w:b/>
          <w:bCs/>
          <w:kern w:val="0"/>
          <w:sz w:val="32"/>
          <w:szCs w:val="32"/>
        </w:rPr>
        <w:t xml:space="preserve"> </w:t>
      </w:r>
      <w:r>
        <w:rPr>
          <w:rFonts w:ascii="Calibri" w:hAnsi="Calibri" w:eastAsia="Calibri" w:cs="Calibri"/>
          <w:b/>
          <w:bCs/>
          <w:kern w:val="0"/>
          <w:sz w:val="32"/>
          <w:szCs w:val="32"/>
        </w:rPr>
        <w:t> </w:t>
      </w:r>
      <w:r>
        <w:rPr>
          <w:rFonts w:ascii="仿宋_GB2312" w:hAnsi="仿宋_GB2312" w:eastAsia="仿宋_GB2312" w:cs="仿宋_GB2312"/>
          <w:b/>
          <w:bCs/>
          <w:kern w:val="0"/>
          <w:sz w:val="32"/>
          <w:szCs w:val="32"/>
        </w:rPr>
        <w:t xml:space="preserve"> 十三、项目支出：</w:t>
      </w:r>
      <w:r>
        <w:rPr>
          <w:rFonts w:ascii="仿宋_GB2312" w:hAnsi="仿宋_GB2312" w:eastAsia="仿宋_GB2312" w:cs="仿宋_GB2312"/>
          <w:kern w:val="0"/>
          <w:sz w:val="32"/>
          <w:szCs w:val="32"/>
        </w:rPr>
        <w:t>指在为完成特定的行政工作任务或事业发展目标所发生的支出。</w:t>
      </w:r>
    </w:p>
    <w:p>
      <w:pPr>
        <w:widowControl/>
        <w:spacing w:before="240" w:after="240"/>
        <w:jc w:val="left"/>
        <w:rPr>
          <w:rFonts w:ascii="Times New Roman" w:hAnsi="Times New Roman" w:eastAsia="Times New Roman" w:cs="Times New Roman"/>
          <w:kern w:val="0"/>
          <w:sz w:val="32"/>
          <w:szCs w:val="32"/>
        </w:rPr>
      </w:pPr>
      <w:r>
        <w:rPr>
          <w:rFonts w:ascii="Calibri" w:hAnsi="Calibri" w:eastAsia="Calibri" w:cs="Calibri"/>
          <w:b/>
          <w:bCs/>
          <w:kern w:val="0"/>
          <w:sz w:val="32"/>
          <w:szCs w:val="32"/>
        </w:rPr>
        <w:t> </w:t>
      </w:r>
      <w:r>
        <w:rPr>
          <w:rFonts w:ascii="仿宋_GB2312" w:hAnsi="仿宋_GB2312" w:eastAsia="仿宋_GB2312" w:cs="仿宋_GB2312"/>
          <w:b/>
          <w:bCs/>
          <w:kern w:val="0"/>
          <w:sz w:val="32"/>
          <w:szCs w:val="32"/>
        </w:rPr>
        <w:t xml:space="preserve"> </w:t>
      </w:r>
      <w:r>
        <w:rPr>
          <w:rFonts w:ascii="Calibri" w:hAnsi="Calibri" w:eastAsia="Calibri" w:cs="Calibri"/>
          <w:b/>
          <w:bCs/>
          <w:kern w:val="0"/>
          <w:sz w:val="32"/>
          <w:szCs w:val="32"/>
        </w:rPr>
        <w:t> </w:t>
      </w:r>
      <w:r>
        <w:rPr>
          <w:rFonts w:ascii="仿宋_GB2312" w:hAnsi="仿宋_GB2312" w:eastAsia="仿宋_GB2312" w:cs="仿宋_GB2312"/>
          <w:b/>
          <w:bCs/>
          <w:kern w:val="0"/>
          <w:sz w:val="32"/>
          <w:szCs w:val="32"/>
        </w:rPr>
        <w:t xml:space="preserve"> 十四、上缴上级支出：</w:t>
      </w:r>
      <w:r>
        <w:rPr>
          <w:rFonts w:ascii="仿宋_GB2312" w:hAnsi="仿宋_GB2312" w:eastAsia="仿宋_GB2312" w:cs="仿宋_GB2312"/>
          <w:kern w:val="0"/>
          <w:sz w:val="32"/>
          <w:szCs w:val="32"/>
        </w:rPr>
        <w:t>指事业单位按照财政部门和主管部门的规定上缴上级单位的支出。</w:t>
      </w:r>
    </w:p>
    <w:p>
      <w:pPr>
        <w:widowControl/>
        <w:spacing w:before="240" w:after="240"/>
        <w:jc w:val="left"/>
        <w:rPr>
          <w:rFonts w:ascii="Times New Roman" w:hAnsi="Times New Roman" w:eastAsia="Times New Roman" w:cs="Times New Roman"/>
          <w:kern w:val="0"/>
          <w:sz w:val="32"/>
          <w:szCs w:val="32"/>
        </w:rPr>
      </w:pPr>
      <w:r>
        <w:rPr>
          <w:rFonts w:ascii="Calibri" w:hAnsi="Calibri" w:eastAsia="Calibri" w:cs="Calibri"/>
          <w:b/>
          <w:bCs/>
          <w:kern w:val="0"/>
          <w:sz w:val="32"/>
          <w:szCs w:val="32"/>
        </w:rPr>
        <w:t> </w:t>
      </w:r>
      <w:r>
        <w:rPr>
          <w:rFonts w:ascii="仿宋_GB2312" w:hAnsi="仿宋_GB2312" w:eastAsia="仿宋_GB2312" w:cs="仿宋_GB2312"/>
          <w:b/>
          <w:bCs/>
          <w:kern w:val="0"/>
          <w:sz w:val="32"/>
          <w:szCs w:val="32"/>
        </w:rPr>
        <w:t xml:space="preserve"> </w:t>
      </w:r>
      <w:r>
        <w:rPr>
          <w:rFonts w:ascii="Calibri" w:hAnsi="Calibri" w:eastAsia="Calibri" w:cs="Calibri"/>
          <w:b/>
          <w:bCs/>
          <w:kern w:val="0"/>
          <w:sz w:val="32"/>
          <w:szCs w:val="32"/>
        </w:rPr>
        <w:t> </w:t>
      </w:r>
      <w:r>
        <w:rPr>
          <w:rFonts w:ascii="仿宋_GB2312" w:hAnsi="仿宋_GB2312" w:eastAsia="仿宋_GB2312" w:cs="仿宋_GB2312"/>
          <w:b/>
          <w:bCs/>
          <w:kern w:val="0"/>
          <w:sz w:val="32"/>
          <w:szCs w:val="32"/>
        </w:rPr>
        <w:t xml:space="preserve"> 十五、经营支出：</w:t>
      </w:r>
      <w:r>
        <w:rPr>
          <w:rFonts w:ascii="仿宋_GB2312" w:hAnsi="仿宋_GB2312" w:eastAsia="仿宋_GB2312" w:cs="仿宋_GB2312"/>
          <w:kern w:val="0"/>
          <w:sz w:val="32"/>
          <w:szCs w:val="32"/>
        </w:rPr>
        <w:t>指事业单位在专业业务活动及其辅助活动之外开展非独立核算经营活动发生的支出。</w:t>
      </w:r>
    </w:p>
    <w:p>
      <w:pPr>
        <w:widowControl/>
        <w:spacing w:before="240" w:after="240"/>
        <w:jc w:val="left"/>
        <w:rPr>
          <w:rFonts w:ascii="Times New Roman" w:hAnsi="Times New Roman" w:eastAsia="Times New Roman" w:cs="Times New Roman"/>
          <w:kern w:val="0"/>
          <w:sz w:val="32"/>
          <w:szCs w:val="32"/>
        </w:rPr>
      </w:pPr>
      <w:r>
        <w:rPr>
          <w:rFonts w:ascii="Calibri" w:hAnsi="Calibri" w:eastAsia="Calibri" w:cs="Calibri"/>
          <w:b/>
          <w:bCs/>
          <w:kern w:val="0"/>
          <w:sz w:val="32"/>
          <w:szCs w:val="32"/>
        </w:rPr>
        <w:t> </w:t>
      </w:r>
      <w:r>
        <w:rPr>
          <w:rFonts w:ascii="仿宋_GB2312" w:hAnsi="仿宋_GB2312" w:eastAsia="仿宋_GB2312" w:cs="仿宋_GB2312"/>
          <w:b/>
          <w:bCs/>
          <w:kern w:val="0"/>
          <w:sz w:val="32"/>
          <w:szCs w:val="32"/>
        </w:rPr>
        <w:t xml:space="preserve"> </w:t>
      </w:r>
      <w:r>
        <w:rPr>
          <w:rFonts w:ascii="Calibri" w:hAnsi="Calibri" w:eastAsia="Calibri" w:cs="Calibri"/>
          <w:b/>
          <w:bCs/>
          <w:kern w:val="0"/>
          <w:sz w:val="32"/>
          <w:szCs w:val="32"/>
        </w:rPr>
        <w:t> </w:t>
      </w:r>
      <w:r>
        <w:rPr>
          <w:rFonts w:ascii="仿宋_GB2312" w:hAnsi="仿宋_GB2312" w:eastAsia="仿宋_GB2312" w:cs="仿宋_GB2312"/>
          <w:b/>
          <w:bCs/>
          <w:kern w:val="0"/>
          <w:sz w:val="32"/>
          <w:szCs w:val="32"/>
        </w:rPr>
        <w:t xml:space="preserve"> 十六、对附属单位补助支出：</w:t>
      </w:r>
      <w:r>
        <w:rPr>
          <w:rFonts w:ascii="仿宋_GB2312" w:hAnsi="仿宋_GB2312" w:eastAsia="仿宋_GB2312" w:cs="仿宋_GB2312"/>
          <w:kern w:val="0"/>
          <w:sz w:val="32"/>
          <w:szCs w:val="32"/>
        </w:rPr>
        <w:t>指事业单位用财政拨款收入之外的收入对附属单位补助发生的支出。</w:t>
      </w:r>
    </w:p>
    <w:p>
      <w:pPr>
        <w:widowControl/>
        <w:spacing w:before="240" w:after="240"/>
        <w:jc w:val="left"/>
        <w:rPr>
          <w:rFonts w:ascii="Times New Roman" w:hAnsi="Times New Roman" w:eastAsia="Times New Roman" w:cs="Times New Roman"/>
          <w:kern w:val="0"/>
          <w:sz w:val="32"/>
          <w:szCs w:val="32"/>
        </w:rPr>
      </w:pPr>
      <w:r>
        <w:rPr>
          <w:rFonts w:ascii="Calibri" w:hAnsi="Calibri" w:eastAsia="Calibri" w:cs="Calibri"/>
          <w:b/>
          <w:bCs/>
          <w:kern w:val="0"/>
          <w:sz w:val="32"/>
          <w:szCs w:val="32"/>
        </w:rPr>
        <w:t> </w:t>
      </w:r>
      <w:r>
        <w:rPr>
          <w:rFonts w:ascii="仿宋_GB2312" w:hAnsi="仿宋_GB2312" w:eastAsia="仿宋_GB2312" w:cs="仿宋_GB2312"/>
          <w:b/>
          <w:bCs/>
          <w:kern w:val="0"/>
          <w:sz w:val="32"/>
          <w:szCs w:val="32"/>
        </w:rPr>
        <w:t xml:space="preserve"> </w:t>
      </w:r>
      <w:r>
        <w:rPr>
          <w:rFonts w:ascii="Calibri" w:hAnsi="Calibri" w:eastAsia="Calibri" w:cs="Calibri"/>
          <w:b/>
          <w:bCs/>
          <w:kern w:val="0"/>
          <w:sz w:val="32"/>
          <w:szCs w:val="32"/>
        </w:rPr>
        <w:t> </w:t>
      </w:r>
      <w:r>
        <w:rPr>
          <w:rFonts w:ascii="仿宋_GB2312" w:hAnsi="仿宋_GB2312" w:eastAsia="仿宋_GB2312" w:cs="仿宋_GB2312"/>
          <w:b/>
          <w:bCs/>
          <w:kern w:val="0"/>
          <w:sz w:val="32"/>
          <w:szCs w:val="32"/>
        </w:rPr>
        <w:t xml:space="preserve"> 十七、“三公”经费：</w:t>
      </w:r>
      <w:r>
        <w:rPr>
          <w:rFonts w:ascii="仿宋_GB2312" w:hAnsi="仿宋_GB2312" w:eastAsia="仿宋_GB2312" w:cs="仿宋_GB2312"/>
          <w:kern w:val="0"/>
          <w:sz w:val="32"/>
          <w:szCs w:val="32"/>
        </w:rPr>
        <w:t>指部门（单位）用财政拨款安排的因公出国（境）费、公务用车购置及运行维护费和公务接待费。其中，因公出国（境）费反映部门（单位）)公务出国（境）的国际旅费、国外城市间交通费、住宿费、伙食费、培训费、公杂费等支出；公务用车购置及运行维护费反映部门（单位）公务用车购置支出（含车辆购置税、牌照费）以及按规定保留的公务用车燃料费、维修费、过路过桥费、保险费、安全奖励费用等支出；公务接待费反映部门（单位）按规定开支的各类公务接待（含外宾接待）费用。</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32"/>
          <w:szCs w:val="32"/>
        </w:rPr>
        <w:t> </w:t>
      </w:r>
      <w:r>
        <w:rPr>
          <w:rFonts w:ascii="仿宋_GB2312" w:hAnsi="仿宋_GB2312" w:eastAsia="仿宋_GB2312" w:cs="仿宋_GB2312"/>
          <w:b/>
          <w:bCs/>
          <w:kern w:val="0"/>
          <w:sz w:val="32"/>
          <w:szCs w:val="32"/>
        </w:rPr>
        <w:t xml:space="preserve"> </w:t>
      </w:r>
      <w:r>
        <w:rPr>
          <w:rFonts w:ascii="Calibri" w:hAnsi="Calibri" w:eastAsia="Calibri" w:cs="Calibri"/>
          <w:b/>
          <w:bCs/>
          <w:kern w:val="0"/>
          <w:sz w:val="32"/>
          <w:szCs w:val="32"/>
        </w:rPr>
        <w:t> </w:t>
      </w:r>
      <w:r>
        <w:rPr>
          <w:rFonts w:ascii="仿宋_GB2312" w:hAnsi="仿宋_GB2312" w:eastAsia="仿宋_GB2312" w:cs="仿宋_GB2312"/>
          <w:b/>
          <w:bCs/>
          <w:kern w:val="0"/>
          <w:sz w:val="32"/>
          <w:szCs w:val="32"/>
        </w:rPr>
        <w:t xml:space="preserve"> 十八、机关运行经费：</w:t>
      </w:r>
      <w:r>
        <w:rPr>
          <w:rFonts w:ascii="仿宋_GB2312" w:hAnsi="仿宋_GB2312" w:eastAsia="仿宋_GB2312" w:cs="仿宋_GB2312"/>
          <w:color w:val="000000"/>
          <w:kern w:val="0"/>
          <w:sz w:val="32"/>
          <w:szCs w:val="32"/>
        </w:rPr>
        <w:t>指行政单位和参照公务员法管理的事业单位财政拨款</w:t>
      </w:r>
      <w:r>
        <w:rPr>
          <w:rFonts w:ascii="仿宋_GB2312" w:hAnsi="仿宋_GB2312" w:eastAsia="仿宋_GB2312" w:cs="仿宋_GB2312"/>
          <w:kern w:val="0"/>
          <w:sz w:val="32"/>
          <w:szCs w:val="32"/>
        </w:rPr>
        <w:t>基本支出中的公用经费支出，包括办公及印刷费、邮电费、差旅费、会议费、福利费、日常维修费、专用材料及一般设备购置费、办公用房水电费、办公用房取暖费、办公用房物业管理费、公务用车运行维护费及其他费用等。</w:t>
      </w:r>
    </w:p>
    <w:p>
      <w:pPr>
        <w:pStyle w:val="7"/>
        <w:keepNext w:val="0"/>
        <w:keepLines w:val="0"/>
        <w:widowControl/>
        <w:spacing w:before="299" w:after="299" w:line="240" w:lineRule="auto"/>
        <w:jc w:val="center"/>
        <w:rPr>
          <w:rFonts w:ascii="Times New Roman" w:hAnsi="Times New Roman" w:eastAsia="Times New Roman" w:cs="Times New Roman"/>
          <w:kern w:val="0"/>
          <w:sz w:val="24"/>
        </w:rPr>
      </w:pPr>
      <w:r>
        <w:rPr>
          <w:rFonts w:ascii="fang_zheng_xiao_biao_song_ti" w:hAnsi="fang_zheng_xiao_biao_song_ti" w:eastAsia="fang_zheng_xiao_biao_song_ti" w:cs="fang_zheng_xiao_biao_song_ti"/>
          <w:kern w:val="0"/>
          <w:sz w:val="36"/>
          <w:szCs w:val="36"/>
        </w:rPr>
        <w:t>第四部分 决算公开联系方式及信息反馈渠道</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kern w:val="0"/>
          <w:sz w:val="27"/>
          <w:szCs w:val="27"/>
        </w:rPr>
        <w:t> </w:t>
      </w:r>
      <w:r>
        <w:rPr>
          <w:rFonts w:ascii="仿宋_GB2312" w:hAnsi="仿宋_GB2312" w:eastAsia="仿宋_GB2312" w:cs="仿宋_GB2312"/>
          <w:kern w:val="0"/>
          <w:sz w:val="27"/>
          <w:szCs w:val="27"/>
        </w:rPr>
        <w:t xml:space="preserve"> </w:t>
      </w:r>
      <w:r>
        <w:rPr>
          <w:rFonts w:ascii="Calibri" w:hAnsi="Calibri" w:eastAsia="Calibri" w:cs="Calibri"/>
          <w:kern w:val="0"/>
          <w:sz w:val="27"/>
          <w:szCs w:val="27"/>
        </w:rPr>
        <w:t> </w:t>
      </w:r>
      <w:r>
        <w:rPr>
          <w:rFonts w:ascii="仿宋_GB2312" w:hAnsi="仿宋_GB2312" w:eastAsia="仿宋_GB2312" w:cs="仿宋_GB2312"/>
          <w:kern w:val="0"/>
          <w:sz w:val="27"/>
          <w:szCs w:val="27"/>
        </w:rPr>
        <w:t xml:space="preserve"> 本单位决算公开信息反馈和联系方式：</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kern w:val="0"/>
          <w:sz w:val="27"/>
          <w:szCs w:val="27"/>
        </w:rPr>
        <w:t> </w:t>
      </w:r>
      <w:r>
        <w:rPr>
          <w:rFonts w:ascii="仿宋_GB2312" w:hAnsi="仿宋_GB2312" w:eastAsia="仿宋_GB2312" w:cs="仿宋_GB2312"/>
          <w:kern w:val="0"/>
          <w:sz w:val="27"/>
          <w:szCs w:val="27"/>
        </w:rPr>
        <w:t xml:space="preserve"> </w:t>
      </w:r>
      <w:r>
        <w:rPr>
          <w:rFonts w:ascii="Calibri" w:hAnsi="Calibri" w:eastAsia="Calibri" w:cs="Calibri"/>
          <w:kern w:val="0"/>
          <w:sz w:val="27"/>
          <w:szCs w:val="27"/>
        </w:rPr>
        <w:t> </w:t>
      </w:r>
      <w:r>
        <w:rPr>
          <w:rFonts w:ascii="仿宋_GB2312" w:hAnsi="仿宋_GB2312" w:eastAsia="仿宋_GB2312" w:cs="仿宋_GB2312"/>
          <w:kern w:val="0"/>
          <w:sz w:val="27"/>
          <w:szCs w:val="27"/>
        </w:rPr>
        <w:t xml:space="preserve"> 联系人：</w:t>
      </w:r>
      <w:r>
        <w:rPr>
          <w:rFonts w:ascii="仿宋_GB2312" w:hAnsi="仿宋_GB2312" w:eastAsia="仿宋_GB2312" w:cs="仿宋_GB2312"/>
          <w:kern w:val="0"/>
          <w:sz w:val="27"/>
          <w:szCs w:val="27"/>
          <w:u w:val="single"/>
        </w:rPr>
        <w:t>曹显杰</w:t>
      </w:r>
      <w:r>
        <w:rPr>
          <w:rFonts w:ascii="Calibri" w:hAnsi="Calibri" w:eastAsia="Calibri" w:cs="Calibri"/>
          <w:kern w:val="0"/>
          <w:sz w:val="27"/>
          <w:szCs w:val="27"/>
          <w:u w:val="single"/>
        </w:rPr>
        <w:t> </w:t>
      </w:r>
      <w:r>
        <w:rPr>
          <w:rFonts w:ascii="Calibri" w:hAnsi="Calibri" w:eastAsia="Calibri" w:cs="Calibri"/>
          <w:kern w:val="0"/>
          <w:sz w:val="27"/>
          <w:szCs w:val="27"/>
        </w:rPr>
        <w:t>          </w:t>
      </w:r>
      <w:r>
        <w:rPr>
          <w:rFonts w:ascii="仿宋_GB2312" w:hAnsi="仿宋_GB2312" w:eastAsia="仿宋_GB2312" w:cs="仿宋_GB2312"/>
          <w:kern w:val="0"/>
          <w:sz w:val="27"/>
          <w:szCs w:val="27"/>
        </w:rPr>
        <w:t>联系电话：</w:t>
      </w:r>
      <w:r>
        <w:rPr>
          <w:rFonts w:ascii="仿宋_GB2312" w:hAnsi="仿宋_GB2312" w:eastAsia="仿宋_GB2312" w:cs="仿宋_GB2312"/>
          <w:kern w:val="0"/>
          <w:sz w:val="27"/>
          <w:szCs w:val="27"/>
          <w:u w:val="single"/>
        </w:rPr>
        <w:t>0476-8332110-</w:t>
      </w:r>
      <w:r>
        <w:rPr>
          <w:rFonts w:ascii="Calibri" w:hAnsi="Calibri" w:eastAsia="Calibri" w:cs="Calibri"/>
          <w:kern w:val="0"/>
          <w:sz w:val="27"/>
          <w:szCs w:val="27"/>
          <w:u w:val="single"/>
        </w:rPr>
        <w:t> </w:t>
      </w:r>
    </w:p>
    <w:p>
      <w:pPr>
        <w:widowControl/>
        <w:spacing w:before="240" w:after="240"/>
        <w:jc w:val="left"/>
        <w:rPr>
          <w:rFonts w:ascii="Times New Roman" w:hAnsi="Times New Roman" w:eastAsia="Times New Roman" w:cs="Times New Roman"/>
          <w:kern w:val="0"/>
          <w:sz w:val="24"/>
        </w:rPr>
      </w:pPr>
    </w:p>
    <w:p>
      <w:pPr>
        <w:pStyle w:val="7"/>
        <w:keepNext w:val="0"/>
        <w:keepLines w:val="0"/>
        <w:widowControl/>
        <w:spacing w:before="299" w:after="299" w:line="240" w:lineRule="auto"/>
        <w:jc w:val="center"/>
        <w:rPr>
          <w:rFonts w:ascii="Times New Roman" w:hAnsi="Times New Roman" w:eastAsia="Times New Roman" w:cs="Times New Roman"/>
          <w:b/>
          <w:bCs/>
          <w:kern w:val="0"/>
          <w:sz w:val="36"/>
          <w:szCs w:val="36"/>
        </w:rPr>
      </w:pPr>
      <w:r>
        <w:rPr>
          <w:rFonts w:ascii="fang_zheng_xiao_biao_song_ti" w:hAnsi="fang_zheng_xiao_biao_song_ti" w:eastAsia="fang_zheng_xiao_biao_song_ti" w:cs="fang_zheng_xiao_biao_song_ti"/>
          <w:kern w:val="0"/>
          <w:sz w:val="36"/>
          <w:szCs w:val="36"/>
        </w:rPr>
        <w:t>第五部分 单位决算表</w:t>
      </w:r>
    </w:p>
    <w:p>
      <w:pPr>
        <w:widowControl/>
        <w:spacing w:before="240" w:after="240"/>
        <w:jc w:val="center"/>
        <w:rPr>
          <w:rFonts w:ascii="Times New Roman" w:hAnsi="Times New Roman" w:eastAsia="Times New Roman" w:cs="Times New Roman"/>
          <w:kern w:val="0"/>
          <w:sz w:val="24"/>
        </w:rPr>
      </w:pPr>
    </w:p>
    <w:p>
      <w:pPr>
        <w:widowControl/>
        <w:spacing w:before="240" w:after="240"/>
        <w:jc w:val="left"/>
        <w:rPr>
          <w:rFonts w:ascii="Times New Roman" w:hAnsi="Times New Roman" w:eastAsia="Times New Roman" w:cs="Times New Roman"/>
          <w:kern w:val="0"/>
          <w:sz w:val="24"/>
        </w:rPr>
      </w:pPr>
      <w:r>
        <w:rPr>
          <w:rFonts w:ascii="Calibri" w:hAnsi="Calibri" w:eastAsia="Calibri" w:cs="Calibri"/>
          <w:kern w:val="0"/>
          <w:sz w:val="27"/>
          <w:szCs w:val="27"/>
        </w:rPr>
        <w:t> </w:t>
      </w:r>
      <w:r>
        <w:rPr>
          <w:rFonts w:ascii="仿宋_GB2312" w:hAnsi="仿宋_GB2312" w:eastAsia="仿宋_GB2312" w:cs="仿宋_GB2312"/>
          <w:kern w:val="0"/>
          <w:sz w:val="27"/>
          <w:szCs w:val="27"/>
        </w:rPr>
        <w:t xml:space="preserve"> </w:t>
      </w:r>
      <w:r>
        <w:rPr>
          <w:rFonts w:ascii="Calibri" w:hAnsi="Calibri" w:eastAsia="Calibri" w:cs="Calibri"/>
          <w:kern w:val="0"/>
          <w:sz w:val="27"/>
          <w:szCs w:val="27"/>
        </w:rPr>
        <w:t> </w:t>
      </w:r>
      <w:r>
        <w:rPr>
          <w:rFonts w:ascii="仿宋_GB2312" w:hAnsi="仿宋_GB2312" w:eastAsia="仿宋_GB2312" w:cs="仿宋_GB2312"/>
          <w:kern w:val="0"/>
          <w:sz w:val="27"/>
          <w:szCs w:val="27"/>
        </w:rPr>
        <w:t xml:space="preserve"> 见附件。</w:t>
      </w:r>
      <w:bookmarkEnd w:id="0"/>
    </w:p>
    <w:sectPr>
      <w:footerReference r:id="rId4" w:type="default"/>
      <w:pgSz w:w="11906" w:h="16838"/>
      <w:pgMar w:top="1440" w:right="1803" w:bottom="1440" w:left="1803" w:header="0" w:footer="720"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fang_zheng_xiao_biao_song_ti">
    <w:altName w:val="Segoe Print"/>
    <w:panose1 w:val="00000000000000000000"/>
    <w:charset w:val="00"/>
    <w:family w:val="auto"/>
    <w:pitch w:val="default"/>
    <w:sig w:usb0="00000000" w:usb1="00000000" w:usb2="00000000" w:usb3="00000000" w:csb0="00000000" w:csb1="00000000"/>
  </w:font>
  <w:font w:name="kai_ti_gb2312">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1</w:t>
    </w:r>
    <w:r>
      <w:rPr>
        <w:rFonts w:ascii="宋体" w:hAnsi="宋体" w:eastAsia="宋体" w:cs="宋体"/>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w:fldChar w:fldCharType="begin"/>
    </w:r>
    <w:r>
      <w:instrText xml:space="preserve"> PAGE   \* MERGEFORMAT </w:instrText>
    </w:r>
    <w:r>
      <w:fldChar w:fldCharType="separate"/>
    </w:r>
    <w:r>
      <w:rPr>
        <w:lang w:val="zh-CN"/>
      </w:rPr>
      <w:t>26</w:t>
    </w:r>
    <w:r>
      <w:rPr>
        <w:lang w:val="zh-CN"/>
      </w:rPr>
      <w:fldChar w:fldCharType="end"/>
    </w:r>
  </w:p>
  <w:p>
    <w:pPr>
      <w:pStyle w:val="1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258857F"/>
    <w:multiLevelType w:val="singleLevel"/>
    <w:tmpl w:val="8258857F"/>
    <w:lvl w:ilvl="0" w:tentative="0">
      <w:start w:val="1"/>
      <w:numFmt w:val="chineseCounting"/>
      <w:suff w:val="nothing"/>
      <w:lvlText w:val="（%1）"/>
      <w:lvlJc w:val="left"/>
      <w:rPr>
        <w:rFonts w:hint="eastAsia"/>
      </w:rPr>
    </w:lvl>
  </w:abstractNum>
  <w:abstractNum w:abstractNumId="1">
    <w:nsid w:val="D48259D3"/>
    <w:multiLevelType w:val="singleLevel"/>
    <w:tmpl w:val="D48259D3"/>
    <w:lvl w:ilvl="0" w:tentative="0">
      <w:start w:val="2"/>
      <w:numFmt w:val="chineseCounting"/>
      <w:suff w:val="space"/>
      <w:lvlText w:val="第%1部分"/>
      <w:lvlJc w:val="left"/>
      <w:rPr>
        <w:rFonts w:hint="eastAsia"/>
      </w:rPr>
    </w:lvl>
  </w:abstractNum>
  <w:abstractNum w:abstractNumId="2">
    <w:nsid w:val="EA19C8CC"/>
    <w:multiLevelType w:val="singleLevel"/>
    <w:tmpl w:val="EA19C8CC"/>
    <w:lvl w:ilvl="0" w:tentative="0">
      <w:start w:val="1"/>
      <w:numFmt w:val="chineseCounting"/>
      <w:suff w:val="nothing"/>
      <w:lvlText w:val="（%1）"/>
      <w:lvlJc w:val="left"/>
      <w:pPr>
        <w:ind w:left="490" w:leftChars="0" w:firstLine="0" w:firstLineChars="0"/>
      </w:pPr>
      <w:rPr>
        <w:rFonts w:hint="eastAsia"/>
      </w:rPr>
    </w:lvl>
  </w:abstractNum>
  <w:abstractNum w:abstractNumId="3">
    <w:nsid w:val="FEA73B45"/>
    <w:multiLevelType w:val="singleLevel"/>
    <w:tmpl w:val="FEA73B45"/>
    <w:lvl w:ilvl="0" w:tentative="0">
      <w:start w:val="1"/>
      <w:numFmt w:val="decimal"/>
      <w:suff w:val="nothing"/>
      <w:lvlText w:val="%1、"/>
      <w:lvlJc w:val="left"/>
    </w:lvl>
  </w:abstractNum>
  <w:abstractNum w:abstractNumId="4">
    <w:nsid w:val="6DF3A7BD"/>
    <w:multiLevelType w:val="singleLevel"/>
    <w:tmpl w:val="6DF3A7BD"/>
    <w:lvl w:ilvl="0" w:tentative="0">
      <w:start w:val="12"/>
      <w:numFmt w:val="chineseCounting"/>
      <w:suff w:val="nothing"/>
      <w:lvlText w:val="%1、"/>
      <w:lvlJc w:val="left"/>
      <w:rPr>
        <w:rFonts w:hint="eastAsia"/>
      </w:rPr>
    </w:lvl>
  </w:abstractNum>
  <w:abstractNum w:abstractNumId="5">
    <w:nsid w:val="6EBB34AE"/>
    <w:multiLevelType w:val="singleLevel"/>
    <w:tmpl w:val="6EBB34AE"/>
    <w:lvl w:ilvl="0" w:tentative="0">
      <w:start w:val="1"/>
      <w:numFmt w:val="decimal"/>
      <w:suff w:val="nothing"/>
      <w:lvlText w:val="%1、"/>
      <w:lvlJc w:val="left"/>
    </w:lvl>
  </w:abstractNum>
  <w:abstractNum w:abstractNumId="6">
    <w:nsid w:val="76D3FDCE"/>
    <w:multiLevelType w:val="singleLevel"/>
    <w:tmpl w:val="76D3FDCE"/>
    <w:lvl w:ilvl="0" w:tentative="0">
      <w:start w:val="1"/>
      <w:numFmt w:val="chineseCounting"/>
      <w:suff w:val="nothing"/>
      <w:lvlText w:val="（%1）"/>
      <w:lvlJc w:val="left"/>
      <w:rPr>
        <w:rFonts w:hint="eastAsia"/>
      </w:rPr>
    </w:lvl>
  </w:abstractNum>
  <w:num w:numId="1">
    <w:abstractNumId w:val="1"/>
  </w:num>
  <w:num w:numId="2">
    <w:abstractNumId w:val="2"/>
  </w:num>
  <w:num w:numId="3">
    <w:abstractNumId w:val="3"/>
  </w:num>
  <w:num w:numId="4">
    <w:abstractNumId w:val="0"/>
  </w:num>
  <w:num w:numId="5">
    <w:abstractNumId w:val="6"/>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536"/>
    <w:rsid w:val="0000662F"/>
    <w:rsid w:val="00023E75"/>
    <w:rsid w:val="00033C6A"/>
    <w:rsid w:val="00034DA8"/>
    <w:rsid w:val="00063AC2"/>
    <w:rsid w:val="000774F0"/>
    <w:rsid w:val="0008308B"/>
    <w:rsid w:val="00097269"/>
    <w:rsid w:val="000A769F"/>
    <w:rsid w:val="000D3889"/>
    <w:rsid w:val="0010682D"/>
    <w:rsid w:val="001620BF"/>
    <w:rsid w:val="001814D4"/>
    <w:rsid w:val="00183373"/>
    <w:rsid w:val="001E7634"/>
    <w:rsid w:val="00204509"/>
    <w:rsid w:val="00225D2E"/>
    <w:rsid w:val="0023107E"/>
    <w:rsid w:val="00233241"/>
    <w:rsid w:val="00297C52"/>
    <w:rsid w:val="00300987"/>
    <w:rsid w:val="0030784F"/>
    <w:rsid w:val="00312846"/>
    <w:rsid w:val="00367870"/>
    <w:rsid w:val="00375E79"/>
    <w:rsid w:val="003A4E85"/>
    <w:rsid w:val="003B3EAA"/>
    <w:rsid w:val="00482D36"/>
    <w:rsid w:val="00490629"/>
    <w:rsid w:val="0049507B"/>
    <w:rsid w:val="004A738F"/>
    <w:rsid w:val="004B1589"/>
    <w:rsid w:val="004B721F"/>
    <w:rsid w:val="004D48E7"/>
    <w:rsid w:val="004D7065"/>
    <w:rsid w:val="004E0B6C"/>
    <w:rsid w:val="005011E1"/>
    <w:rsid w:val="00505A51"/>
    <w:rsid w:val="0051384E"/>
    <w:rsid w:val="00521603"/>
    <w:rsid w:val="00536012"/>
    <w:rsid w:val="0054657E"/>
    <w:rsid w:val="0059054F"/>
    <w:rsid w:val="00596608"/>
    <w:rsid w:val="005B4139"/>
    <w:rsid w:val="005C13AB"/>
    <w:rsid w:val="00667493"/>
    <w:rsid w:val="006C017F"/>
    <w:rsid w:val="006E7255"/>
    <w:rsid w:val="007003B2"/>
    <w:rsid w:val="0071014E"/>
    <w:rsid w:val="007402A0"/>
    <w:rsid w:val="00753924"/>
    <w:rsid w:val="00762248"/>
    <w:rsid w:val="00787000"/>
    <w:rsid w:val="007A7BA5"/>
    <w:rsid w:val="007B6706"/>
    <w:rsid w:val="007C1FDD"/>
    <w:rsid w:val="007D6292"/>
    <w:rsid w:val="00857D98"/>
    <w:rsid w:val="00894C48"/>
    <w:rsid w:val="00896385"/>
    <w:rsid w:val="008A10DB"/>
    <w:rsid w:val="008B5455"/>
    <w:rsid w:val="009125DD"/>
    <w:rsid w:val="00954CD9"/>
    <w:rsid w:val="009A5EF3"/>
    <w:rsid w:val="009D6904"/>
    <w:rsid w:val="009E1EE8"/>
    <w:rsid w:val="009E227B"/>
    <w:rsid w:val="009E308A"/>
    <w:rsid w:val="009F0536"/>
    <w:rsid w:val="00A147CF"/>
    <w:rsid w:val="00A270BE"/>
    <w:rsid w:val="00A36C1D"/>
    <w:rsid w:val="00A517A0"/>
    <w:rsid w:val="00A62486"/>
    <w:rsid w:val="00AB013A"/>
    <w:rsid w:val="00AD11A5"/>
    <w:rsid w:val="00AE47F5"/>
    <w:rsid w:val="00AF5F33"/>
    <w:rsid w:val="00B159C0"/>
    <w:rsid w:val="00B27D51"/>
    <w:rsid w:val="00B32BEE"/>
    <w:rsid w:val="00B373AF"/>
    <w:rsid w:val="00B4208A"/>
    <w:rsid w:val="00B57D7A"/>
    <w:rsid w:val="00B76620"/>
    <w:rsid w:val="00B840CE"/>
    <w:rsid w:val="00B96C3D"/>
    <w:rsid w:val="00BD0928"/>
    <w:rsid w:val="00BE5F73"/>
    <w:rsid w:val="00BF4228"/>
    <w:rsid w:val="00C07A30"/>
    <w:rsid w:val="00C352FF"/>
    <w:rsid w:val="00C44231"/>
    <w:rsid w:val="00CC6B8B"/>
    <w:rsid w:val="00CD3751"/>
    <w:rsid w:val="00D2051A"/>
    <w:rsid w:val="00D96390"/>
    <w:rsid w:val="00E219E7"/>
    <w:rsid w:val="00E60D6A"/>
    <w:rsid w:val="00E73321"/>
    <w:rsid w:val="00E77EC0"/>
    <w:rsid w:val="00E914C1"/>
    <w:rsid w:val="00E97C37"/>
    <w:rsid w:val="00EE533B"/>
    <w:rsid w:val="00F04882"/>
    <w:rsid w:val="00F63327"/>
    <w:rsid w:val="00F80A29"/>
    <w:rsid w:val="00FA7CA5"/>
    <w:rsid w:val="00FD08EC"/>
    <w:rsid w:val="00FD7690"/>
    <w:rsid w:val="010163AE"/>
    <w:rsid w:val="01442796"/>
    <w:rsid w:val="01954C9E"/>
    <w:rsid w:val="01BD08C4"/>
    <w:rsid w:val="01E6156A"/>
    <w:rsid w:val="01EC1B40"/>
    <w:rsid w:val="024B52C6"/>
    <w:rsid w:val="025D65AB"/>
    <w:rsid w:val="02664E57"/>
    <w:rsid w:val="026F7C04"/>
    <w:rsid w:val="029C1327"/>
    <w:rsid w:val="02AD6C79"/>
    <w:rsid w:val="02C1410B"/>
    <w:rsid w:val="02F23650"/>
    <w:rsid w:val="030C227D"/>
    <w:rsid w:val="034E1216"/>
    <w:rsid w:val="03560F9F"/>
    <w:rsid w:val="036802C2"/>
    <w:rsid w:val="038B13F2"/>
    <w:rsid w:val="03C86868"/>
    <w:rsid w:val="03CE6B75"/>
    <w:rsid w:val="03E17672"/>
    <w:rsid w:val="044F671F"/>
    <w:rsid w:val="04586341"/>
    <w:rsid w:val="04830C8D"/>
    <w:rsid w:val="04C922E9"/>
    <w:rsid w:val="05447673"/>
    <w:rsid w:val="054E6552"/>
    <w:rsid w:val="05624E11"/>
    <w:rsid w:val="056C0E7E"/>
    <w:rsid w:val="05976B16"/>
    <w:rsid w:val="06082E1F"/>
    <w:rsid w:val="060B17BF"/>
    <w:rsid w:val="060E038D"/>
    <w:rsid w:val="0613066F"/>
    <w:rsid w:val="0621394C"/>
    <w:rsid w:val="064B3F9D"/>
    <w:rsid w:val="065E04AC"/>
    <w:rsid w:val="06937CE3"/>
    <w:rsid w:val="073454EC"/>
    <w:rsid w:val="0775105F"/>
    <w:rsid w:val="07902619"/>
    <w:rsid w:val="08100146"/>
    <w:rsid w:val="081E29BE"/>
    <w:rsid w:val="086D751F"/>
    <w:rsid w:val="08EC4C37"/>
    <w:rsid w:val="09023F22"/>
    <w:rsid w:val="09151C59"/>
    <w:rsid w:val="093609E7"/>
    <w:rsid w:val="09582667"/>
    <w:rsid w:val="09D15458"/>
    <w:rsid w:val="09DD3854"/>
    <w:rsid w:val="0A5E1768"/>
    <w:rsid w:val="0A9A6649"/>
    <w:rsid w:val="0ADB5B5C"/>
    <w:rsid w:val="0AF6404B"/>
    <w:rsid w:val="0B0A6583"/>
    <w:rsid w:val="0B3E7614"/>
    <w:rsid w:val="0B47430D"/>
    <w:rsid w:val="0B7B1F25"/>
    <w:rsid w:val="0BA95BE0"/>
    <w:rsid w:val="0BEA6336"/>
    <w:rsid w:val="0BF74863"/>
    <w:rsid w:val="0BFB38FC"/>
    <w:rsid w:val="0C0D7F69"/>
    <w:rsid w:val="0C0F66BB"/>
    <w:rsid w:val="0C1A10CC"/>
    <w:rsid w:val="0C3C36E5"/>
    <w:rsid w:val="0C4A0C53"/>
    <w:rsid w:val="0C744CF6"/>
    <w:rsid w:val="0C810E32"/>
    <w:rsid w:val="0CA9027D"/>
    <w:rsid w:val="0CFA6383"/>
    <w:rsid w:val="0D02178A"/>
    <w:rsid w:val="0D896A72"/>
    <w:rsid w:val="0DE50984"/>
    <w:rsid w:val="0E0B68E5"/>
    <w:rsid w:val="0E223D95"/>
    <w:rsid w:val="0E6A030F"/>
    <w:rsid w:val="0E825980"/>
    <w:rsid w:val="0EF70D8E"/>
    <w:rsid w:val="0F183C53"/>
    <w:rsid w:val="0F427461"/>
    <w:rsid w:val="0F901621"/>
    <w:rsid w:val="0F9320C7"/>
    <w:rsid w:val="0FE2663D"/>
    <w:rsid w:val="10432DD8"/>
    <w:rsid w:val="1095470A"/>
    <w:rsid w:val="10964D63"/>
    <w:rsid w:val="10E366D6"/>
    <w:rsid w:val="113D4AF6"/>
    <w:rsid w:val="12202CA9"/>
    <w:rsid w:val="122A68A5"/>
    <w:rsid w:val="12470C53"/>
    <w:rsid w:val="12682883"/>
    <w:rsid w:val="129045ED"/>
    <w:rsid w:val="12A62193"/>
    <w:rsid w:val="12E01C01"/>
    <w:rsid w:val="13017939"/>
    <w:rsid w:val="13160545"/>
    <w:rsid w:val="13C434D6"/>
    <w:rsid w:val="13CF3714"/>
    <w:rsid w:val="14443B48"/>
    <w:rsid w:val="14500440"/>
    <w:rsid w:val="14C72513"/>
    <w:rsid w:val="1507007E"/>
    <w:rsid w:val="155F762B"/>
    <w:rsid w:val="156D2C53"/>
    <w:rsid w:val="15714B15"/>
    <w:rsid w:val="15AB4E34"/>
    <w:rsid w:val="15BF0F98"/>
    <w:rsid w:val="15CB286A"/>
    <w:rsid w:val="16421DC1"/>
    <w:rsid w:val="167333C5"/>
    <w:rsid w:val="1678357C"/>
    <w:rsid w:val="171F1EC0"/>
    <w:rsid w:val="176F65C8"/>
    <w:rsid w:val="177B0013"/>
    <w:rsid w:val="17971D51"/>
    <w:rsid w:val="17985E81"/>
    <w:rsid w:val="17F62D04"/>
    <w:rsid w:val="18086B36"/>
    <w:rsid w:val="1821791B"/>
    <w:rsid w:val="186275B7"/>
    <w:rsid w:val="18AC4BAA"/>
    <w:rsid w:val="18B11211"/>
    <w:rsid w:val="18BA0FDE"/>
    <w:rsid w:val="19027E7D"/>
    <w:rsid w:val="194047EB"/>
    <w:rsid w:val="19C06475"/>
    <w:rsid w:val="19DC542A"/>
    <w:rsid w:val="1AA81E65"/>
    <w:rsid w:val="1AC8198D"/>
    <w:rsid w:val="1AD674C3"/>
    <w:rsid w:val="1AF45110"/>
    <w:rsid w:val="1B2F7836"/>
    <w:rsid w:val="1B5C381B"/>
    <w:rsid w:val="1B735D54"/>
    <w:rsid w:val="1B901199"/>
    <w:rsid w:val="1BC45907"/>
    <w:rsid w:val="1BC66B79"/>
    <w:rsid w:val="1BDF4137"/>
    <w:rsid w:val="1BF9705F"/>
    <w:rsid w:val="1C0F52CF"/>
    <w:rsid w:val="1C280B73"/>
    <w:rsid w:val="1C2B10C8"/>
    <w:rsid w:val="1C2C479A"/>
    <w:rsid w:val="1C6B34D0"/>
    <w:rsid w:val="1C6D5F78"/>
    <w:rsid w:val="1C8B2D86"/>
    <w:rsid w:val="1CEE35E4"/>
    <w:rsid w:val="1D014643"/>
    <w:rsid w:val="1DBA32D9"/>
    <w:rsid w:val="1DD20208"/>
    <w:rsid w:val="1DE901B4"/>
    <w:rsid w:val="1E0E0FB9"/>
    <w:rsid w:val="1E126ECF"/>
    <w:rsid w:val="1E577312"/>
    <w:rsid w:val="1E660437"/>
    <w:rsid w:val="1E6C0BA5"/>
    <w:rsid w:val="1E744242"/>
    <w:rsid w:val="1E89299D"/>
    <w:rsid w:val="1EC86CAE"/>
    <w:rsid w:val="1F320F80"/>
    <w:rsid w:val="1F8D5F26"/>
    <w:rsid w:val="1FBC37B6"/>
    <w:rsid w:val="203223D7"/>
    <w:rsid w:val="204732DD"/>
    <w:rsid w:val="205D3AB8"/>
    <w:rsid w:val="20FF153F"/>
    <w:rsid w:val="216829BE"/>
    <w:rsid w:val="21785EE0"/>
    <w:rsid w:val="219B5FA0"/>
    <w:rsid w:val="21BF2364"/>
    <w:rsid w:val="21CB7C8A"/>
    <w:rsid w:val="21E2221A"/>
    <w:rsid w:val="21E419EA"/>
    <w:rsid w:val="21EF17AB"/>
    <w:rsid w:val="21F15D48"/>
    <w:rsid w:val="21FC3F62"/>
    <w:rsid w:val="220D0EB1"/>
    <w:rsid w:val="223D7ECC"/>
    <w:rsid w:val="225B16F8"/>
    <w:rsid w:val="22C56BC2"/>
    <w:rsid w:val="22F72B0B"/>
    <w:rsid w:val="22FF08CA"/>
    <w:rsid w:val="231C6D8F"/>
    <w:rsid w:val="234301F8"/>
    <w:rsid w:val="239B57CE"/>
    <w:rsid w:val="2405393D"/>
    <w:rsid w:val="24061C78"/>
    <w:rsid w:val="240A56FC"/>
    <w:rsid w:val="24135705"/>
    <w:rsid w:val="24364B84"/>
    <w:rsid w:val="24411980"/>
    <w:rsid w:val="24D83811"/>
    <w:rsid w:val="24F97A4C"/>
    <w:rsid w:val="25264A0D"/>
    <w:rsid w:val="25611C78"/>
    <w:rsid w:val="25AE77EA"/>
    <w:rsid w:val="25B1674C"/>
    <w:rsid w:val="25E31DC9"/>
    <w:rsid w:val="260B40E1"/>
    <w:rsid w:val="26207F8F"/>
    <w:rsid w:val="26340407"/>
    <w:rsid w:val="264C05F8"/>
    <w:rsid w:val="268A0F1E"/>
    <w:rsid w:val="2695170A"/>
    <w:rsid w:val="26BC2938"/>
    <w:rsid w:val="26D03651"/>
    <w:rsid w:val="26D36250"/>
    <w:rsid w:val="26D6064A"/>
    <w:rsid w:val="26E615E3"/>
    <w:rsid w:val="273D4A9D"/>
    <w:rsid w:val="274145B5"/>
    <w:rsid w:val="276704C2"/>
    <w:rsid w:val="276F5873"/>
    <w:rsid w:val="27711DAD"/>
    <w:rsid w:val="27FD403D"/>
    <w:rsid w:val="281459D9"/>
    <w:rsid w:val="28407227"/>
    <w:rsid w:val="28651BC7"/>
    <w:rsid w:val="286C385B"/>
    <w:rsid w:val="28C00233"/>
    <w:rsid w:val="28D17792"/>
    <w:rsid w:val="28E01396"/>
    <w:rsid w:val="28F5372C"/>
    <w:rsid w:val="291D6CEE"/>
    <w:rsid w:val="29381709"/>
    <w:rsid w:val="294F408A"/>
    <w:rsid w:val="29617408"/>
    <w:rsid w:val="29D5502F"/>
    <w:rsid w:val="2A122C1D"/>
    <w:rsid w:val="2A2A7ABA"/>
    <w:rsid w:val="2A3473E4"/>
    <w:rsid w:val="2A400731"/>
    <w:rsid w:val="2A6616BF"/>
    <w:rsid w:val="2A921072"/>
    <w:rsid w:val="2AB04AB4"/>
    <w:rsid w:val="2ABD614F"/>
    <w:rsid w:val="2AE51B26"/>
    <w:rsid w:val="2B025648"/>
    <w:rsid w:val="2B1A4744"/>
    <w:rsid w:val="2B6E4596"/>
    <w:rsid w:val="2B7908F1"/>
    <w:rsid w:val="2BA1452C"/>
    <w:rsid w:val="2BB974DF"/>
    <w:rsid w:val="2BDD7445"/>
    <w:rsid w:val="2BEC2E45"/>
    <w:rsid w:val="2BFF123A"/>
    <w:rsid w:val="2C3070E5"/>
    <w:rsid w:val="2C315884"/>
    <w:rsid w:val="2C74537F"/>
    <w:rsid w:val="2C902E90"/>
    <w:rsid w:val="2C960327"/>
    <w:rsid w:val="2CB1721A"/>
    <w:rsid w:val="2D0919F9"/>
    <w:rsid w:val="2D2908E5"/>
    <w:rsid w:val="2D5A4E22"/>
    <w:rsid w:val="2D9D59D3"/>
    <w:rsid w:val="2E4B5CF7"/>
    <w:rsid w:val="2EB85508"/>
    <w:rsid w:val="2F09416E"/>
    <w:rsid w:val="2F1C3E56"/>
    <w:rsid w:val="2F251E5C"/>
    <w:rsid w:val="2F3726C7"/>
    <w:rsid w:val="2F4D1557"/>
    <w:rsid w:val="2F62542D"/>
    <w:rsid w:val="2F6739BE"/>
    <w:rsid w:val="3014091F"/>
    <w:rsid w:val="30210FF0"/>
    <w:rsid w:val="30265B60"/>
    <w:rsid w:val="305E4BFC"/>
    <w:rsid w:val="30722870"/>
    <w:rsid w:val="30A078C6"/>
    <w:rsid w:val="30A968C7"/>
    <w:rsid w:val="30F94D03"/>
    <w:rsid w:val="313C58B0"/>
    <w:rsid w:val="31426C42"/>
    <w:rsid w:val="3144451F"/>
    <w:rsid w:val="315C2E69"/>
    <w:rsid w:val="31843CAD"/>
    <w:rsid w:val="31CF4B26"/>
    <w:rsid w:val="31D73BBD"/>
    <w:rsid w:val="31F64781"/>
    <w:rsid w:val="32106C62"/>
    <w:rsid w:val="322A3B77"/>
    <w:rsid w:val="3232383F"/>
    <w:rsid w:val="323F2C64"/>
    <w:rsid w:val="32721C95"/>
    <w:rsid w:val="327B2430"/>
    <w:rsid w:val="32C0156F"/>
    <w:rsid w:val="32D169C4"/>
    <w:rsid w:val="33006040"/>
    <w:rsid w:val="33227BA9"/>
    <w:rsid w:val="335B4726"/>
    <w:rsid w:val="33744B5A"/>
    <w:rsid w:val="33860636"/>
    <w:rsid w:val="33AC063B"/>
    <w:rsid w:val="33D0537F"/>
    <w:rsid w:val="341D6A22"/>
    <w:rsid w:val="345252DB"/>
    <w:rsid w:val="34593195"/>
    <w:rsid w:val="34CD1487"/>
    <w:rsid w:val="34DF2703"/>
    <w:rsid w:val="34F46BB7"/>
    <w:rsid w:val="350F666D"/>
    <w:rsid w:val="35185E14"/>
    <w:rsid w:val="352D08B3"/>
    <w:rsid w:val="35382D8C"/>
    <w:rsid w:val="35782EC4"/>
    <w:rsid w:val="35A277CE"/>
    <w:rsid w:val="35AD6D9F"/>
    <w:rsid w:val="362B5A37"/>
    <w:rsid w:val="36365976"/>
    <w:rsid w:val="365A3C18"/>
    <w:rsid w:val="368D6CCE"/>
    <w:rsid w:val="36D30F22"/>
    <w:rsid w:val="37AA4938"/>
    <w:rsid w:val="381C7BDD"/>
    <w:rsid w:val="382C79E0"/>
    <w:rsid w:val="387A4CC7"/>
    <w:rsid w:val="3891003B"/>
    <w:rsid w:val="38933633"/>
    <w:rsid w:val="38E95436"/>
    <w:rsid w:val="38F348AB"/>
    <w:rsid w:val="39404F4C"/>
    <w:rsid w:val="39E27D43"/>
    <w:rsid w:val="3A361061"/>
    <w:rsid w:val="3A600BFB"/>
    <w:rsid w:val="3A993C48"/>
    <w:rsid w:val="3AD9227A"/>
    <w:rsid w:val="3B5628ED"/>
    <w:rsid w:val="3B644C2C"/>
    <w:rsid w:val="3B6470C9"/>
    <w:rsid w:val="3BC2012E"/>
    <w:rsid w:val="3C10029F"/>
    <w:rsid w:val="3C1662AF"/>
    <w:rsid w:val="3C512BAA"/>
    <w:rsid w:val="3C5D67C1"/>
    <w:rsid w:val="3CBC47CB"/>
    <w:rsid w:val="3CC32963"/>
    <w:rsid w:val="3D1C3F3F"/>
    <w:rsid w:val="3D733EC4"/>
    <w:rsid w:val="3D886F35"/>
    <w:rsid w:val="3E277388"/>
    <w:rsid w:val="3E28476D"/>
    <w:rsid w:val="3E6B125C"/>
    <w:rsid w:val="3E7A3C4A"/>
    <w:rsid w:val="3E8A5A15"/>
    <w:rsid w:val="3EA305AA"/>
    <w:rsid w:val="3EAD0444"/>
    <w:rsid w:val="3EAE063B"/>
    <w:rsid w:val="3EF1747E"/>
    <w:rsid w:val="3EF33D33"/>
    <w:rsid w:val="401878D6"/>
    <w:rsid w:val="40586777"/>
    <w:rsid w:val="40F42FF9"/>
    <w:rsid w:val="40FC2D5A"/>
    <w:rsid w:val="41D84B4C"/>
    <w:rsid w:val="41DA2B3E"/>
    <w:rsid w:val="42755706"/>
    <w:rsid w:val="43295684"/>
    <w:rsid w:val="437E44FE"/>
    <w:rsid w:val="43C85FB2"/>
    <w:rsid w:val="44440CC3"/>
    <w:rsid w:val="44476814"/>
    <w:rsid w:val="445F26F4"/>
    <w:rsid w:val="44721DBC"/>
    <w:rsid w:val="44960446"/>
    <w:rsid w:val="44B54A34"/>
    <w:rsid w:val="44EC09DF"/>
    <w:rsid w:val="45395EDD"/>
    <w:rsid w:val="455F4FC1"/>
    <w:rsid w:val="458A058E"/>
    <w:rsid w:val="45CC24B6"/>
    <w:rsid w:val="46133BFD"/>
    <w:rsid w:val="463043D5"/>
    <w:rsid w:val="463D7E05"/>
    <w:rsid w:val="464A7CFB"/>
    <w:rsid w:val="465B3A6D"/>
    <w:rsid w:val="466251E7"/>
    <w:rsid w:val="46700FEA"/>
    <w:rsid w:val="467E3F02"/>
    <w:rsid w:val="46B078B8"/>
    <w:rsid w:val="46BE0478"/>
    <w:rsid w:val="46C05490"/>
    <w:rsid w:val="46C56991"/>
    <w:rsid w:val="46F027A2"/>
    <w:rsid w:val="472105DB"/>
    <w:rsid w:val="474279EC"/>
    <w:rsid w:val="47461737"/>
    <w:rsid w:val="47477792"/>
    <w:rsid w:val="475C6F0B"/>
    <w:rsid w:val="47AB5E58"/>
    <w:rsid w:val="47B945C1"/>
    <w:rsid w:val="48064DC7"/>
    <w:rsid w:val="4850196F"/>
    <w:rsid w:val="4860569F"/>
    <w:rsid w:val="48B35687"/>
    <w:rsid w:val="48CB77BE"/>
    <w:rsid w:val="48E07BD5"/>
    <w:rsid w:val="494C7175"/>
    <w:rsid w:val="495624E4"/>
    <w:rsid w:val="49935F63"/>
    <w:rsid w:val="49B2469F"/>
    <w:rsid w:val="49B537E1"/>
    <w:rsid w:val="49E81ACE"/>
    <w:rsid w:val="49E8583E"/>
    <w:rsid w:val="49FD6FCA"/>
    <w:rsid w:val="4A247A5E"/>
    <w:rsid w:val="4A2B1755"/>
    <w:rsid w:val="4A356481"/>
    <w:rsid w:val="4A365A8D"/>
    <w:rsid w:val="4A3B775F"/>
    <w:rsid w:val="4A483636"/>
    <w:rsid w:val="4A5174F4"/>
    <w:rsid w:val="4B120C7B"/>
    <w:rsid w:val="4B2C2B7C"/>
    <w:rsid w:val="4B5E087F"/>
    <w:rsid w:val="4B5E2D59"/>
    <w:rsid w:val="4B621AA5"/>
    <w:rsid w:val="4B6A6EE7"/>
    <w:rsid w:val="4B966B28"/>
    <w:rsid w:val="4BC13492"/>
    <w:rsid w:val="4BD93386"/>
    <w:rsid w:val="4BEB6923"/>
    <w:rsid w:val="4C5261E2"/>
    <w:rsid w:val="4C653D56"/>
    <w:rsid w:val="4C6D24BC"/>
    <w:rsid w:val="4C742794"/>
    <w:rsid w:val="4CA07351"/>
    <w:rsid w:val="4CBB6B82"/>
    <w:rsid w:val="4CC15849"/>
    <w:rsid w:val="4CD401FE"/>
    <w:rsid w:val="4CE06797"/>
    <w:rsid w:val="4CFC6EA5"/>
    <w:rsid w:val="4D34516B"/>
    <w:rsid w:val="4D3D5BA8"/>
    <w:rsid w:val="4D492B45"/>
    <w:rsid w:val="4DD41DB8"/>
    <w:rsid w:val="4DFD42A2"/>
    <w:rsid w:val="4E3E0714"/>
    <w:rsid w:val="4E6C5052"/>
    <w:rsid w:val="4EB7328B"/>
    <w:rsid w:val="4ED22418"/>
    <w:rsid w:val="4EE345D6"/>
    <w:rsid w:val="4EF266CC"/>
    <w:rsid w:val="4F390552"/>
    <w:rsid w:val="4F463EC3"/>
    <w:rsid w:val="4F7A6C44"/>
    <w:rsid w:val="4FA56EB6"/>
    <w:rsid w:val="4FA57674"/>
    <w:rsid w:val="4FDB3DDC"/>
    <w:rsid w:val="502B0D74"/>
    <w:rsid w:val="504800E7"/>
    <w:rsid w:val="504F3E85"/>
    <w:rsid w:val="506947A9"/>
    <w:rsid w:val="50970B7A"/>
    <w:rsid w:val="50A2100B"/>
    <w:rsid w:val="50A36638"/>
    <w:rsid w:val="5101519D"/>
    <w:rsid w:val="511A137B"/>
    <w:rsid w:val="518D2F06"/>
    <w:rsid w:val="519A00F6"/>
    <w:rsid w:val="519E1C23"/>
    <w:rsid w:val="51CD438B"/>
    <w:rsid w:val="51E63710"/>
    <w:rsid w:val="51F812E1"/>
    <w:rsid w:val="524059F4"/>
    <w:rsid w:val="52501C65"/>
    <w:rsid w:val="52F8165F"/>
    <w:rsid w:val="5353430D"/>
    <w:rsid w:val="53587058"/>
    <w:rsid w:val="53770F2A"/>
    <w:rsid w:val="53F806D0"/>
    <w:rsid w:val="5417222D"/>
    <w:rsid w:val="54421474"/>
    <w:rsid w:val="544B14F3"/>
    <w:rsid w:val="54531CA3"/>
    <w:rsid w:val="545B2D52"/>
    <w:rsid w:val="54625000"/>
    <w:rsid w:val="54E22DA0"/>
    <w:rsid w:val="54EE14C5"/>
    <w:rsid w:val="554970CD"/>
    <w:rsid w:val="55563316"/>
    <w:rsid w:val="55833AF2"/>
    <w:rsid w:val="55A32CF5"/>
    <w:rsid w:val="55D86E72"/>
    <w:rsid w:val="562F2468"/>
    <w:rsid w:val="5634727C"/>
    <w:rsid w:val="5652641D"/>
    <w:rsid w:val="566250CB"/>
    <w:rsid w:val="567B11CF"/>
    <w:rsid w:val="57997D0C"/>
    <w:rsid w:val="57AA4122"/>
    <w:rsid w:val="57BC31B7"/>
    <w:rsid w:val="582D0CED"/>
    <w:rsid w:val="583B06C1"/>
    <w:rsid w:val="58634238"/>
    <w:rsid w:val="58A53886"/>
    <w:rsid w:val="58C32050"/>
    <w:rsid w:val="59172928"/>
    <w:rsid w:val="598315C7"/>
    <w:rsid w:val="5984603C"/>
    <w:rsid w:val="59D45237"/>
    <w:rsid w:val="5A2E6685"/>
    <w:rsid w:val="5A520DA6"/>
    <w:rsid w:val="5A576CD1"/>
    <w:rsid w:val="5A7E60F8"/>
    <w:rsid w:val="5AB528E4"/>
    <w:rsid w:val="5AE52CA0"/>
    <w:rsid w:val="5AEB4DF1"/>
    <w:rsid w:val="5B4A44CC"/>
    <w:rsid w:val="5B5A3AEF"/>
    <w:rsid w:val="5B6D47F6"/>
    <w:rsid w:val="5B9D0A63"/>
    <w:rsid w:val="5BB253EC"/>
    <w:rsid w:val="5BBB7B2E"/>
    <w:rsid w:val="5BE558B0"/>
    <w:rsid w:val="5C197E87"/>
    <w:rsid w:val="5C3B5B83"/>
    <w:rsid w:val="5C917894"/>
    <w:rsid w:val="5CDC6699"/>
    <w:rsid w:val="5D143C0F"/>
    <w:rsid w:val="5D370606"/>
    <w:rsid w:val="5D612183"/>
    <w:rsid w:val="5D6527D8"/>
    <w:rsid w:val="5DA301C4"/>
    <w:rsid w:val="5DAE2C44"/>
    <w:rsid w:val="5DC4009D"/>
    <w:rsid w:val="5DEE0933"/>
    <w:rsid w:val="5E124E52"/>
    <w:rsid w:val="5E2C70BC"/>
    <w:rsid w:val="5E7245DA"/>
    <w:rsid w:val="5E78572E"/>
    <w:rsid w:val="5E9576C6"/>
    <w:rsid w:val="5F084F34"/>
    <w:rsid w:val="5F9331C0"/>
    <w:rsid w:val="5F960918"/>
    <w:rsid w:val="5FA029F4"/>
    <w:rsid w:val="5FD370E9"/>
    <w:rsid w:val="5FE34982"/>
    <w:rsid w:val="60111126"/>
    <w:rsid w:val="6031106A"/>
    <w:rsid w:val="604C1D51"/>
    <w:rsid w:val="607F03E3"/>
    <w:rsid w:val="60A76BBF"/>
    <w:rsid w:val="60B47269"/>
    <w:rsid w:val="61057B8F"/>
    <w:rsid w:val="612E0187"/>
    <w:rsid w:val="618B71A5"/>
    <w:rsid w:val="61974160"/>
    <w:rsid w:val="61A644BF"/>
    <w:rsid w:val="61C42EA3"/>
    <w:rsid w:val="61CC096E"/>
    <w:rsid w:val="61D36498"/>
    <w:rsid w:val="622F5D1C"/>
    <w:rsid w:val="624430E4"/>
    <w:rsid w:val="62773A8A"/>
    <w:rsid w:val="62A06022"/>
    <w:rsid w:val="62DE3156"/>
    <w:rsid w:val="62E861F3"/>
    <w:rsid w:val="62F838E0"/>
    <w:rsid w:val="63146DB7"/>
    <w:rsid w:val="634064BC"/>
    <w:rsid w:val="63564C02"/>
    <w:rsid w:val="63681493"/>
    <w:rsid w:val="63A43C9C"/>
    <w:rsid w:val="63D50DD6"/>
    <w:rsid w:val="63FA507A"/>
    <w:rsid w:val="64052B09"/>
    <w:rsid w:val="64215BE2"/>
    <w:rsid w:val="6423515F"/>
    <w:rsid w:val="646308CA"/>
    <w:rsid w:val="646C4132"/>
    <w:rsid w:val="650A4526"/>
    <w:rsid w:val="651732E7"/>
    <w:rsid w:val="653B0F56"/>
    <w:rsid w:val="65696A23"/>
    <w:rsid w:val="65C139E7"/>
    <w:rsid w:val="65EA5302"/>
    <w:rsid w:val="65F91D0C"/>
    <w:rsid w:val="664F0892"/>
    <w:rsid w:val="665358C9"/>
    <w:rsid w:val="665C485D"/>
    <w:rsid w:val="6660609A"/>
    <w:rsid w:val="66835B81"/>
    <w:rsid w:val="669039AF"/>
    <w:rsid w:val="67177848"/>
    <w:rsid w:val="6757583F"/>
    <w:rsid w:val="677A77DD"/>
    <w:rsid w:val="67AD4628"/>
    <w:rsid w:val="67EE2015"/>
    <w:rsid w:val="681D76DC"/>
    <w:rsid w:val="68296BAE"/>
    <w:rsid w:val="68A05754"/>
    <w:rsid w:val="68A46EAF"/>
    <w:rsid w:val="697531A6"/>
    <w:rsid w:val="69757B15"/>
    <w:rsid w:val="69821590"/>
    <w:rsid w:val="69F45C25"/>
    <w:rsid w:val="6A1A0DE3"/>
    <w:rsid w:val="6A564586"/>
    <w:rsid w:val="6A6D3361"/>
    <w:rsid w:val="6B447DBA"/>
    <w:rsid w:val="6B4F2F43"/>
    <w:rsid w:val="6B5B37AE"/>
    <w:rsid w:val="6B5F57A7"/>
    <w:rsid w:val="6B8704AD"/>
    <w:rsid w:val="6BBE3A16"/>
    <w:rsid w:val="6BC36C7A"/>
    <w:rsid w:val="6BE82063"/>
    <w:rsid w:val="6C184BB7"/>
    <w:rsid w:val="6C4648DA"/>
    <w:rsid w:val="6C4D0AB6"/>
    <w:rsid w:val="6C685AB6"/>
    <w:rsid w:val="6CC248E9"/>
    <w:rsid w:val="6D036FBF"/>
    <w:rsid w:val="6D137065"/>
    <w:rsid w:val="6D50022C"/>
    <w:rsid w:val="6DE027EB"/>
    <w:rsid w:val="6E1460A3"/>
    <w:rsid w:val="6E1C54FE"/>
    <w:rsid w:val="6E1E558C"/>
    <w:rsid w:val="6E2F3F79"/>
    <w:rsid w:val="6E8447CB"/>
    <w:rsid w:val="6EB9291C"/>
    <w:rsid w:val="6ECB79C0"/>
    <w:rsid w:val="6F587685"/>
    <w:rsid w:val="6F8057FF"/>
    <w:rsid w:val="6F840895"/>
    <w:rsid w:val="6F9B3D05"/>
    <w:rsid w:val="6FC31138"/>
    <w:rsid w:val="6FC6701F"/>
    <w:rsid w:val="6FCD0AFF"/>
    <w:rsid w:val="6FE64526"/>
    <w:rsid w:val="7046143C"/>
    <w:rsid w:val="706C29B9"/>
    <w:rsid w:val="708811A9"/>
    <w:rsid w:val="70BD4023"/>
    <w:rsid w:val="70FE1740"/>
    <w:rsid w:val="7148392B"/>
    <w:rsid w:val="716A3DC7"/>
    <w:rsid w:val="717E4424"/>
    <w:rsid w:val="71C1560F"/>
    <w:rsid w:val="71C46337"/>
    <w:rsid w:val="71D210C7"/>
    <w:rsid w:val="72680B33"/>
    <w:rsid w:val="72733511"/>
    <w:rsid w:val="72995E87"/>
    <w:rsid w:val="72FC5270"/>
    <w:rsid w:val="737839F7"/>
    <w:rsid w:val="73926A6D"/>
    <w:rsid w:val="73A7007F"/>
    <w:rsid w:val="73E54CEE"/>
    <w:rsid w:val="742C52CB"/>
    <w:rsid w:val="742E1805"/>
    <w:rsid w:val="74695760"/>
    <w:rsid w:val="7480667F"/>
    <w:rsid w:val="74963D18"/>
    <w:rsid w:val="74FB5D34"/>
    <w:rsid w:val="751F264E"/>
    <w:rsid w:val="75314634"/>
    <w:rsid w:val="75346275"/>
    <w:rsid w:val="7535034F"/>
    <w:rsid w:val="754763EA"/>
    <w:rsid w:val="755B7D60"/>
    <w:rsid w:val="759979E6"/>
    <w:rsid w:val="76287F5F"/>
    <w:rsid w:val="76F30C89"/>
    <w:rsid w:val="771E650E"/>
    <w:rsid w:val="776061BA"/>
    <w:rsid w:val="77732716"/>
    <w:rsid w:val="77A301EF"/>
    <w:rsid w:val="77B17E30"/>
    <w:rsid w:val="77E947CB"/>
    <w:rsid w:val="780931E8"/>
    <w:rsid w:val="788B72CC"/>
    <w:rsid w:val="789060C2"/>
    <w:rsid w:val="78C80E9C"/>
    <w:rsid w:val="790833B5"/>
    <w:rsid w:val="792A2214"/>
    <w:rsid w:val="79335D74"/>
    <w:rsid w:val="79410B77"/>
    <w:rsid w:val="796F65E6"/>
    <w:rsid w:val="797C056A"/>
    <w:rsid w:val="79CA1349"/>
    <w:rsid w:val="79DA2C01"/>
    <w:rsid w:val="7A082C0B"/>
    <w:rsid w:val="7A105633"/>
    <w:rsid w:val="7A426D5A"/>
    <w:rsid w:val="7A4D0F43"/>
    <w:rsid w:val="7A791ACF"/>
    <w:rsid w:val="7A7E3EBE"/>
    <w:rsid w:val="7AC2574D"/>
    <w:rsid w:val="7AE822E3"/>
    <w:rsid w:val="7B083F87"/>
    <w:rsid w:val="7B107EF6"/>
    <w:rsid w:val="7B2446D1"/>
    <w:rsid w:val="7B4B3E35"/>
    <w:rsid w:val="7C397A85"/>
    <w:rsid w:val="7C9B7F18"/>
    <w:rsid w:val="7CB541ED"/>
    <w:rsid w:val="7CB72676"/>
    <w:rsid w:val="7CD35D8C"/>
    <w:rsid w:val="7CED7A4D"/>
    <w:rsid w:val="7D016D1C"/>
    <w:rsid w:val="7D093311"/>
    <w:rsid w:val="7D1B6516"/>
    <w:rsid w:val="7D281DDF"/>
    <w:rsid w:val="7D7068C6"/>
    <w:rsid w:val="7D9E2A2B"/>
    <w:rsid w:val="7DD86539"/>
    <w:rsid w:val="7DEE4C17"/>
    <w:rsid w:val="7DFC6857"/>
    <w:rsid w:val="7E0C0978"/>
    <w:rsid w:val="7E5355D2"/>
    <w:rsid w:val="7E9D483F"/>
    <w:rsid w:val="7EBA5A72"/>
    <w:rsid w:val="7EDE59BC"/>
    <w:rsid w:val="7EEE150A"/>
    <w:rsid w:val="7F155FB2"/>
    <w:rsid w:val="7F40795E"/>
    <w:rsid w:val="7F575EBC"/>
    <w:rsid w:val="7F5A482F"/>
    <w:rsid w:val="7F7E0ECE"/>
    <w:rsid w:val="7F8B61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99"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nhideWhenUsed="0" w:uiPriority="0"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6">
    <w:name w:val="heading 1"/>
    <w:basedOn w:val="1"/>
    <w:next w:val="1"/>
    <w:qFormat/>
    <w:uiPriority w:val="0"/>
    <w:pPr>
      <w:keepNext/>
      <w:keepLines/>
      <w:spacing w:before="340" w:after="330" w:line="578" w:lineRule="auto"/>
      <w:outlineLvl w:val="0"/>
    </w:pPr>
    <w:rPr>
      <w:b/>
      <w:bCs/>
      <w:kern w:val="44"/>
      <w:sz w:val="44"/>
      <w:szCs w:val="44"/>
    </w:rPr>
  </w:style>
  <w:style w:type="paragraph" w:styleId="7">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8">
    <w:name w:val="heading 3"/>
    <w:basedOn w:val="1"/>
    <w:next w:val="1"/>
    <w:link w:val="33"/>
    <w:qFormat/>
    <w:uiPriority w:val="0"/>
    <w:pPr>
      <w:keepNext/>
      <w:keepLines/>
      <w:spacing w:before="260" w:after="260" w:line="416" w:lineRule="auto"/>
      <w:outlineLvl w:val="2"/>
    </w:pPr>
    <w:rPr>
      <w:b/>
      <w:bCs/>
      <w:sz w:val="32"/>
      <w:szCs w:val="32"/>
    </w:rPr>
  </w:style>
  <w:style w:type="paragraph" w:styleId="9">
    <w:name w:val="heading 4"/>
    <w:basedOn w:val="1"/>
    <w:next w:val="1"/>
    <w:link w:val="28"/>
    <w:qFormat/>
    <w:uiPriority w:val="0"/>
    <w:pPr>
      <w:keepNext/>
      <w:keepLines/>
      <w:spacing w:before="280" w:after="290" w:line="376" w:lineRule="auto"/>
      <w:outlineLvl w:val="3"/>
    </w:pPr>
    <w:rPr>
      <w:rFonts w:ascii="Cambria" w:hAnsi="Cambria"/>
      <w:b/>
      <w:bCs/>
      <w:sz w:val="28"/>
      <w:szCs w:val="28"/>
    </w:rPr>
  </w:style>
  <w:style w:type="character" w:default="1" w:styleId="25">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4"/>
    <w:qFormat/>
    <w:uiPriority w:val="0"/>
    <w:pPr>
      <w:ind w:firstLine="420" w:firstLineChars="100"/>
    </w:pPr>
  </w:style>
  <w:style w:type="paragraph" w:styleId="3">
    <w:name w:val="Body Text"/>
    <w:basedOn w:val="1"/>
    <w:next w:val="1"/>
    <w:qFormat/>
    <w:uiPriority w:val="0"/>
    <w:pPr>
      <w:spacing w:after="120" w:afterLines="0" w:afterAutospacing="0"/>
    </w:pPr>
  </w:style>
  <w:style w:type="paragraph" w:styleId="4">
    <w:name w:val="Body Text First Indent 2"/>
    <w:basedOn w:val="5"/>
    <w:qFormat/>
    <w:uiPriority w:val="0"/>
    <w:pPr>
      <w:spacing w:after="0"/>
      <w:ind w:firstLine="420"/>
    </w:pPr>
  </w:style>
  <w:style w:type="paragraph" w:styleId="5">
    <w:name w:val="Body Text Indent"/>
    <w:basedOn w:val="1"/>
    <w:next w:val="1"/>
    <w:qFormat/>
    <w:uiPriority w:val="99"/>
    <w:pPr>
      <w:spacing w:after="120"/>
      <w:ind w:left="420" w:leftChars="200"/>
    </w:pPr>
    <w:rPr>
      <w:kern w:val="0"/>
      <w:sz w:val="20"/>
      <w:szCs w:val="20"/>
    </w:rPr>
  </w:style>
  <w:style w:type="paragraph" w:styleId="10">
    <w:name w:val="toc 7"/>
    <w:basedOn w:val="1"/>
    <w:next w:val="1"/>
    <w:qFormat/>
    <w:uiPriority w:val="0"/>
    <w:pPr>
      <w:ind w:left="1260"/>
      <w:jc w:val="left"/>
    </w:pPr>
    <w:rPr>
      <w:sz w:val="20"/>
      <w:szCs w:val="20"/>
    </w:rPr>
  </w:style>
  <w:style w:type="paragraph" w:styleId="11">
    <w:name w:val="Document Map"/>
    <w:basedOn w:val="1"/>
    <w:qFormat/>
    <w:uiPriority w:val="0"/>
    <w:pPr>
      <w:shd w:val="clear" w:color="auto" w:fill="000080"/>
    </w:pPr>
  </w:style>
  <w:style w:type="paragraph" w:styleId="12">
    <w:name w:val="toc 5"/>
    <w:basedOn w:val="1"/>
    <w:next w:val="1"/>
    <w:qFormat/>
    <w:uiPriority w:val="0"/>
    <w:pPr>
      <w:ind w:left="840"/>
      <w:jc w:val="left"/>
    </w:pPr>
    <w:rPr>
      <w:sz w:val="20"/>
      <w:szCs w:val="20"/>
    </w:rPr>
  </w:style>
  <w:style w:type="paragraph" w:styleId="13">
    <w:name w:val="toc 3"/>
    <w:basedOn w:val="1"/>
    <w:next w:val="1"/>
    <w:qFormat/>
    <w:uiPriority w:val="0"/>
    <w:pPr>
      <w:adjustRightInd w:val="0"/>
      <w:snapToGrid w:val="0"/>
      <w:spacing w:line="360" w:lineRule="auto"/>
      <w:ind w:firstLine="400" w:firstLineChars="400"/>
      <w:jc w:val="left"/>
    </w:pPr>
    <w:rPr>
      <w:sz w:val="24"/>
      <w:szCs w:val="20"/>
    </w:rPr>
  </w:style>
  <w:style w:type="paragraph" w:styleId="14">
    <w:name w:val="toc 8"/>
    <w:basedOn w:val="1"/>
    <w:next w:val="1"/>
    <w:qFormat/>
    <w:uiPriority w:val="0"/>
    <w:pPr>
      <w:ind w:left="1470"/>
      <w:jc w:val="left"/>
    </w:pPr>
    <w:rPr>
      <w:sz w:val="20"/>
      <w:szCs w:val="20"/>
    </w:rPr>
  </w:style>
  <w:style w:type="paragraph" w:styleId="15">
    <w:name w:val="footer"/>
    <w:basedOn w:val="1"/>
    <w:link w:val="31"/>
    <w:qFormat/>
    <w:uiPriority w:val="0"/>
    <w:pPr>
      <w:tabs>
        <w:tab w:val="center" w:pos="4153"/>
        <w:tab w:val="right" w:pos="8306"/>
      </w:tabs>
      <w:snapToGrid w:val="0"/>
      <w:jc w:val="left"/>
    </w:pPr>
    <w:rPr>
      <w:sz w:val="18"/>
      <w:szCs w:val="18"/>
    </w:rPr>
  </w:style>
  <w:style w:type="paragraph" w:styleId="1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8"/>
    <w:next w:val="1"/>
    <w:qFormat/>
    <w:uiPriority w:val="0"/>
    <w:pPr>
      <w:adjustRightInd w:val="0"/>
      <w:snapToGrid w:val="0"/>
      <w:spacing w:line="360" w:lineRule="auto"/>
      <w:jc w:val="left"/>
    </w:pPr>
    <w:rPr>
      <w:b/>
      <w:bCs/>
      <w:sz w:val="24"/>
      <w:szCs w:val="20"/>
    </w:rPr>
  </w:style>
  <w:style w:type="paragraph" w:styleId="18">
    <w:name w:val="index 1"/>
    <w:basedOn w:val="1"/>
    <w:next w:val="1"/>
    <w:qFormat/>
    <w:uiPriority w:val="0"/>
  </w:style>
  <w:style w:type="paragraph" w:styleId="19">
    <w:name w:val="toc 4"/>
    <w:basedOn w:val="1"/>
    <w:next w:val="1"/>
    <w:qFormat/>
    <w:uiPriority w:val="0"/>
    <w:pPr>
      <w:ind w:left="630"/>
      <w:jc w:val="left"/>
    </w:pPr>
    <w:rPr>
      <w:sz w:val="20"/>
      <w:szCs w:val="20"/>
    </w:rPr>
  </w:style>
  <w:style w:type="paragraph" w:styleId="20">
    <w:name w:val="toc 6"/>
    <w:basedOn w:val="1"/>
    <w:next w:val="1"/>
    <w:qFormat/>
    <w:uiPriority w:val="0"/>
    <w:pPr>
      <w:ind w:left="1050"/>
      <w:jc w:val="left"/>
    </w:pPr>
    <w:rPr>
      <w:sz w:val="20"/>
      <w:szCs w:val="20"/>
    </w:rPr>
  </w:style>
  <w:style w:type="paragraph" w:styleId="21">
    <w:name w:val="toc 2"/>
    <w:basedOn w:val="1"/>
    <w:next w:val="1"/>
    <w:qFormat/>
    <w:uiPriority w:val="0"/>
    <w:pPr>
      <w:adjustRightInd w:val="0"/>
      <w:snapToGrid w:val="0"/>
      <w:spacing w:line="360" w:lineRule="auto"/>
      <w:ind w:firstLine="200" w:firstLineChars="200"/>
      <w:jc w:val="left"/>
    </w:pPr>
    <w:rPr>
      <w:iCs/>
      <w:sz w:val="24"/>
      <w:szCs w:val="20"/>
    </w:rPr>
  </w:style>
  <w:style w:type="paragraph" w:styleId="22">
    <w:name w:val="toc 9"/>
    <w:basedOn w:val="1"/>
    <w:next w:val="1"/>
    <w:qFormat/>
    <w:uiPriority w:val="0"/>
    <w:pPr>
      <w:ind w:left="1680"/>
      <w:jc w:val="left"/>
    </w:pPr>
    <w:rPr>
      <w:sz w:val="20"/>
      <w:szCs w:val="20"/>
    </w:rPr>
  </w:style>
  <w:style w:type="paragraph" w:styleId="23">
    <w:name w:val="Title"/>
    <w:basedOn w:val="1"/>
    <w:next w:val="1"/>
    <w:qFormat/>
    <w:uiPriority w:val="0"/>
    <w:pPr>
      <w:spacing w:before="240" w:after="60"/>
      <w:jc w:val="center"/>
      <w:outlineLvl w:val="0"/>
    </w:pPr>
    <w:rPr>
      <w:rFonts w:ascii="Arial" w:hAnsi="Arial" w:cs="Arial"/>
      <w:b/>
      <w:bCs/>
      <w:sz w:val="32"/>
      <w:szCs w:val="32"/>
    </w:rPr>
  </w:style>
  <w:style w:type="character" w:styleId="26">
    <w:name w:val="page number"/>
    <w:basedOn w:val="25"/>
    <w:qFormat/>
    <w:uiPriority w:val="0"/>
  </w:style>
  <w:style w:type="character" w:styleId="27">
    <w:name w:val="Hyperlink"/>
    <w:basedOn w:val="25"/>
    <w:qFormat/>
    <w:uiPriority w:val="0"/>
    <w:rPr>
      <w:color w:val="0000FF"/>
      <w:u w:val="single"/>
    </w:rPr>
  </w:style>
  <w:style w:type="character" w:customStyle="1" w:styleId="28">
    <w:name w:val="标题 4 字符"/>
    <w:basedOn w:val="25"/>
    <w:link w:val="9"/>
    <w:qFormat/>
    <w:uiPriority w:val="0"/>
    <w:rPr>
      <w:rFonts w:ascii="Cambria" w:hAnsi="Cambria"/>
      <w:b/>
      <w:bCs/>
      <w:kern w:val="2"/>
      <w:sz w:val="28"/>
      <w:szCs w:val="28"/>
    </w:rPr>
  </w:style>
  <w:style w:type="paragraph" w:styleId="29">
    <w:name w:val="No Spacing"/>
    <w:link w:val="30"/>
    <w:qFormat/>
    <w:uiPriority w:val="0"/>
    <w:pPr>
      <w:ind w:firstLine="200" w:firstLineChars="200"/>
    </w:pPr>
    <w:rPr>
      <w:rFonts w:ascii="Times New Roman" w:hAnsi="Times New Roman" w:eastAsia="仿宋_GB2312" w:cs="Times New Roman"/>
      <w:sz w:val="30"/>
      <w:szCs w:val="22"/>
      <w:lang w:val="en-US" w:eastAsia="zh-CN" w:bidi="ar-SA"/>
    </w:rPr>
  </w:style>
  <w:style w:type="character" w:customStyle="1" w:styleId="30">
    <w:name w:val="无间隔 字符"/>
    <w:link w:val="29"/>
    <w:qFormat/>
    <w:locked/>
    <w:uiPriority w:val="0"/>
    <w:rPr>
      <w:rFonts w:eastAsia="仿宋_GB2312"/>
      <w:sz w:val="30"/>
      <w:szCs w:val="22"/>
      <w:lang w:bidi="ar-SA"/>
    </w:rPr>
  </w:style>
  <w:style w:type="character" w:customStyle="1" w:styleId="31">
    <w:name w:val="页脚 字符"/>
    <w:basedOn w:val="25"/>
    <w:link w:val="15"/>
    <w:qFormat/>
    <w:uiPriority w:val="0"/>
    <w:rPr>
      <w:kern w:val="2"/>
      <w:sz w:val="18"/>
      <w:szCs w:val="18"/>
    </w:rPr>
  </w:style>
  <w:style w:type="paragraph" w:styleId="32">
    <w:name w:val="List Paragraph"/>
    <w:basedOn w:val="1"/>
    <w:qFormat/>
    <w:uiPriority w:val="0"/>
    <w:pPr>
      <w:ind w:firstLine="420" w:firstLineChars="200"/>
    </w:pPr>
  </w:style>
  <w:style w:type="character" w:customStyle="1" w:styleId="33">
    <w:name w:val="标题 3 字符"/>
    <w:basedOn w:val="25"/>
    <w:link w:val="8"/>
    <w:qFormat/>
    <w:uiPriority w:val="0"/>
    <w:rPr>
      <w:b/>
      <w:bCs/>
      <w:kern w:val="2"/>
      <w:sz w:val="32"/>
      <w:szCs w:val="32"/>
    </w:rPr>
  </w:style>
  <w:style w:type="paragraph" w:customStyle="1" w:styleId="34">
    <w:name w:val="MsoNormal"/>
    <w:basedOn w:val="1"/>
    <w:qFormat/>
    <w:uiPriority w:val="0"/>
  </w:style>
  <w:style w:type="paragraph" w:customStyle="1" w:styleId="35">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r="http://schemas.openxmlformats.org/officeDocument/2006/relationships" xmlns:w="http://schemas.openxmlformats.org/wordprocessingml/2006/main" xmlns:w15="http://schemas.microsoft.com/office/word/2012/wordml"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57559B6-2DC7-41B5-818F-6E7F243775C0}">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26</Pages>
  <Words>50</Words>
  <Characters>128</Characters>
  <Lines>1</Lines>
  <Paragraphs>1</Paragraphs>
  <TotalTime>25</TotalTime>
  <ScaleCrop>false</ScaleCrop>
  <LinksUpToDate>false</LinksUpToDate>
  <CharactersWithSpaces>128</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2022-03-23T12:40:00Z</dcterms:created>
  <dc:creator>Administrator</dc:creator>
  <cp:lastModifiedBy>Administrator</cp:lastModifiedBy>
  <cp:lastPrinted>2026-08-11T09:16:00Z</cp:lastPrinted>
  <dcterms:modified xsi:type="dcterms:W3CDTF">2026-08-14T02:40:46Z</dcterms:modified>
  <dc:title>××年度××部门/单位</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611238F30D8A411DBAB9B55681FC0BF8_12</vt:lpwstr>
  </property>
  <property fmtid="{D5CDD505-2E9C-101B-9397-08002B2CF9AE}" pid="3" name="KSOProductBuildVer">
    <vt:lpwstr>2052-11.8.2.8875</vt:lpwstr>
  </property>
  <property fmtid="{D5CDD505-2E9C-101B-9397-08002B2CF9AE}" pid="4" name="KSOTemplateDocerSaveRecord">
    <vt:lpwstr>eyJoZGlkIjoiN2YzNjBkOTgyNWQ1YTMxYzM3MzMwNWFiODNmOWIzYWMiLCJ1c2VySWQiOiI4MDUyMTE2MjkifQ==</vt:lpwstr>
  </property>
</Properties>
</file>