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2024年辑私经费转移支付</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2024年辑私经费转移支付</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通过更新阵地宣传设施设备，进一步提升全民参与打私工作的积极性、主动性，帮助市民了解走私的危害，主动参与全员打私工作。</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在全域范围开展反走私综合治理工作的广泛宣传，提升全民反走私意识，地一步提升全民参与打私工作的积极性；开展赤峰市反走私综合治理培训班。</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2025年12月31日前完成在全域范围开展反走私综合治理工作的广泛宣传，提升全民反走私意识，地一步提升全民参与打私工作的积极性；完成开展赤峰市反走私综合治理培训班。</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系统掌握2024年辑私经费转移支付资金的使用情况和取得的成效，总结项目资金管理使用经验做法，进一步加强和规范项目资金管理，完善项目和资金管理办法，为预算编制和申报绩效目标、优化财政支出结构提供决策参考和依据。特开展财政项目支出绩效自评工作。自评范围包括2024年辑私经费转移支付项目绩效目标设立情况、财政资金落实、使用情况、项目管理、财务管理以及为完成绩效目标制定的资金管理制度和措施等办法、项目产出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-14.6</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-14.6</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5.4</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5.4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5.4</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5.4</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2025年12月31日前完成在全域范围开展反走私综合治理工作的广泛宣传，提升全民反走私意识，地一步提升全民参与打私工作的积极性；完成开展赤峰市反走私综合治理培训班。</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1.资金到位率。该指标主要考核实际到位资金与预算资金的比率，用以反映和考核资金落实情况对项目实施的总体保障程度。2024年辑私经费转移支付资金5.4万，实际拨入5.4万元，资金到位率100%。 2.预算执行率。该指标用以反映和考核资金的实际执行情况。本项目共到位财政资金5.4万元，上年结转结余资金0万元，实际支出财政资金5.4万元，预算执行率为100%。 3.资金使用合规性。2024年辑私经费转移支付资金使用符合国家财经法规和财务管理制度以及有关专项资金管理办法的规定，资金的拨付有完整的审批程序和手续，符合项目预算批复。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1）制作宣传展板及宣传资料(次)，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2）开展培训工作(次)，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1）全民反走私意识，</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2）全市打私干部工作能力，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1）培训工作完成时间，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2025年12月底前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2025年12月底前完成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2）宣传工作完成时间，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2025年12月底前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2025年12月底前完成</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1）宣传工作费用(万元)，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2）培训工作费用(万元)，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1）全民参与打私工作的主动性，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1）营造反走私社会氛围，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1）全市打私工作人员(%)，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2025年完成开展赤峰市反走私综合治理培训班。2024年辑私经费转移支付资金5.4万，实际拨入5.4万元。预算执行率为100%。2024年辑私经费转移支付资金使用符合国家财经法规和财务管理制度以及有关专项资金管理办法的规定，资金的拨付有完整的审批程序和手续，符合项目预算批复。</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无</w:t>
      </w:r>
    </w:p>
    <w:p>
      <w:pP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2025年辑私经费转移支付</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2025年辑私经费转移支付</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通过培训相关打私人员、更新阵地宣传设施设备，进一步提升全民参与打私工作的积极性、主动性，帮助市民了解走私的危害，主动参与全员打私工作。</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通过制作宣传展板、宣传册等、宣传视频等，加强打私宣传工作，提高全市人民群众打私意识；通过培训打私工作人员，加强全市打私工作人员业务能力。</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本项目资金结转2026年使用。</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本项目资金结转2026年使用。</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10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本项目资金结转2026年使用。</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本项目资金结转2026年使用。</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1）制作宣传视频(个)，</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2）组织人员培训(次)，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1）宣传视频合格率(%)，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2）培训人员合格率(%)，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1）完成视频制作及投放，</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2026年12月31日前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2）完成培训工作，</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2026年12月31日前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1）视频制作成本(万元)，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2）培训经费(万元)，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1）人民群众打击走私意识，</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1）打私工作人员业务能力，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1）打私人员满意度(%)，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差</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 xml:space="preserve"> 本项目资金结转2026年使用。</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 xml:space="preserve"> 本项目资金结转2026年使用。</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赤峰市人民政府办公室文电工作专项经费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19" w:type="first"/>
          <w:footerReference r:id="rId22" w:type="first"/>
          <w:headerReference r:id="rId17" w:type="default"/>
          <w:footerReference r:id="rId20" w:type="default"/>
          <w:headerReference r:id="rId18" w:type="even"/>
          <w:footerReference r:id="rId21"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赤峰市人民政府办公室文电工作专项经费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每年通过定期巡检、系统维护和不定期故障维修相结合的方式，确保赤峰市“公文智能交换系统”平稳运行，提高公文交换效率，实现重要公文交换可追溯。</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2025年预算金额为90000元，确保赤峰市“公文智能交换系统”平稳运行，提高公文交换效率。提高使用人的满意度。提高使用率，提高工作效率。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2025年完成赤峰市人民政府办公室文电工作专项经费预算支付8万元，确保赤峰市“公文智能交换系统”平稳运行，提高公文交换效率。提高使用人的满意度。提高使用率，提高工作效率。</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2025年完成赤峰市人民政府办公室文电工作专项经费预算支付8万元，确保赤峰市“公文智能交换系统”平稳运行，提高公文交换效率。提高使用人的满意度。提高使用率，提高工作效率。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2025年确保维护“公文智能交换系统”1套，系统平稳运行，服务方驻场工作人员1人，系统运转时效24小时运行，一般性工作故障1个工作日内解决，年维护成本8万元。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1.赤峰市人民政府办公室文电工作专项经费预算资金8万元，实际拨入8万元，资金到位率100%。 2.预算执行率。该指标用以反映和考核资金的实际执行情况。本项目共到位财政资金8万元，上年结转结余资金0万元，实际支出财政资金8万元，预算执行率为100%。 3.资金使用合规性。赤峰市人民政府办公室文电工作专项经费预算资金使用符合国家财经法规和财务管理制度以及有关专项资金管理办法的规定，资金的拨付有完整的审批程序和手续，符合项目预算批复。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1）维护办公系统数量(套)，</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2）驻场人员数量(人)，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1）办公系统正常运转率(%)，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2）驻场人员服务达标率(%)，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1）系统运转时效(小时)，</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2）一般性故障维修时限(工作日)，</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1）系统维护年成本(万元)，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2）系统维护月平均成本(元)，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7500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7500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1）提高公文交换效率(%)，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1）公文交换可追溯提高公文处理工作效率(%)，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1）文书档案使用者满意度(%)，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2）全市党政机关满意度(%)，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2025年确保维护“公文智能交换系统”1套，系统平稳运行，服务方驻场工作人员1人，系统运转时效24小时运行，一般性工作故障1个工作日内解决，年维护成本8万元。提高公文交换效率。提高使用人的满意度。提高使用率，提高工作效率。</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赤峰市人民政府蒙古文网站购买加强网络安全及舆情管理服务专项经费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25" w:type="first"/>
          <w:footerReference r:id="rId28" w:type="first"/>
          <w:headerReference r:id="rId23" w:type="default"/>
          <w:footerReference r:id="rId26" w:type="default"/>
          <w:headerReference r:id="rId24" w:type="even"/>
          <w:footerReference r:id="rId27"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赤峰市人民政府蒙古文网站购买加强网络安全及舆情管理服务专项经费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lang w:val="en-US" w:eastAsia="zh-CN"/>
        </w:rPr>
        <w:t>1.</w:t>
      </w:r>
      <w:r>
        <w:rPr>
          <w:rFonts w:hint="eastAsia" w:ascii="仿宋" w:hAnsi="仿宋" w:eastAsia="仿宋" w:cs="仿宋"/>
          <w:kern w:val="2"/>
          <w:sz w:val="32"/>
          <w:szCs w:val="32"/>
        </w:rPr>
        <w:t xml:space="preserve">解决政府网站中存在的暗链、黑链、死链接、无效链接等漏洞检测与处置服务。 </w:t>
      </w:r>
      <w:r>
        <w:rPr>
          <w:rFonts w:hint="eastAsia" w:ascii="仿宋" w:hAnsi="仿宋" w:eastAsia="仿宋" w:cs="仿宋"/>
          <w:kern w:val="2"/>
          <w:sz w:val="32"/>
          <w:szCs w:val="32"/>
          <w:lang w:val="en-US" w:eastAsia="zh-CN"/>
        </w:rPr>
        <w:t>2.</w:t>
      </w:r>
      <w:r>
        <w:rPr>
          <w:rFonts w:hint="eastAsia" w:ascii="仿宋" w:hAnsi="仿宋" w:eastAsia="仿宋" w:cs="仿宋"/>
          <w:kern w:val="2"/>
          <w:sz w:val="32"/>
          <w:szCs w:val="32"/>
        </w:rPr>
        <w:t xml:space="preserve">实时对政府网站、政务新媒体内容进行音码、型码、字型等多编码、多字体的角度检测有害信息、政治敏感信息、禁用字等敏感信息的检索、排查、处置工作，每月出一次舆情监测汇总报告。 </w:t>
      </w:r>
      <w:r>
        <w:rPr>
          <w:rFonts w:hint="eastAsia" w:ascii="仿宋" w:hAnsi="仿宋" w:eastAsia="仿宋" w:cs="仿宋"/>
          <w:kern w:val="2"/>
          <w:sz w:val="32"/>
          <w:szCs w:val="32"/>
          <w:lang w:val="en-US" w:eastAsia="zh-CN"/>
        </w:rPr>
        <w:t>3.</w:t>
      </w:r>
      <w:r>
        <w:rPr>
          <w:rFonts w:hint="eastAsia" w:ascii="仿宋" w:hAnsi="仿宋" w:eastAsia="仿宋" w:cs="仿宋"/>
          <w:kern w:val="2"/>
          <w:sz w:val="32"/>
          <w:szCs w:val="32"/>
        </w:rPr>
        <w:t>开设政府公报栏目。</w:t>
      </w:r>
      <w:r>
        <w:rPr>
          <w:rFonts w:hint="eastAsia" w:ascii="仿宋" w:hAnsi="仿宋" w:eastAsia="仿宋" w:cs="仿宋"/>
          <w:kern w:val="2"/>
          <w:sz w:val="32"/>
          <w:szCs w:val="32"/>
          <w:lang w:val="en-US" w:eastAsia="zh-CN"/>
        </w:rPr>
        <w:t>4.</w:t>
      </w:r>
      <w:r>
        <w:rPr>
          <w:rFonts w:hint="eastAsia" w:ascii="仿宋" w:hAnsi="仿宋" w:eastAsia="仿宋" w:cs="仿宋"/>
          <w:kern w:val="2"/>
          <w:sz w:val="32"/>
          <w:szCs w:val="32"/>
        </w:rPr>
        <w:t>年度访问量统计。</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购买公文翻译系统服务。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1.解决政府网站中存在的暗链、黑链、死链接、无效链接等漏洞检测与处置服务。 2.实时对网站新媒体内容进行检测有害信息、政治敏感信息、禁用字等敏感信息的检索、排查、处置工作，每月出一次舆情监测汇总报告。 3.开设政府公报栏目。4.年度访问量统计。5.购买公文翻译系统服务。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解决政府网站中存在的暗链、黑链、死链接、无效链接等漏洞检测与处置服务。 实时对网站新媒体内容进行检测有害信息、政治敏感信息、禁用字等敏感信息的检索、排查、处置工作，每月出一次舆情监测汇总报告。 开设政府公报栏目。年度访问量统计。购买公文翻译系统服务。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通过购买维护服务，解决政府网站中存在的暗链、黑链、死链接、无效链接等漏洞检测与处置服务。实时对网站新媒体内容进行检测有害信息、政治敏感信息、禁用字等敏感信息的检索、排查、处置工作，每月出一次舆情监测汇总报告。 开设政府公报栏目。年度访问量统计。购买公文翻译系统服务。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6.26</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69.56</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6.26</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2025年信息安全检测4次，舆情监测2次，解决政府网站中存在的暗链、黑链、死链接、无效链接等漏洞检测与处置服务。实时对网站新媒体内容进行检测有害信息、政治敏感信息、禁用字等敏感信息的检索、排查、处置工作，每月出一次舆情监测汇总报告。总成本不超过9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蒙古文网站购买加强网络安全及舆情管理服务专项经费预算资金9万元，实际拨入9万元，资金到位率100%。 预算执行率。该指标用以反映和考核资金的实际执行情况。本项目共到位财政资金9万元，上年结转结余资金0万元，实际支出财政资金6.26万元，预算执行率为69.56%。剩余部待验收合格后全部支付。 资金使用合规性。赴新加坡出国专项经费预算资金使用符合国家财经法规和财务管理制度以及有关专项资金管理办法的规定，资金的拨付有完整的审批程序和手续，符合项目预算批复。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1）信息安全检测数量(次)，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2）舆情监测数量(次)，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1）舆情检测达标率(%)，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2）验收合格率(%)，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1）舆情监测汇总报告及时率(%)，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2）舆情监测及时率(%)，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1）项目总成本(万元)，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2）网站维护月平均成本(万元)，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8333.33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7500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1）功能模块有效性，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1）网站运维机制健全性，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1）网站运维人员满意度(%)，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96.96</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蒙古文网站购买加强网络安全及舆情管理服务专项经费预算资金9万元，实际支出财政资金6.26，剩余部分验收合格后再行支付。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 xml:space="preserve"> 通过购买维护服务，1.解决政府网站中存在的暗链、黑链、死链接、无效链接等漏洞检测与处置服务。 2.实时对网站新媒体内容进行检测有害信息、政治敏感信息、禁用字等敏感信息的检索、排查、处置工作，每月出一次舆情监测汇总报告。 3.开设政府公报栏目。4.年度访问量统计。5.购买公文翻译系统服务。预算资金9万元，实际支出财政资金6.26，剩余部分验收合格后再行支付。</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法律顾问专项经费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2025</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31" w:type="first"/>
          <w:footerReference r:id="rId34" w:type="first"/>
          <w:headerReference r:id="rId29" w:type="default"/>
          <w:footerReference r:id="rId32" w:type="default"/>
          <w:headerReference r:id="rId30" w:type="even"/>
          <w:footerReference r:id="rId33"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法律顾问专项经费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 xml:space="preserve">    1.聘用法律顾问4人，定向协同为市领导分管领域行政决策、行政规范性文件、工程项目涉法问题等出具法律意见，确保市政府科学决策、依法决策；</w:t>
      </w:r>
      <w:r>
        <w:rPr>
          <w:rFonts w:hint="eastAsia" w:ascii="仿宋" w:hAnsi="仿宋" w:eastAsia="仿宋" w:cs="仿宋"/>
          <w:kern w:val="2"/>
          <w:sz w:val="32"/>
          <w:szCs w:val="32"/>
        </w:rPr>
        <w:cr/>
      </w:r>
      <w:r>
        <w:rPr>
          <w:rFonts w:hint="eastAsia" w:ascii="仿宋" w:hAnsi="仿宋" w:eastAsia="仿宋" w:cs="仿宋"/>
          <w:kern w:val="2"/>
          <w:sz w:val="32"/>
          <w:szCs w:val="32"/>
        </w:rPr>
        <w:t xml:space="preserve">    2.参与起草、审查市政府合同、协议等相关法律文书，降低市政府合同协议发生法律纠纷的风险；</w:t>
      </w:r>
      <w:r>
        <w:rPr>
          <w:rFonts w:hint="eastAsia" w:ascii="仿宋" w:hAnsi="仿宋" w:eastAsia="仿宋" w:cs="仿宋"/>
          <w:kern w:val="2"/>
          <w:sz w:val="32"/>
          <w:szCs w:val="32"/>
        </w:rPr>
        <w:cr/>
      </w:r>
      <w:r>
        <w:rPr>
          <w:rFonts w:hint="eastAsia" w:ascii="仿宋" w:hAnsi="仿宋" w:eastAsia="仿宋" w:cs="仿宋"/>
          <w:kern w:val="2"/>
          <w:sz w:val="32"/>
          <w:szCs w:val="32"/>
        </w:rPr>
        <w:t xml:space="preserve">    3.参与市政府及市政府办公室其他涉法问题解决，参与诉讼、仲裁等法律事务。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 xml:space="preserve"> 1.聘用法律顾问4人，定向协同为市领导分管领域行政决策、行政规范性文件、工程项目涉法问题等出具法律意见，确保市政府科学决策、依法决策； 2.参与起草、审查市政府合同、协议等相关法律文书，降低市政府合同协议发生法律纠纷的风险； 3.参与市政府及市政府办公室其他涉法问题解决，参与诉讼、仲裁等法律事务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法律顾问共参加各类会议12次，出具法律意见220份，排除各类涉法风险点160余处。</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1.聘用法律顾问4人，定向协同为市领导分管领域行政决策、行政规范性文件、工程项目涉法问题等出具法律意见，确保市政府科学决策、依法决策；</w:t>
      </w:r>
      <w:r>
        <w:rPr>
          <w:rFonts w:hint="eastAsia" w:ascii="仿宋" w:hAnsi="仿宋" w:eastAsia="仿宋" w:cs="仿宋"/>
          <w:kern w:val="2"/>
          <w:sz w:val="32"/>
          <w:szCs w:val="32"/>
        </w:rPr>
        <w:cr/>
      </w:r>
      <w:r>
        <w:rPr>
          <w:rFonts w:hint="eastAsia" w:ascii="仿宋" w:hAnsi="仿宋" w:eastAsia="仿宋" w:cs="仿宋"/>
          <w:kern w:val="2"/>
          <w:sz w:val="32"/>
          <w:szCs w:val="32"/>
        </w:rPr>
        <w:t>2.参与起草、审查市政府合同、协议等相关法律文书，降低市政府合同协议发生法律纠纷的风险；</w:t>
      </w:r>
      <w:r>
        <w:rPr>
          <w:rFonts w:hint="eastAsia" w:ascii="仿宋" w:hAnsi="仿宋" w:eastAsia="仿宋" w:cs="仿宋"/>
          <w:kern w:val="2"/>
          <w:sz w:val="32"/>
          <w:szCs w:val="32"/>
        </w:rPr>
        <w:cr/>
      </w:r>
      <w:r>
        <w:rPr>
          <w:rFonts w:hint="eastAsia" w:ascii="仿宋" w:hAnsi="仿宋" w:eastAsia="仿宋" w:cs="仿宋"/>
          <w:kern w:val="2"/>
          <w:sz w:val="32"/>
          <w:szCs w:val="32"/>
        </w:rPr>
        <w:t>3.参与市政府及市政府办公室其他涉法问题解决，参与诉讼、仲裁等法律事务。</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1.产出数量。2025年，市政府法律顾问参与重大决策项目3次，聘用法律顾问3人。 2.产出质量。审查意见梳理问题的完整率100%，审查报告意见采纳率为100%。 3.产出时效。审查完成时间为20天内，并在完成后10天内出具报告。 4.产出成本。单项审查费用不超过3万元，实际支出.3万元；出具报告费用单项不超过2万元，实际支出不超过2万元。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聘用法律顾问4人，定向协同为市领导分管领域行政决策、行政规范性文件、工程项目涉法问题等出具法律意见，确保市政府科学决策、依法决策；参与起草、审查市政府合同、协议等相关法律文书，降低市政府合同协议发生法律纠纷的风险；参与市政府及市政府办公室其他涉法问题解决，参与诉讼、仲裁等法律事务。用以反映和考核资金落实情况对项目实施的总体保障程度。法律顾问项目预算资金12万，实际拨入12万元，资金到位率100%。 2.预算执行率。该指标用以反映和考核资金的实际执行情况。本项目共到位财政资金12万元，上年结转结余资金0万元，实际支出财政资金12万元，预算执行率为100%。 3.资金使用合规性。重大事项第三方专项法律审查经费使用符合国家财经法规和财务管理制度以及有关专项资金管理办法的规定，资金的拨付有完整的审批程序和手续，符合项目预算批复。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1）聘用法律顾问人数(人)，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2）聘用律师事务所个数(家)，</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1）法律顾问资质符合率(%)，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2）法律顾问审核覆盖率(%)，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1）法律顾问服务时限(年)，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2）资金支付及时率(%)，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1）法律顾问费总成本(万元)，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2）法律顾问人均成本(万元)，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1）有效提升单位规范管理和权益保障水平，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有效提升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（7）生态效益指标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1）有效提升法律顾问工作规范，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长期影响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（9）服务对象满意度指标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1）法律顾问聘用单位满意度(%)，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聘用法律顾问4人，定向协同为市领导分管领域行政决策、行政规范性文件、工程项目涉法问题等出具法律意见，确保市政府科学决策、依法决策； 参与起草、审查市政府合同、协议等相关法律文书，降低市政府合同协议发生法律纠纷的风险； 参与市政府及市政府办公室其他涉法问题解决，参与诉讼、仲裁等法律事务。2025年法律顾问共参加各类会议12次，出具法律意见220份，排除各类涉法风险点160余处。</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2026年，按照市政府党组会议要求，结合2025年实际执行情况，为减少重大事项可能遗留的问题，提升依法决策水平。申请财政预算重大事项专项法律审查资金，合计费用15万元；为选聘的辅助顾问计件付费，参加会议按《赤峰市本级重大行政决策专家咨询费管理办法》执行，估算费用15万元；单次审查费用不超过5万元。</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赴新加坡出国专项经费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2025</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37" w:type="first"/>
          <w:footerReference r:id="rId40" w:type="first"/>
          <w:headerReference r:id="rId35" w:type="default"/>
          <w:footerReference r:id="rId38" w:type="default"/>
          <w:headerReference r:id="rId36" w:type="even"/>
          <w:footerReference r:id="rId3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赴新加坡出国专项经费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领导8月24日至9月6日赴新加坡外出考察</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按照内蒙古自治区党委组织部关于举办赴新加坡城市精细化管理专题研究培训班的通知内组字【2025】38号文件要求，于2025年8月24日至9月6日赴新加坡外出考察，提高城市精细化管理。</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2025年11月30日前完成出国考察任务，预算资金全部成功支付。</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按照内蒙古自治区党委组织部关于举办赴新加坡城市精细化管理专题研究培训班的通知 内组字【2025】38号文件要求，于2025年8月24日至9月6日赴新加坡外出考察，提高城市精细化管理。 2025年11月30日前完成出国考察任务，预算资金全部成功支付。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0.89</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2025年9月7日前完成出国考察任务，2025年11月30日前完成全部资金支付。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1.赴新加坡出国专项经费预算资金0.89万元，实际拨入0.89万元，资金到位率100%。 2.预算执行率。该指标用以反映和考核资金的实际执行情况。本项目共到位财政资金0.89万元，上年结转结余资金0万元，实际支出财政资金0.89万元，预算执行率为100%。 3.资金使用合规性。赴新加坡出国专项经费预算资金使用符合国家财经法规和财务管理制度以及有关专项资金管理办法的规定，资金的拨付有完整的审批程序和手续，符合项目预算批复。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1）出国人数(人)，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2）出国次数(次)，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1）出国参加率(%)，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2）出国报到率(%)，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1）出国费用报销截止时间，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2025年11月30日前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2025年11月30日前</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2）出国截止时间，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2025年9月7日前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2025年9月7日前</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1）出国机票费(元)，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8537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8537</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2）出国保险费(元)，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390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390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（5）经济效益指标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1）提高业务能力，</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（7）生态效益指标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无</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（8）可持续影响指标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1）提高城市细化管理水平，</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14</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（9）服务对象满意度指标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1）参加出国人员满意度(%)，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无</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按照内蒙古自治区党委组织部关于举办赴新加坡城市精细化管理专题研究培训班的通知内组字【2025】38号文件要求，于2025年8月24日至9月6日赴新加坡外出考察，提高城市精细化管理。 2025年11月30日前完成出国考察任务，预算资金0.89万元全部成功支付。</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外事办友好城市专项经费</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仿宋" w:hAnsi="仿宋" w:eastAsia="仿宋" w:cs="仿宋"/>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2025</w:t>
      </w:r>
      <w:r>
        <w:rPr>
          <w:rFonts w:hint="default" w:ascii="Times New Roman Regular" w:hAnsi="Times New Roman Regular" w:eastAsia="仿宋" w:cs="Times New Roman Regular"/>
          <w:b/>
          <w:bCs/>
          <w:kern w:val="2"/>
          <w:sz w:val="32"/>
          <w:szCs w:val="32"/>
          <w:vertAlign w:val="baseline"/>
          <w:lang w:val="en-US" w:eastAsia="zh-CN" w:bidi="ar-SA"/>
        </w:rPr>
        <w:t xml:space="preserve">年  </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43" w:type="first"/>
          <w:footerReference r:id="rId46" w:type="first"/>
          <w:headerReference r:id="rId41" w:type="default"/>
          <w:footerReference r:id="rId44" w:type="default"/>
          <w:headerReference r:id="rId42" w:type="even"/>
          <w:footerReference r:id="rId45"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外事办友好城市专项经费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相关文件精神</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通过邀请日本友好城市青少年方华，改善日本涉华访问民意，增进中日友好城市交流，提升日本青少年对赤峰乃至对中国的客观看法。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根据自治区相关文件要求，此项目未实施。</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通过邀请日本友好城市青少年方华，改善日本涉华访问民意，增进中日友好城市交流，提升日本青少年对赤峰乃至对中国的客观看法。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根据自治区相关要求，此项目未实施。预算资金全部收回。</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根据自治区相关要求，此项目未实施。预算资金全部收回。</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1）邀请来访人数(人)，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2）访问天数(天)，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7</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1）访问率(人)，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2）聘请翻译人数(人)，</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1）访问时间，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2025年12月底前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2）项目资金报销时间，</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2025年12月底前</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1）访问期间食宿费(元)，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44100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2）访问期间交通费(元)，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29800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1）增进中日友好城市交流，</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有所增进</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1）提升日本青少年对赤峰乃至对中国的客观看法，</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1）外事工作人员(%)，</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差</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根据自治区相关要求，此项目未实施。预算资金全部收回。</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根据自治区相关要求，此项目未实施。预算资金全部收回。</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根据自治区相关要求，此项目未实施。预算资金全部收回。</w:t>
      </w:r>
    </w:p>
    <w:p>
      <w:pPr>
        <w:rPr>
          <w:rFonts w:hint="default" w:ascii="仿宋" w:hAnsi="仿宋" w:eastAsia="仿宋" w:cs="仿宋"/>
          <w:color w:val="000000"/>
          <w:sz w:val="32"/>
          <w:szCs w:val="32"/>
          <w:lang w:val="en-US" w:eastAsia="zh-CN"/>
        </w:rPr>
      </w:pPr>
      <w:r>
        <w:rPr>
          <w:rFonts w:hint="default" w:ascii="仿宋" w:hAnsi="仿宋" w:eastAsia="仿宋" w:cs="仿宋"/>
          <w:color w:val="000000"/>
          <w:sz w:val="32"/>
          <w:szCs w:val="32"/>
          <w:lang w:val="en-US" w:eastAsia="zh-CN"/>
        </w:rPr>
        <w:br w:type="page"/>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重大事项第三方专项法律审查经费</w:t>
      </w:r>
    </w:p>
    <w:p>
      <w:pPr>
        <w:ind w:firstLine="1606" w:firstLineChars="500"/>
        <w:rPr>
          <w:rFonts w:hint="eastAsia"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赤峰市人民政府办公室</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赤峰市人民政府办公室（部门）</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2025</w:t>
      </w:r>
      <w:r>
        <w:rPr>
          <w:rFonts w:hint="default" w:ascii="Times New Roman Regular" w:hAnsi="Times New Roman Regular" w:eastAsia="仿宋" w:cs="Times New Roman Regular"/>
          <w:b/>
          <w:bCs/>
          <w:kern w:val="2"/>
          <w:sz w:val="32"/>
          <w:szCs w:val="32"/>
          <w:vertAlign w:val="baseline"/>
          <w:lang w:val="en-US" w:eastAsia="zh-CN" w:bidi="ar-SA"/>
        </w:rPr>
        <w:t>年</w:t>
      </w:r>
      <w:r>
        <w:rPr>
          <w:rFonts w:hint="eastAsia" w:ascii="Times New Roman Regular" w:hAnsi="Times New Roman Regular" w:eastAsia="仿宋" w:cs="Times New Roman Regular"/>
          <w:b/>
          <w:bCs/>
          <w:kern w:val="2"/>
          <w:sz w:val="32"/>
          <w:szCs w:val="32"/>
          <w:vertAlign w:val="baseline"/>
          <w:lang w:val="en-US" w:eastAsia="zh-CN" w:bidi="ar-SA"/>
        </w:rPr>
        <w:t>3</w:t>
      </w:r>
      <w:r>
        <w:rPr>
          <w:rFonts w:hint="default" w:ascii="Times New Roman Regular" w:hAnsi="Times New Roman Regular" w:eastAsia="仿宋" w:cs="Times New Roman Regular"/>
          <w:b/>
          <w:bCs/>
          <w:kern w:val="2"/>
          <w:sz w:val="32"/>
          <w:szCs w:val="32"/>
          <w:vertAlign w:val="baseline"/>
          <w:lang w:val="en-US" w:eastAsia="zh-CN" w:bidi="ar-SA"/>
        </w:rPr>
        <w:t xml:space="preserve"> 月  </w:t>
      </w:r>
      <w:r>
        <w:rPr>
          <w:rFonts w:hint="eastAsia" w:ascii="Times New Roman Regular" w:hAnsi="Times New Roman Regular" w:eastAsia="仿宋" w:cs="Times New Roman Regular"/>
          <w:b/>
          <w:bCs/>
          <w:kern w:val="2"/>
          <w:sz w:val="32"/>
          <w:szCs w:val="32"/>
          <w:vertAlign w:val="baseline"/>
          <w:lang w:val="en-US" w:eastAsia="zh-CN" w:bidi="ar-SA"/>
        </w:rPr>
        <w:t>25</w:t>
      </w:r>
      <w:r>
        <w:rPr>
          <w:rFonts w:hint="default" w:ascii="Times New Roman Regular" w:hAnsi="Times New Roman Regular" w:eastAsia="仿宋" w:cs="Times New Roman Regular"/>
          <w:b/>
          <w:bCs/>
          <w:kern w:val="2"/>
          <w:sz w:val="32"/>
          <w:szCs w:val="32"/>
          <w:vertAlign w:val="baseline"/>
          <w:lang w:val="en-US" w:eastAsia="zh-CN" w:bidi="ar-SA"/>
        </w:rPr>
        <w:t xml:space="preserve"> 日</w:t>
      </w:r>
    </w:p>
    <w:p>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sectPr>
          <w:headerReference r:id="rId49" w:type="first"/>
          <w:footerReference r:id="rId52" w:type="first"/>
          <w:headerReference r:id="rId47" w:type="default"/>
          <w:footerReference r:id="rId50" w:type="default"/>
          <w:headerReference r:id="rId48" w:type="even"/>
          <w:footerReference r:id="rId51"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重大事项第三方专项法律审查经费</w:t>
      </w:r>
      <w:r>
        <w:rPr>
          <w:rFonts w:ascii="方正小标宋简体" w:hAnsi="方正小标宋简体" w:eastAsia="方正小标宋简体" w:cs="方正小标宋简体"/>
          <w:sz w:val="44"/>
        </w:rPr>
        <w:t>项目绩效自评报告</w:t>
      </w:r>
    </w:p>
    <w:p>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对于涉及市政府重大项目推进、重大资产处置、重要历史遗留问题解决等事项，由专业第三方进行系统性法律审查并出具审查报告，为市政府领导决策提供参考。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对于涉及市政府重大项目推进、重大资产处置、重要历史遗留问题解决等事项，由专业第三方进行系统性法律审查并出具审查报告，为市政府领导决策提供参考。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对政府与社会资本合作、政府投资基金操作指引开展专项审查服务。</w:t>
      </w: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为系统掌握2025年重大事项第三方专项法律审查资金的使用情况和取得的成效，总结项目资金管理使用经验做法，进一步加强和规范项目资金管理，完善项目和资金管理办法，为预算编制和申报绩效目标、优化财政支出结构提供决策参考和依据。特开展财政项目支出绩效自评工作。自评范围包括2025年重大事项第三方专项法律审查项目绩效目标设立情况、财政资金落实、使用情况、项目管理、财务管理以及为完成绩效目标制定的资金管理制度和措施等办法、项目产出效益。</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5.6</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28</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5.6</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本项目资金年初预算数20万元，其中：财政拨款20万元，其他资金0万元。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本项目资金年度调整金额0万元，其中：财政拨款0万元，其他资金0万元。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本项目资金变动后预算数20万元，其中：财政拨款20万元，其他资金0万元。</w:t>
      </w:r>
      <w:r>
        <w:rPr>
          <w:rFonts w:hint="eastAsia" w:ascii="仿宋" w:hAnsi="仿宋" w:eastAsia="仿宋" w:cs="仿宋"/>
          <w:kern w:val="2"/>
          <w:sz w:val="32"/>
          <w:szCs w:val="32"/>
        </w:rPr>
        <w:cr/>
      </w:r>
      <w:r>
        <w:rPr>
          <w:rFonts w:hint="eastAsia" w:ascii="仿宋" w:hAnsi="仿宋" w:eastAsia="仿宋" w:cs="仿宋"/>
          <w:kern w:val="2"/>
          <w:sz w:val="32"/>
          <w:szCs w:val="32"/>
        </w:rPr>
        <w:t>本项目资金全年执行数5.6万元、执行率为28%，其中：财政拨款5.6万元，其他资金0万元。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1.资金到位率。该指标主要考核实际到位资金与预算资金的比率，用以反映和考核资金落实情况对项目实施的总体保障程度。重大事项第三方专项法律审查预算资金20万，实际拨入20万元，资金到位率100%。 2.预算执行率。该指标用以反映和考核资金的实际执行情况。本项目共到位财政资金20万元，上年结转结余资金0万元，实际支出财政资金5.6万元，预算执行率为28%。 3.资金使用合规性。重大事项第三方专项法律审查经费使用符合国家财经法规和财务管理制度以及有关专项资金管理办法的规定，资金的拨付有完整的审批程序和手续，符合项目预算批复。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1）开展专项审查次数(次)，</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2）出具审查报告份数(份)，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1）审查意见梳理问题的完整率(%)，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2）审查报告意见采纳率(%)，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7.5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1）报告出具时间(天)，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2）审查完成时间(天)，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1）开展专项审查费用(万元)，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2）出具每份审查报告费用(万元/份)，</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2.8</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1）化解重大历史遗留问题规范推进重大资产处置，</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有所提升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1）依法决策水平持续影响，</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依法</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提升</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（7）服务对象满意度指标</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1）市政府满意度(%)，</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85.3</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良</w:t>
      </w:r>
      <w:r>
        <w:rPr>
          <w:rFonts w:hint="default" w:ascii="Times New Roman Regular" w:hAnsi="Times New Roman Regular" w:eastAsia="仿宋" w:cs="Times New Roman Regular"/>
          <w:kern w:val="2"/>
          <w:sz w:val="32"/>
          <w:szCs w:val="32"/>
          <w:lang w:eastAsia="zh-CN"/>
        </w:rPr>
        <w:t>。</w:t>
      </w:r>
    </w:p>
    <w:p>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480" w:firstLineChars="200"/>
        <w:jc w:val="both"/>
        <w:textAlignment w:val="auto"/>
        <w:outlineLvl w:val="9"/>
        <w:rPr>
          <w:rFonts w:hint="default"/>
          <w:lang w:val="en-US" w:eastAsia="zh-CN"/>
        </w:rPr>
      </w:pPr>
      <w:r>
        <w:rPr>
          <w:rFonts w:hint="default"/>
          <w:lang w:val="en-US" w:eastAsia="zh-CN"/>
        </w:rPr>
        <w:t xml:space="preserve">    </w:t>
      </w:r>
      <w:r>
        <w:rPr>
          <w:rFonts w:hint="eastAsia" w:ascii="Times New Roman Regular" w:hAnsi="Times New Roman Regular" w:eastAsia="仿宋" w:cs="Times New Roman Regular"/>
          <w:kern w:val="2"/>
          <w:sz w:val="32"/>
          <w:szCs w:val="32"/>
          <w:lang w:val="en-US" w:eastAsia="zh-CN"/>
        </w:rPr>
        <w:t>根据市财政统一安排，压减指标，未能按年初安排执行预算。下一步积极与财政部门沟通，协调执行预算。</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不存在问题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不存在问题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Times New Roman Regular" w:hAnsi="Times New Roman Regular" w:eastAsia="仿宋" w:cs="Times New Roman Regular"/>
          <w:kern w:val="2"/>
          <w:sz w:val="32"/>
          <w:szCs w:val="32"/>
          <w:lang w:eastAsia="zh-CN"/>
        </w:rPr>
      </w:pPr>
      <w:r>
        <w:rPr>
          <w:rFonts w:hint="eastAsia" w:ascii="Times New Roman Regular" w:hAnsi="Times New Roman Regular" w:eastAsia="仿宋" w:cs="Times New Roman Regular"/>
          <w:kern w:val="2"/>
          <w:sz w:val="32"/>
          <w:szCs w:val="32"/>
          <w:lang w:eastAsia="zh-CN"/>
        </w:rPr>
        <w:t>严格按照本单位政府采购及资金支付相关规定，确保</w:t>
      </w:r>
      <w:r>
        <w:rPr>
          <w:rFonts w:hint="eastAsia" w:ascii="仿宋" w:hAnsi="仿宋" w:eastAsia="仿宋" w:cs="仿宋"/>
          <w:kern w:val="2"/>
          <w:sz w:val="32"/>
          <w:szCs w:val="32"/>
        </w:rPr>
        <w:t>符合国家财经法规和财务管理制度以及有关专项资金管理办法的规定，资金的拨付有完整的审批程序和手续，符合项目预算批复。</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2025年，本项目对于涉及市政府重大项目推进、重大资产处置、重要历史遗留问题解决等事项，由专业第三方进行系统性法律审查并出具审查报告，为市政府领导决策提供参考。在实际工作中开展专项审查2次，实际支出5.6万元。 对政府与社会资本合作、政府投资基金操作指引开展专项审查服务。</w:t>
      </w:r>
    </w:p>
    <w:p>
      <w:pPr>
        <w:pStyle w:val="2"/>
        <w:bidi w:val="0"/>
        <w:rPr>
          <w:rFonts w:hint="default"/>
          <w:lang w:val="en-US" w:eastAsia="zh-CN"/>
        </w:rPr>
      </w:pPr>
      <w:r>
        <w:rPr>
          <w:rFonts w:hint="eastAsia"/>
          <w:sz w:val="32"/>
          <w:szCs w:val="32"/>
          <w:lang w:val="en-US" w:eastAsia="zh-CN"/>
        </w:rPr>
        <w:t>六、其他需要说明的问题</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2026年，按照市政府党组会议要求，结合2025年实际执行情况，为减少重大事项可能遗留的问题，提升依法决策水平。申请财政预算重大事项专项法律审查资金，合计费用18万元；为选聘的辅助顾问计件付费，参加会议按《赤峰市本级重大行政决策专家咨询费管理办法》执行，估算费用18万元；单次审查费用不超过5万元。</w:t>
      </w:r>
    </w:p>
    <w:p>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仿宋" w:hAnsi="仿宋" w:eastAsia="仿宋" w:cs="仿宋"/>
          <w:color w:val="000000"/>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roma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iMjlhODE2OTFmN2M0ZTExNDY4ODdmMjU2OGJiOTk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0FE1937"/>
    <w:rsid w:val="41474C1E"/>
    <w:rsid w:val="41A437D2"/>
    <w:rsid w:val="43CB6518"/>
    <w:rsid w:val="43D60DED"/>
    <w:rsid w:val="44FE14DD"/>
    <w:rsid w:val="45613F95"/>
    <w:rsid w:val="47372A84"/>
    <w:rsid w:val="47FF2AAF"/>
    <w:rsid w:val="489777C4"/>
    <w:rsid w:val="49D54E93"/>
    <w:rsid w:val="49E56F9C"/>
    <w:rsid w:val="4A926FD7"/>
    <w:rsid w:val="4BD953CB"/>
    <w:rsid w:val="4CDF7E46"/>
    <w:rsid w:val="4D1675E0"/>
    <w:rsid w:val="4D4375BB"/>
    <w:rsid w:val="4D7B72EF"/>
    <w:rsid w:val="4DA46A85"/>
    <w:rsid w:val="4DD15688"/>
    <w:rsid w:val="4F070E89"/>
    <w:rsid w:val="4F374648"/>
    <w:rsid w:val="4F4451D2"/>
    <w:rsid w:val="50F639B0"/>
    <w:rsid w:val="51237888"/>
    <w:rsid w:val="51BA42A7"/>
    <w:rsid w:val="520F6E89"/>
    <w:rsid w:val="53203621"/>
    <w:rsid w:val="54C94B55"/>
    <w:rsid w:val="54DA00D3"/>
    <w:rsid w:val="54FB28C2"/>
    <w:rsid w:val="554E0C20"/>
    <w:rsid w:val="568F07C7"/>
    <w:rsid w:val="57252998"/>
    <w:rsid w:val="58DC24BC"/>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2F7F24"/>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5" Type="http://schemas.openxmlformats.org/officeDocument/2006/relationships/fontTable" Target="fontTable.xml"/><Relationship Id="rId54" Type="http://schemas.openxmlformats.org/officeDocument/2006/relationships/numbering" Target="numbering.xml"/><Relationship Id="rId53" Type="http://schemas.openxmlformats.org/officeDocument/2006/relationships/theme" Target="theme/theme1.xml"/><Relationship Id="rId52" Type="http://schemas.openxmlformats.org/officeDocument/2006/relationships/footer" Target="footer24.xml"/><Relationship Id="rId51" Type="http://schemas.openxmlformats.org/officeDocument/2006/relationships/footer" Target="footer23.xml"/><Relationship Id="rId50" Type="http://schemas.openxmlformats.org/officeDocument/2006/relationships/footer" Target="footer22.xml"/><Relationship Id="rId5" Type="http://schemas.openxmlformats.org/officeDocument/2006/relationships/header" Target="header1.xml"/><Relationship Id="rId49" Type="http://schemas.openxmlformats.org/officeDocument/2006/relationships/header" Target="header24.xml"/><Relationship Id="rId48" Type="http://schemas.openxmlformats.org/officeDocument/2006/relationships/header" Target="header23.xml"/><Relationship Id="rId47" Type="http://schemas.openxmlformats.org/officeDocument/2006/relationships/header" Target="header22.xml"/><Relationship Id="rId46" Type="http://schemas.openxmlformats.org/officeDocument/2006/relationships/footer" Target="footer21.xml"/><Relationship Id="rId45" Type="http://schemas.openxmlformats.org/officeDocument/2006/relationships/footer" Target="footer20.xml"/><Relationship Id="rId44" Type="http://schemas.openxmlformats.org/officeDocument/2006/relationships/footer" Target="footer19.xml"/><Relationship Id="rId43" Type="http://schemas.openxmlformats.org/officeDocument/2006/relationships/header" Target="header21.xml"/><Relationship Id="rId42" Type="http://schemas.openxmlformats.org/officeDocument/2006/relationships/header" Target="header20.xml"/><Relationship Id="rId41" Type="http://schemas.openxmlformats.org/officeDocument/2006/relationships/header" Target="header19.xml"/><Relationship Id="rId40" Type="http://schemas.openxmlformats.org/officeDocument/2006/relationships/footer" Target="footer18.xml"/><Relationship Id="rId4" Type="http://schemas.openxmlformats.org/officeDocument/2006/relationships/endnotes" Target="endnotes.xml"/><Relationship Id="rId39" Type="http://schemas.openxmlformats.org/officeDocument/2006/relationships/footer" Target="footer17.xml"/><Relationship Id="rId38" Type="http://schemas.openxmlformats.org/officeDocument/2006/relationships/footer" Target="footer16.xml"/><Relationship Id="rId37" Type="http://schemas.openxmlformats.org/officeDocument/2006/relationships/header" Target="header18.xml"/><Relationship Id="rId36" Type="http://schemas.openxmlformats.org/officeDocument/2006/relationships/header" Target="header17.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footer" Target="footer14.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footer" Target="footer10.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1766</Words>
  <Characters>1907</Characters>
  <Lines>16</Lines>
  <Paragraphs>4</Paragraphs>
  <TotalTime>0</TotalTime>
  <ScaleCrop>false</ScaleCrop>
  <LinksUpToDate>false</LinksUpToDate>
  <CharactersWithSpaces>1922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Administrator</cp:lastModifiedBy>
  <dcterms:modified xsi:type="dcterms:W3CDTF">2026-08-14T02:53:37Z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BF6F13E1974847978B46FDB99A193F05</vt:lpwstr>
  </property>
</Properties>
</file>