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2E25" w:rsidRDefault="00702E25">
      <w:pPr>
        <w:spacing w:line="360" w:lineRule="auto"/>
        <w:jc w:val="center"/>
        <w:rPr>
          <w:rFonts w:ascii="宋体" w:hAnsi="宋体"/>
          <w:sz w:val="24"/>
        </w:rPr>
      </w:pPr>
    </w:p>
    <w:p w:rsidR="00702E25" w:rsidRDefault="00702E25">
      <w:pPr>
        <w:spacing w:line="360" w:lineRule="auto"/>
        <w:jc w:val="center"/>
        <w:rPr>
          <w:rFonts w:ascii="宋体" w:hAnsi="宋体"/>
          <w:sz w:val="24"/>
        </w:rPr>
      </w:pPr>
    </w:p>
    <w:p w:rsidR="00702E25" w:rsidRDefault="00702E25">
      <w:pPr>
        <w:spacing w:line="360" w:lineRule="auto"/>
        <w:jc w:val="center"/>
        <w:rPr>
          <w:rFonts w:ascii="宋体" w:hAnsi="宋体"/>
          <w:sz w:val="24"/>
        </w:rPr>
      </w:pPr>
    </w:p>
    <w:p w:rsidR="00702E25" w:rsidRDefault="00702E25">
      <w:pPr>
        <w:spacing w:line="360" w:lineRule="auto"/>
        <w:jc w:val="center"/>
        <w:rPr>
          <w:rFonts w:ascii="宋体" w:hAnsi="宋体"/>
          <w:sz w:val="24"/>
        </w:rPr>
      </w:pPr>
    </w:p>
    <w:p w:rsidR="00702E25" w:rsidRDefault="00702E25">
      <w:pPr>
        <w:spacing w:line="360" w:lineRule="auto"/>
        <w:jc w:val="center"/>
        <w:rPr>
          <w:rFonts w:ascii="宋体" w:hAnsi="宋体"/>
          <w:b/>
          <w:bCs/>
          <w:sz w:val="52"/>
          <w:szCs w:val="52"/>
        </w:rPr>
      </w:pPr>
      <w:r>
        <w:rPr>
          <w:rFonts w:ascii="宋体" w:hAnsi="宋体"/>
          <w:b/>
          <w:bCs/>
          <w:sz w:val="52"/>
          <w:szCs w:val="52"/>
        </w:rPr>
        <w:t>2025</w:t>
      </w:r>
      <w:r>
        <w:rPr>
          <w:rFonts w:ascii="宋体" w:hAnsi="宋体" w:hint="eastAsia"/>
          <w:b/>
          <w:bCs/>
          <w:sz w:val="52"/>
          <w:szCs w:val="52"/>
        </w:rPr>
        <w:t>年度政协赤峰市委员会办公室</w:t>
      </w:r>
    </w:p>
    <w:p w:rsidR="00702E25" w:rsidRDefault="00702E25">
      <w:pPr>
        <w:spacing w:line="360" w:lineRule="auto"/>
        <w:jc w:val="center"/>
        <w:rPr>
          <w:rFonts w:ascii="宋体" w:hAnsi="宋体"/>
          <w:b/>
          <w:bCs/>
          <w:sz w:val="52"/>
          <w:szCs w:val="52"/>
        </w:rPr>
      </w:pPr>
      <w:r>
        <w:rPr>
          <w:rFonts w:ascii="宋体" w:hAnsi="宋体" w:hint="eastAsia"/>
          <w:b/>
          <w:bCs/>
          <w:sz w:val="52"/>
          <w:szCs w:val="52"/>
        </w:rPr>
        <w:t>公开报告</w:t>
      </w:r>
    </w:p>
    <w:p w:rsidR="00702E25" w:rsidRDefault="00702E25">
      <w:pPr>
        <w:spacing w:line="360" w:lineRule="auto"/>
        <w:jc w:val="center"/>
        <w:rPr>
          <w:rFonts w:ascii="宋体" w:hAnsi="宋体"/>
          <w:b/>
          <w:bCs/>
          <w:sz w:val="52"/>
          <w:szCs w:val="52"/>
        </w:rPr>
      </w:pPr>
    </w:p>
    <w:p w:rsidR="00702E25" w:rsidRDefault="00702E25">
      <w:pPr>
        <w:spacing w:line="360" w:lineRule="auto"/>
        <w:jc w:val="center"/>
        <w:rPr>
          <w:rFonts w:ascii="宋体" w:hAnsi="宋体"/>
          <w:b/>
          <w:bCs/>
          <w:sz w:val="52"/>
          <w:szCs w:val="52"/>
        </w:rPr>
      </w:pPr>
    </w:p>
    <w:p w:rsidR="006D3D1E" w:rsidRDefault="006D3D1E">
      <w:pPr>
        <w:spacing w:line="360" w:lineRule="auto"/>
        <w:jc w:val="center"/>
        <w:rPr>
          <w:rFonts w:ascii="宋体" w:hAnsi="宋体"/>
          <w:b/>
          <w:bCs/>
          <w:sz w:val="52"/>
          <w:szCs w:val="52"/>
        </w:rPr>
      </w:pPr>
    </w:p>
    <w:p w:rsidR="006D3D1E" w:rsidRDefault="006D3D1E">
      <w:pPr>
        <w:spacing w:line="360" w:lineRule="auto"/>
        <w:jc w:val="center"/>
        <w:rPr>
          <w:rFonts w:ascii="宋体" w:hAnsi="宋体" w:hint="eastAsia"/>
          <w:b/>
          <w:bCs/>
          <w:sz w:val="52"/>
          <w:szCs w:val="52"/>
        </w:rPr>
      </w:pPr>
    </w:p>
    <w:p w:rsidR="006D3D1E" w:rsidRDefault="006D3D1E" w:rsidP="006D3D1E">
      <w:pPr>
        <w:spacing w:line="360" w:lineRule="auto"/>
        <w:ind w:firstLineChars="300" w:firstLine="9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部门（单位）名称：政协赤峰市委员会办公室</w:t>
      </w:r>
    </w:p>
    <w:p w:rsidR="006D3D1E" w:rsidRDefault="006D3D1E" w:rsidP="006D3D1E">
      <w:pPr>
        <w:spacing w:line="360" w:lineRule="auto"/>
        <w:ind w:firstLineChars="300" w:firstLine="9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单位负责人：彭士明</w:t>
      </w:r>
    </w:p>
    <w:p w:rsidR="006D3D1E" w:rsidRDefault="006D3D1E" w:rsidP="006D3D1E">
      <w:pPr>
        <w:spacing w:line="360" w:lineRule="auto"/>
        <w:ind w:firstLineChars="300" w:firstLine="9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财务负责人：田萌</w:t>
      </w:r>
      <w:proofErr w:type="gramStart"/>
      <w:r>
        <w:rPr>
          <w:rFonts w:ascii="仿宋_GB2312" w:eastAsia="仿宋_GB2312" w:hAnsi="仿宋_GB2312" w:cs="仿宋_GB2312" w:hint="eastAsia"/>
          <w:sz w:val="32"/>
          <w:szCs w:val="32"/>
        </w:rPr>
        <w:t>萌</w:t>
      </w:r>
      <w:proofErr w:type="gramEnd"/>
    </w:p>
    <w:p w:rsidR="006D3D1E" w:rsidRDefault="006D3D1E" w:rsidP="006D3D1E">
      <w:pPr>
        <w:spacing w:line="360" w:lineRule="auto"/>
        <w:ind w:firstLineChars="300" w:firstLine="96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编制人：田萌</w:t>
      </w:r>
      <w:proofErr w:type="gramStart"/>
      <w:r>
        <w:rPr>
          <w:rFonts w:ascii="仿宋_GB2312" w:eastAsia="仿宋_GB2312" w:hAnsi="仿宋_GB2312" w:cs="仿宋_GB2312" w:hint="eastAsia"/>
          <w:sz w:val="32"/>
          <w:szCs w:val="32"/>
        </w:rPr>
        <w:t>萌</w:t>
      </w:r>
      <w:proofErr w:type="gramEnd"/>
    </w:p>
    <w:p w:rsidR="006D3D1E" w:rsidRDefault="006D3D1E" w:rsidP="006D3D1E">
      <w:pPr>
        <w:spacing w:line="360" w:lineRule="auto"/>
        <w:ind w:firstLineChars="300" w:firstLine="960"/>
        <w:jc w:val="left"/>
        <w:rPr>
          <w:rFonts w:ascii="宋体" w:hAnsi="宋体"/>
          <w:sz w:val="32"/>
          <w:szCs w:val="32"/>
        </w:rPr>
      </w:pPr>
      <w:bookmarkStart w:id="0" w:name="_GoBack"/>
      <w:bookmarkEnd w:id="0"/>
      <w:r>
        <w:rPr>
          <w:rFonts w:ascii="仿宋_GB2312" w:eastAsia="仿宋_GB2312" w:hAnsi="仿宋_GB2312" w:cs="仿宋_GB2312" w:hint="eastAsia"/>
          <w:sz w:val="32"/>
          <w:szCs w:val="32"/>
        </w:rPr>
        <w:t>报送日期：2026年8月</w:t>
      </w:r>
    </w:p>
    <w:p w:rsidR="00702E25" w:rsidRPr="006D3D1E" w:rsidRDefault="00702E25">
      <w:pPr>
        <w:ind w:firstLineChars="700" w:firstLine="2249"/>
        <w:rPr>
          <w:rFonts w:ascii="仿宋" w:eastAsia="仿宋" w:hAnsi="仿宋"/>
          <w:b/>
          <w:sz w:val="32"/>
          <w:szCs w:val="32"/>
        </w:rPr>
        <w:sectPr w:rsidR="00702E25" w:rsidRPr="006D3D1E" w:rsidSect="00702E25">
          <w:footerReference w:type="default" r:id="rId8"/>
          <w:pgSz w:w="11906" w:h="16838"/>
          <w:pgMar w:top="1440" w:right="1800" w:bottom="1440" w:left="1800" w:header="0" w:footer="720" w:gutter="0"/>
          <w:cols w:space="425"/>
          <w:docGrid w:type="lines" w:linePitch="312"/>
        </w:sectPr>
      </w:pPr>
    </w:p>
    <w:p w:rsidR="00C12F65" w:rsidRDefault="00702E25">
      <w:pPr>
        <w:pStyle w:val="MsoNormal0"/>
        <w:widowControl/>
        <w:spacing w:after="240"/>
        <w:jc w:val="center"/>
        <w:rPr>
          <w:rFonts w:eastAsia="Times New Roman"/>
          <w:kern w:val="0"/>
          <w:sz w:val="24"/>
        </w:rPr>
      </w:pPr>
      <w:bookmarkStart w:id="1" w:name="a000"/>
      <w:r>
        <w:rPr>
          <w:rFonts w:ascii="FangSong" w:eastAsia="FangSong" w:hAnsi="FangSong" w:cs="FangSong"/>
          <w:b/>
          <w:bCs/>
          <w:kern w:val="0"/>
          <w:sz w:val="48"/>
          <w:szCs w:val="48"/>
        </w:rPr>
        <w:lastRenderedPageBreak/>
        <w:t>目录</w:t>
      </w:r>
    </w:p>
    <w:p w:rsidR="00C12F65" w:rsidRDefault="00702E25">
      <w:pPr>
        <w:widowControl/>
        <w:spacing w:before="240" w:after="240"/>
        <w:jc w:val="left"/>
        <w:rPr>
          <w:rFonts w:eastAsia="Times New Roman"/>
          <w:kern w:val="0"/>
          <w:sz w:val="24"/>
        </w:rPr>
      </w:pPr>
      <w:r>
        <w:rPr>
          <w:rFonts w:eastAsia="Times New Roman"/>
          <w:b/>
          <w:bCs/>
          <w:kern w:val="0"/>
          <w:sz w:val="24"/>
        </w:rPr>
        <w:t> </w:t>
      </w:r>
    </w:p>
    <w:p w:rsidR="00C12F65" w:rsidRDefault="00702E25">
      <w:pPr>
        <w:pStyle w:val="MsoNormal0"/>
        <w:widowControl/>
        <w:spacing w:before="240" w:after="240" w:line="360" w:lineRule="auto"/>
        <w:jc w:val="left"/>
        <w:rPr>
          <w:rFonts w:eastAsia="Times New Roman"/>
          <w:kern w:val="0"/>
          <w:sz w:val="24"/>
        </w:rPr>
      </w:pPr>
      <w:r>
        <w:rPr>
          <w:rFonts w:ascii="黑体" w:eastAsia="黑体" w:hAnsi="黑体" w:cs="黑体"/>
          <w:kern w:val="0"/>
          <w:sz w:val="32"/>
          <w:szCs w:val="32"/>
        </w:rPr>
        <w:t>第一部分</w:t>
      </w:r>
      <w:r>
        <w:rPr>
          <w:rFonts w:ascii="Calibri" w:eastAsia="Calibri" w:hAnsi="Calibri" w:cs="Calibri"/>
          <w:kern w:val="0"/>
          <w:sz w:val="32"/>
          <w:szCs w:val="32"/>
        </w:rPr>
        <w:t> </w:t>
      </w:r>
      <w:r>
        <w:rPr>
          <w:rFonts w:ascii="黑体" w:eastAsia="黑体" w:hAnsi="黑体" w:cs="黑体"/>
          <w:kern w:val="0"/>
          <w:sz w:val="32"/>
          <w:szCs w:val="32"/>
        </w:rPr>
        <w:t xml:space="preserve"> 部门（单位）概况</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一、主要职能、职责</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二、部门（单位）机构设置及决算单位构成情况</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三、</w:t>
      </w:r>
      <w:r>
        <w:rPr>
          <w:rFonts w:eastAsia="Times New Roman"/>
          <w:kern w:val="0"/>
          <w:sz w:val="32"/>
          <w:szCs w:val="32"/>
        </w:rPr>
        <w:t>2025</w:t>
      </w:r>
      <w:r>
        <w:rPr>
          <w:rFonts w:ascii="FangSong" w:eastAsia="FangSong" w:hAnsi="FangSong" w:cs="FangSong"/>
          <w:kern w:val="0"/>
          <w:sz w:val="32"/>
          <w:szCs w:val="32"/>
        </w:rPr>
        <w:t>年度部门（单位）主要工作完成情况</w:t>
      </w:r>
    </w:p>
    <w:p w:rsidR="00C12F65" w:rsidRDefault="00702E25">
      <w:pPr>
        <w:pStyle w:val="MsoNormal0"/>
        <w:widowControl/>
        <w:spacing w:before="240" w:after="240" w:line="360" w:lineRule="auto"/>
        <w:jc w:val="left"/>
        <w:rPr>
          <w:rFonts w:eastAsia="Times New Roman"/>
          <w:kern w:val="0"/>
          <w:sz w:val="24"/>
        </w:rPr>
      </w:pPr>
      <w:r>
        <w:rPr>
          <w:rFonts w:ascii="黑体" w:eastAsia="黑体" w:hAnsi="黑体" w:cs="黑体"/>
          <w:kern w:val="0"/>
          <w:sz w:val="32"/>
          <w:szCs w:val="32"/>
        </w:rPr>
        <w:t>第二部分</w:t>
      </w:r>
      <w:r>
        <w:rPr>
          <w:rFonts w:ascii="Calibri" w:eastAsia="Calibri" w:hAnsi="Calibri" w:cs="Calibri"/>
          <w:kern w:val="0"/>
          <w:sz w:val="32"/>
          <w:szCs w:val="32"/>
        </w:rPr>
        <w:t> </w:t>
      </w:r>
      <w:r>
        <w:rPr>
          <w:rFonts w:ascii="黑体" w:eastAsia="黑体" w:hAnsi="黑体" w:cs="黑体"/>
          <w:kern w:val="0"/>
          <w:sz w:val="32"/>
          <w:szCs w:val="32"/>
        </w:rPr>
        <w:t xml:space="preserve"> 部门（单位）决算情况说明</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一、收入支出决算总体情况说明</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二、收入决算情况说明</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三、支出决算情况说明</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四、财政拨款收入支出决算总体情况说明</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五、一般公共预算财政拨款支出决算情况说明</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六、一般公共预算财政拨款基本支出决算情况说明</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七、一般公共预算财政拨款项目支出决算情况说明</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八、财政拨款“三公”经费支出决算情况说明</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九、政府性基金预算财政拨款支出决算情况说明</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十、国有资本经营预算财政拨款支出决算情况说明</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lastRenderedPageBreak/>
        <w:t>十一、机关运行经费（公用经费）支出决算情况说明</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十二、政府采购支出决算情况说明</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十三、国有资产占用情况说明</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十四、预算绩效情况说明</w:t>
      </w:r>
    </w:p>
    <w:p w:rsidR="00C12F65" w:rsidRDefault="00702E25">
      <w:pPr>
        <w:pStyle w:val="MsoNormal0"/>
        <w:widowControl/>
        <w:spacing w:before="240" w:after="240" w:line="360" w:lineRule="auto"/>
        <w:jc w:val="left"/>
        <w:rPr>
          <w:rFonts w:eastAsia="Times New Roman"/>
          <w:kern w:val="0"/>
          <w:sz w:val="24"/>
        </w:rPr>
      </w:pPr>
      <w:r>
        <w:rPr>
          <w:rFonts w:ascii="黑体" w:eastAsia="黑体" w:hAnsi="黑体" w:cs="黑体"/>
          <w:kern w:val="0"/>
          <w:sz w:val="32"/>
          <w:szCs w:val="32"/>
        </w:rPr>
        <w:t>第三部分</w:t>
      </w:r>
      <w:r>
        <w:rPr>
          <w:rFonts w:ascii="Calibri" w:eastAsia="Calibri" w:hAnsi="Calibri" w:cs="Calibri"/>
          <w:kern w:val="0"/>
          <w:sz w:val="32"/>
          <w:szCs w:val="32"/>
        </w:rPr>
        <w:t> </w:t>
      </w:r>
      <w:r>
        <w:rPr>
          <w:rFonts w:ascii="黑体" w:eastAsia="黑体" w:hAnsi="黑体" w:cs="黑体"/>
          <w:kern w:val="0"/>
          <w:sz w:val="32"/>
          <w:szCs w:val="32"/>
        </w:rPr>
        <w:t xml:space="preserve"> 名词解释</w:t>
      </w:r>
    </w:p>
    <w:p w:rsidR="00C12F65" w:rsidRDefault="00702E25">
      <w:pPr>
        <w:pStyle w:val="MsoNormal0"/>
        <w:widowControl/>
        <w:spacing w:before="240" w:after="240" w:line="360" w:lineRule="auto"/>
        <w:jc w:val="left"/>
        <w:rPr>
          <w:rFonts w:eastAsia="Times New Roman"/>
          <w:kern w:val="0"/>
          <w:sz w:val="24"/>
        </w:rPr>
      </w:pPr>
      <w:r>
        <w:rPr>
          <w:rFonts w:ascii="黑体" w:eastAsia="黑体" w:hAnsi="黑体" w:cs="黑体"/>
          <w:kern w:val="0"/>
          <w:sz w:val="32"/>
          <w:szCs w:val="32"/>
        </w:rPr>
        <w:t>第四部分</w:t>
      </w:r>
      <w:r>
        <w:rPr>
          <w:rFonts w:ascii="Calibri" w:eastAsia="Calibri" w:hAnsi="Calibri" w:cs="Calibri"/>
          <w:kern w:val="0"/>
          <w:sz w:val="32"/>
          <w:szCs w:val="32"/>
        </w:rPr>
        <w:t> </w:t>
      </w:r>
      <w:r>
        <w:rPr>
          <w:rFonts w:ascii="黑体" w:eastAsia="黑体" w:hAnsi="黑体" w:cs="黑体"/>
          <w:kern w:val="0"/>
          <w:sz w:val="32"/>
          <w:szCs w:val="32"/>
        </w:rPr>
        <w:t xml:space="preserve"> 决算公开联系方式及信息反馈渠道</w:t>
      </w:r>
    </w:p>
    <w:p w:rsidR="00C12F65" w:rsidRDefault="00702E25">
      <w:pPr>
        <w:pStyle w:val="MsoNormal0"/>
        <w:widowControl/>
        <w:spacing w:before="240" w:after="240" w:line="360" w:lineRule="auto"/>
        <w:jc w:val="left"/>
        <w:rPr>
          <w:rFonts w:eastAsia="Times New Roman"/>
          <w:kern w:val="0"/>
          <w:sz w:val="24"/>
        </w:rPr>
      </w:pPr>
      <w:r>
        <w:rPr>
          <w:rFonts w:ascii="黑体" w:eastAsia="黑体" w:hAnsi="黑体" w:cs="黑体"/>
          <w:kern w:val="0"/>
          <w:sz w:val="32"/>
          <w:szCs w:val="32"/>
        </w:rPr>
        <w:t>第五部分</w:t>
      </w:r>
      <w:r>
        <w:rPr>
          <w:rFonts w:ascii="Calibri" w:eastAsia="Calibri" w:hAnsi="Calibri" w:cs="Calibri"/>
          <w:kern w:val="0"/>
          <w:sz w:val="32"/>
          <w:szCs w:val="32"/>
        </w:rPr>
        <w:t> </w:t>
      </w:r>
      <w:r>
        <w:rPr>
          <w:rFonts w:ascii="黑体" w:eastAsia="黑体" w:hAnsi="黑体" w:cs="黑体"/>
          <w:kern w:val="0"/>
          <w:sz w:val="32"/>
          <w:szCs w:val="32"/>
        </w:rPr>
        <w:t xml:space="preserve"> 部门（单位）决算表</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一、收入支出决算总表</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二、收入决算表</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三、支出决算表</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四、财政拨款收入支出决算总表</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五、一般公共预算财政拨款支出决算表</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六、一般公共预算财政拨款基本支出决算明细表</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七、一般公共预算财政拨款项目支出决算明细表</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八、政府性基金预算财政拨款收入支出决算表</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九、国有资本经营预算财政拨款收入支出决算表</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lastRenderedPageBreak/>
        <w:t>十、财政拨款“三公”经费支出决算表</w:t>
      </w:r>
    </w:p>
    <w:p w:rsidR="00C12F65" w:rsidRDefault="00702E25">
      <w:pPr>
        <w:pStyle w:val="MsoNormal0"/>
        <w:widowControl/>
        <w:spacing w:before="240" w:after="240" w:line="360" w:lineRule="auto"/>
        <w:jc w:val="left"/>
        <w:rPr>
          <w:rFonts w:eastAsia="Times New Roman"/>
          <w:kern w:val="0"/>
          <w:sz w:val="24"/>
        </w:rPr>
      </w:pPr>
      <w:r>
        <w:rPr>
          <w:rFonts w:ascii="FangSong" w:eastAsia="FangSong" w:hAnsi="FangSong" w:cs="FangSong"/>
          <w:kern w:val="0"/>
          <w:sz w:val="32"/>
          <w:szCs w:val="32"/>
        </w:rPr>
        <w:t>十一、机关运行经费支出、国有资产占用情况及政府采购支出信息表</w:t>
      </w: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7F6EE7" w:rsidRDefault="007F6EE7">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C12F65" w:rsidRDefault="00702E25">
      <w:pPr>
        <w:pStyle w:val="2"/>
        <w:keepNext w:val="0"/>
        <w:keepLines w:val="0"/>
        <w:widowControl/>
        <w:spacing w:before="0" w:after="0" w:line="360" w:lineRule="auto"/>
        <w:jc w:val="center"/>
        <w:rPr>
          <w:rFonts w:ascii="Times New Roman" w:eastAsia="Times New Roman" w:hAnsi="Times New Roman"/>
          <w:kern w:val="0"/>
          <w:sz w:val="36"/>
          <w:szCs w:val="36"/>
        </w:rPr>
      </w:pPr>
      <w:r>
        <w:rPr>
          <w:rFonts w:ascii="方正小标宋简体" w:eastAsia="方正小标宋简体" w:hAnsi="方正小标宋简体" w:cs="方正小标宋简体"/>
          <w:b w:val="0"/>
          <w:bCs w:val="0"/>
          <w:kern w:val="0"/>
          <w:sz w:val="36"/>
          <w:szCs w:val="36"/>
        </w:rPr>
        <w:t>第一部分  部门（单位）概况</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lastRenderedPageBreak/>
        <w:t>一、主要职能、职责</w:t>
      </w:r>
    </w:p>
    <w:p w:rsidR="00702E25" w:rsidRDefault="00702E25" w:rsidP="00702E25">
      <w:pPr>
        <w:widowControl/>
        <w:spacing w:before="240" w:after="2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政协赤峰市委员会是赤峰人民爱国统一战线的组织，是中国共产党领导的多党合作和政治协商的机构，是我市政治生活中发扬社会主义民主的重要形式。政协赤峰市委员会办公室是政协赤峰市委员会的工作机构，承担为政协赤峰市委员会履行职能服务的各项工作。</w:t>
      </w:r>
    </w:p>
    <w:p w:rsidR="00C12F65" w:rsidRDefault="00702E25" w:rsidP="00702E25">
      <w:pPr>
        <w:pStyle w:val="MsoNormal0"/>
        <w:widowControl/>
        <w:spacing w:before="240" w:after="240" w:line="600" w:lineRule="atLeast"/>
        <w:ind w:firstLine="640"/>
        <w:jc w:val="left"/>
        <w:rPr>
          <w:rFonts w:eastAsia="Times New Roman"/>
          <w:kern w:val="0"/>
          <w:sz w:val="24"/>
        </w:rPr>
      </w:pPr>
      <w:r>
        <w:rPr>
          <w:rFonts w:ascii="仿宋_GB2312" w:eastAsia="仿宋_GB2312" w:hAnsi="仿宋_GB2312" w:cs="仿宋_GB2312" w:hint="eastAsia"/>
          <w:kern w:val="0"/>
          <w:sz w:val="32"/>
          <w:szCs w:val="32"/>
        </w:rPr>
        <w:t>主要职能是：政治协商，民主监督，组织参加本会各个党派、团体和各族各界人士参政议政。组织全体市政协委员及旗县区政协组织开展参政议政工作。</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二、部门（单位）机构设置及决算单位构成情况</w:t>
      </w:r>
    </w:p>
    <w:p w:rsidR="00702E25" w:rsidRDefault="00702E25" w:rsidP="00702E25">
      <w:pPr>
        <w:widowControl/>
        <w:spacing w:before="240" w:after="2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 xml:space="preserve">    1.根据部门（单位）职责分工，本部门内设机构包括办公室和八个专门委员会构成。八个专门委员会是：提案委员会、经济和农牧委员会、教科卫体委员会、文化文史和学习委员会、民族宗教三胞联谊委员会、人口和资源环境委员会、社会和法制委员会、委员学习和联络委员会。无独立核算的下属单位。</w:t>
      </w:r>
    </w:p>
    <w:p w:rsidR="00702E25" w:rsidRDefault="00702E25" w:rsidP="00702E25">
      <w:pPr>
        <w:widowControl/>
        <w:spacing w:before="240" w:after="240"/>
        <w:ind w:firstLine="49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2.从决算单位构成看，纳入本部门决算编制范围的预算单位共计1家，具体包括：政协赤峰市委员会办公室部门本级。详细情况见表：</w:t>
      </w:r>
    </w:p>
    <w:tbl>
      <w:tblPr>
        <w:tblW w:w="8773" w:type="dxa"/>
        <w:jc w:val="center"/>
        <w:tblCellSpacing w:w="15" w:type="dxa"/>
        <w:tblBorders>
          <w:top w:val="outset" w:sz="6" w:space="0" w:color="808080"/>
          <w:left w:val="outset" w:sz="6" w:space="0" w:color="808080"/>
          <w:bottom w:val="outset" w:sz="6" w:space="0" w:color="808080"/>
          <w:right w:val="outset" w:sz="6" w:space="0" w:color="808080"/>
        </w:tblBorders>
        <w:tblLayout w:type="fixed"/>
        <w:tblCellMar>
          <w:top w:w="15" w:type="dxa"/>
          <w:left w:w="15" w:type="dxa"/>
          <w:bottom w:w="15" w:type="dxa"/>
          <w:right w:w="15" w:type="dxa"/>
        </w:tblCellMar>
        <w:tblLook w:val="04A0" w:firstRow="1" w:lastRow="0" w:firstColumn="1" w:lastColumn="0" w:noHBand="0" w:noVBand="1"/>
      </w:tblPr>
      <w:tblGrid>
        <w:gridCol w:w="943"/>
        <w:gridCol w:w="4536"/>
        <w:gridCol w:w="3294"/>
      </w:tblGrid>
      <w:tr w:rsidR="00702E25" w:rsidTr="00702E25">
        <w:trPr>
          <w:trHeight w:val="759"/>
          <w:tblHeader/>
          <w:tblCellSpacing w:w="15" w:type="dxa"/>
          <w:jc w:val="center"/>
        </w:trPr>
        <w:tc>
          <w:tcPr>
            <w:tcW w:w="89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02E25" w:rsidRDefault="00702E25" w:rsidP="00702E25">
            <w:pPr>
              <w:widowControl/>
              <w:spacing w:before="240" w:after="2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序号</w:t>
            </w:r>
          </w:p>
        </w:tc>
        <w:tc>
          <w:tcPr>
            <w:tcW w:w="45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02E25" w:rsidRDefault="00702E25" w:rsidP="00702E25">
            <w:pPr>
              <w:widowControl/>
              <w:spacing w:before="240" w:after="2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单位名称</w:t>
            </w:r>
          </w:p>
        </w:tc>
        <w:tc>
          <w:tcPr>
            <w:tcW w:w="324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02E25" w:rsidRDefault="00702E25" w:rsidP="00702E25">
            <w:pPr>
              <w:widowControl/>
              <w:spacing w:before="240" w:after="2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单位性质</w:t>
            </w:r>
          </w:p>
        </w:tc>
      </w:tr>
      <w:tr w:rsidR="00702E25" w:rsidTr="00702E25">
        <w:trPr>
          <w:trHeight w:val="893"/>
          <w:tblCellSpacing w:w="15" w:type="dxa"/>
          <w:jc w:val="center"/>
        </w:trPr>
        <w:tc>
          <w:tcPr>
            <w:tcW w:w="898"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02E25" w:rsidRDefault="00702E25" w:rsidP="00702E25">
            <w:pPr>
              <w:widowControl/>
              <w:spacing w:before="240" w:after="2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w:t>
            </w:r>
          </w:p>
        </w:tc>
        <w:tc>
          <w:tcPr>
            <w:tcW w:w="4506"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02E25" w:rsidRDefault="00702E25" w:rsidP="00702E25">
            <w:pPr>
              <w:widowControl/>
              <w:spacing w:before="240" w:after="2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政协赤峰市委员会办公室</w:t>
            </w:r>
          </w:p>
        </w:tc>
        <w:tc>
          <w:tcPr>
            <w:tcW w:w="3249" w:type="dxa"/>
            <w:tcBorders>
              <w:top w:val="inset" w:sz="6" w:space="0" w:color="808080"/>
              <w:left w:val="inset" w:sz="6" w:space="0" w:color="808080"/>
              <w:bottom w:val="inset" w:sz="6" w:space="0" w:color="808080"/>
              <w:right w:val="inset" w:sz="6" w:space="0" w:color="808080"/>
            </w:tcBorders>
            <w:tcMar>
              <w:top w:w="22" w:type="dxa"/>
              <w:left w:w="22" w:type="dxa"/>
              <w:bottom w:w="22" w:type="dxa"/>
              <w:right w:w="22" w:type="dxa"/>
            </w:tcMar>
            <w:vAlign w:val="center"/>
          </w:tcPr>
          <w:p w:rsidR="00702E25" w:rsidRDefault="00702E25" w:rsidP="00702E25">
            <w:pPr>
              <w:widowControl/>
              <w:spacing w:before="240" w:after="2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财政拨款的行政单位</w:t>
            </w:r>
          </w:p>
        </w:tc>
      </w:tr>
    </w:tbl>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三、</w:t>
      </w:r>
      <w:r>
        <w:rPr>
          <w:rFonts w:eastAsia="Times New Roman"/>
          <w:b/>
          <w:bCs/>
          <w:kern w:val="0"/>
          <w:sz w:val="32"/>
          <w:szCs w:val="32"/>
        </w:rPr>
        <w:t>2025</w:t>
      </w:r>
      <w:r>
        <w:rPr>
          <w:rFonts w:ascii="黑体" w:eastAsia="黑体" w:hAnsi="黑体" w:cs="黑体"/>
          <w:b/>
          <w:bCs/>
          <w:kern w:val="0"/>
          <w:sz w:val="32"/>
          <w:szCs w:val="32"/>
        </w:rPr>
        <w:t>年度部门（单位）主要工作完成情况</w:t>
      </w:r>
    </w:p>
    <w:p w:rsidR="00702E25" w:rsidRDefault="00702E25" w:rsidP="00702E25">
      <w:pPr>
        <w:widowControl/>
        <w:spacing w:before="240" w:after="240"/>
        <w:ind w:firstLineChars="200" w:firstLine="640"/>
        <w:rPr>
          <w:rFonts w:eastAsia="仿宋_GB2312"/>
          <w:kern w:val="0"/>
          <w:sz w:val="24"/>
        </w:rPr>
      </w:pPr>
      <w:r>
        <w:rPr>
          <w:rFonts w:ascii="仿宋_GB2312" w:eastAsia="仿宋_GB2312" w:hAnsi="仿宋_GB2312" w:cs="仿宋_GB2312" w:hint="eastAsia"/>
          <w:kern w:val="0"/>
          <w:sz w:val="32"/>
          <w:szCs w:val="32"/>
        </w:rPr>
        <w:t>政协赤峰市委员会办公室</w:t>
      </w:r>
      <w:r w:rsidR="00217CF9">
        <w:rPr>
          <w:rFonts w:ascii="仿宋_GB2312" w:eastAsia="仿宋_GB2312" w:hAnsi="仿宋_GB2312" w:cs="仿宋_GB2312" w:hint="eastAsia"/>
          <w:kern w:val="0"/>
          <w:sz w:val="32"/>
          <w:szCs w:val="32"/>
        </w:rPr>
        <w:t>办公室</w:t>
      </w:r>
      <w:r>
        <w:rPr>
          <w:rFonts w:ascii="仿宋_GB2312" w:eastAsia="仿宋_GB2312" w:hAnsi="仿宋_GB2312" w:cs="仿宋_GB2312" w:hint="eastAsia"/>
          <w:kern w:val="0"/>
          <w:sz w:val="32"/>
          <w:szCs w:val="32"/>
        </w:rPr>
        <w:t>2025年坚持以习近平新时代中国特色社会主义思想为指导，深入学习贯彻习近平总书记关于加强和改进人民政协工作的重要思想，牢牢把握铸牢中华民族共同体意识工作主线，紧紧围绕全市中心大局，认真履行政治协商、民主监督、参政议政职能，持续提升履职质效，有力推动了全市政协事业高质量发展。一是强化政治引领，筑牢思想根基。二是聚焦中心工作，精准建言资政。三是广泛凝聚共识，汇聚发展合力。四是深化创新实践，拓展履职平台。五是加强自身建设，提升</w:t>
      </w:r>
      <w:proofErr w:type="gramStart"/>
      <w:r>
        <w:rPr>
          <w:rFonts w:ascii="仿宋_GB2312" w:eastAsia="仿宋_GB2312" w:hAnsi="仿宋_GB2312" w:cs="仿宋_GB2312" w:hint="eastAsia"/>
          <w:kern w:val="0"/>
          <w:sz w:val="32"/>
          <w:szCs w:val="32"/>
        </w:rPr>
        <w:t>履</w:t>
      </w:r>
      <w:proofErr w:type="gramEnd"/>
      <w:r>
        <w:rPr>
          <w:rFonts w:ascii="仿宋_GB2312" w:eastAsia="仿宋_GB2312" w:hAnsi="仿宋_GB2312" w:cs="仿宋_GB2312" w:hint="eastAsia"/>
          <w:kern w:val="0"/>
          <w:sz w:val="32"/>
          <w:szCs w:val="32"/>
        </w:rPr>
        <w:t>职能力。</w:t>
      </w:r>
    </w:p>
    <w:p w:rsidR="00C12F65" w:rsidRDefault="00702E25">
      <w:pPr>
        <w:pStyle w:val="2"/>
        <w:keepNext w:val="0"/>
        <w:keepLines w:val="0"/>
        <w:widowControl/>
        <w:spacing w:before="0" w:after="0" w:line="360" w:lineRule="auto"/>
        <w:jc w:val="center"/>
        <w:rPr>
          <w:rFonts w:ascii="Times New Roman" w:eastAsia="Times New Roman" w:hAnsi="Times New Roman"/>
          <w:kern w:val="0"/>
          <w:sz w:val="36"/>
          <w:szCs w:val="36"/>
        </w:rPr>
      </w:pPr>
      <w:r>
        <w:rPr>
          <w:rFonts w:ascii="方正小标宋简体" w:eastAsia="方正小标宋简体" w:hAnsi="方正小标宋简体" w:cs="方正小标宋简体"/>
          <w:kern w:val="0"/>
          <w:sz w:val="36"/>
          <w:szCs w:val="36"/>
        </w:rPr>
        <w:t>第二部分</w:t>
      </w:r>
      <w:r>
        <w:rPr>
          <w:rFonts w:ascii="Times New Roman" w:eastAsia="Times New Roman" w:hAnsi="Times New Roman"/>
          <w:kern w:val="0"/>
          <w:sz w:val="36"/>
          <w:szCs w:val="36"/>
        </w:rPr>
        <w:t> </w:t>
      </w:r>
      <w:r>
        <w:rPr>
          <w:rFonts w:ascii="方正小标宋简体" w:eastAsia="方正小标宋简体" w:hAnsi="方正小标宋简体" w:cs="方正小标宋简体"/>
          <w:b w:val="0"/>
          <w:bCs w:val="0"/>
          <w:kern w:val="0"/>
          <w:sz w:val="36"/>
          <w:szCs w:val="36"/>
        </w:rPr>
        <w:t xml:space="preserve"> </w:t>
      </w:r>
      <w:r>
        <w:rPr>
          <w:rFonts w:ascii="方正小标宋简体" w:eastAsia="方正小标宋简体" w:hAnsi="方正小标宋简体" w:cs="方正小标宋简体"/>
          <w:kern w:val="0"/>
          <w:sz w:val="36"/>
          <w:szCs w:val="36"/>
        </w:rPr>
        <w:t>部门（单位）决算情况说明</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一、收入支出决算总体情况说明</w:t>
      </w:r>
    </w:p>
    <w:p w:rsidR="00C12F65" w:rsidRPr="00702E25"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702E25">
        <w:rPr>
          <w:rFonts w:ascii="仿宋_GB2312" w:eastAsia="仿宋_GB2312" w:hAnsi="仿宋_GB2312" w:cs="仿宋_GB2312"/>
          <w:kern w:val="0"/>
          <w:sz w:val="32"/>
          <w:szCs w:val="32"/>
        </w:rPr>
        <w:t>政协赤峰市委员会办公室 2025年度收入、支出决算总计均为 1945.46万元。与年初预算相比，收、支总计各增加160.54万元，增长8.99%，变动原因：</w:t>
      </w:r>
      <w:r>
        <w:rPr>
          <w:rFonts w:ascii="仿宋_GB2312" w:eastAsia="仿宋_GB2312" w:hAnsi="仿宋_GB2312" w:cs="仿宋_GB2312" w:hint="eastAsia"/>
          <w:kern w:val="0"/>
          <w:sz w:val="32"/>
          <w:szCs w:val="32"/>
        </w:rPr>
        <w:t>人员增加，人员工资增加，由于工作实际，追加文史工作专项经费等项目；</w:t>
      </w:r>
      <w:r w:rsidRPr="00702E25">
        <w:rPr>
          <w:rFonts w:ascii="仿宋_GB2312" w:eastAsia="仿宋_GB2312" w:hAnsi="仿宋_GB2312" w:cs="仿宋_GB2312"/>
          <w:kern w:val="0"/>
          <w:sz w:val="32"/>
          <w:szCs w:val="32"/>
        </w:rPr>
        <w:lastRenderedPageBreak/>
        <w:t>与上年决算相比，收、支总计各减少326.95万元，下降14.39%。其中：</w:t>
      </w:r>
    </w:p>
    <w:p w:rsidR="00C12F65" w:rsidRDefault="00702E25">
      <w:pPr>
        <w:pStyle w:val="MsoNormal0"/>
        <w:widowControl/>
        <w:spacing w:before="240" w:after="240" w:line="560" w:lineRule="atLeast"/>
        <w:ind w:firstLine="643"/>
        <w:jc w:val="left"/>
        <w:rPr>
          <w:rFonts w:eastAsia="Times New Roman"/>
          <w:kern w:val="0"/>
          <w:sz w:val="24"/>
        </w:rPr>
      </w:pPr>
      <w:r>
        <w:rPr>
          <w:rFonts w:ascii="KaiTi" w:eastAsia="KaiTi" w:hAnsi="KaiTi" w:cs="KaiTi"/>
          <w:b/>
          <w:bCs/>
          <w:kern w:val="0"/>
          <w:sz w:val="32"/>
          <w:szCs w:val="32"/>
        </w:rPr>
        <w:t>（一）收入决算总计</w:t>
      </w:r>
      <w:r w:rsidRPr="00217CF9">
        <w:rPr>
          <w:rFonts w:eastAsia="Times New Roman"/>
          <w:b/>
          <w:bCs/>
          <w:kern w:val="0"/>
          <w:sz w:val="32"/>
          <w:szCs w:val="32"/>
        </w:rPr>
        <w:t xml:space="preserve"> 1945.46</w:t>
      </w:r>
      <w:r>
        <w:rPr>
          <w:rFonts w:ascii="KaiTi" w:eastAsia="KaiTi" w:hAnsi="KaiTi" w:cs="KaiTi"/>
          <w:b/>
          <w:bCs/>
          <w:kern w:val="0"/>
          <w:sz w:val="32"/>
          <w:szCs w:val="32"/>
        </w:rPr>
        <w:t>万元。包括：</w:t>
      </w:r>
    </w:p>
    <w:p w:rsidR="00C12F65" w:rsidRPr="00702E25"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702E25">
        <w:rPr>
          <w:rFonts w:ascii="仿宋_GB2312" w:eastAsia="仿宋_GB2312" w:hAnsi="仿宋_GB2312" w:cs="仿宋_GB2312"/>
          <w:kern w:val="0"/>
          <w:sz w:val="32"/>
          <w:szCs w:val="32"/>
        </w:rPr>
        <w:t>1.本年收入决算合计 1927.70万元。与上年决算相比，减少327.66万元，下降14.53%，变动原因：</w:t>
      </w:r>
      <w:r>
        <w:rPr>
          <w:rFonts w:ascii="仿宋_GB2312" w:eastAsia="仿宋_GB2312" w:hAnsi="仿宋_GB2312" w:cs="仿宋_GB2312" w:hint="eastAsia"/>
          <w:kern w:val="0"/>
          <w:sz w:val="32"/>
          <w:szCs w:val="32"/>
        </w:rPr>
        <w:t>根据零基预算原则，较上年度项目经费减少。</w:t>
      </w:r>
    </w:p>
    <w:p w:rsidR="00C12F65" w:rsidRDefault="00702E25">
      <w:pPr>
        <w:pStyle w:val="MsoNormal0"/>
        <w:widowControl/>
        <w:spacing w:before="240" w:after="240" w:line="560" w:lineRule="atLeast"/>
        <w:ind w:firstLine="640"/>
        <w:jc w:val="left"/>
        <w:rPr>
          <w:rFonts w:eastAsia="Times New Roman"/>
          <w:kern w:val="0"/>
          <w:sz w:val="24"/>
        </w:rPr>
      </w:pPr>
      <w:r w:rsidRPr="00702E25">
        <w:rPr>
          <w:rFonts w:ascii="仿宋_GB2312" w:eastAsia="仿宋_GB2312" w:hAnsi="仿宋_GB2312" w:cs="仿宋_GB2312"/>
          <w:kern w:val="0"/>
          <w:sz w:val="32"/>
          <w:szCs w:val="32"/>
        </w:rPr>
        <w:t>2.使用非财政拨款结余（含专用结余） 0万元。与上年决算相比，增加0万元，增长0%，变动原因：</w:t>
      </w:r>
      <w:r>
        <w:rPr>
          <w:rFonts w:ascii="仿宋_GB2312" w:eastAsia="仿宋_GB2312" w:hAnsi="仿宋_GB2312" w:cs="仿宋_GB2312" w:hint="eastAsia"/>
          <w:kern w:val="0"/>
          <w:sz w:val="32"/>
          <w:szCs w:val="32"/>
        </w:rPr>
        <w:t>本部门不存在非财政拨款结余和专用结余</w:t>
      </w:r>
      <w:r>
        <w:rPr>
          <w:rFonts w:ascii="FangSong" w:eastAsia="FangSong" w:hAnsi="FangSong" w:cs="FangSong"/>
          <w:kern w:val="0"/>
          <w:sz w:val="32"/>
          <w:szCs w:val="32"/>
        </w:rPr>
        <w:t>。</w:t>
      </w:r>
    </w:p>
    <w:p w:rsidR="00C12F65" w:rsidRPr="00702E25"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702E25">
        <w:rPr>
          <w:rFonts w:ascii="仿宋_GB2312" w:eastAsia="仿宋_GB2312" w:hAnsi="仿宋_GB2312" w:cs="仿宋_GB2312"/>
          <w:kern w:val="0"/>
          <w:sz w:val="32"/>
          <w:szCs w:val="32"/>
        </w:rPr>
        <w:t>3.年初结转和结余 17.76万元。与上年决算相比，增加0.71万元，增长</w:t>
      </w:r>
      <w:r w:rsidRPr="00702E25">
        <w:rPr>
          <w:rFonts w:ascii="Calibri" w:eastAsia="仿宋_GB2312" w:hAnsi="Calibri" w:cs="Calibri"/>
          <w:kern w:val="0"/>
          <w:sz w:val="32"/>
          <w:szCs w:val="32"/>
        </w:rPr>
        <w:t> </w:t>
      </w:r>
      <w:r w:rsidRPr="00702E25">
        <w:rPr>
          <w:rFonts w:ascii="仿宋_GB2312" w:eastAsia="仿宋_GB2312" w:hAnsi="仿宋_GB2312" w:cs="仿宋_GB2312"/>
          <w:kern w:val="0"/>
          <w:sz w:val="32"/>
          <w:szCs w:val="32"/>
        </w:rPr>
        <w:t>4.19%，变动原因：</w:t>
      </w:r>
      <w:r>
        <w:rPr>
          <w:rFonts w:ascii="仿宋_GB2312" w:eastAsia="仿宋_GB2312" w:hAnsi="仿宋_GB2312" w:cs="仿宋_GB2312" w:hint="eastAsia"/>
          <w:kern w:val="0"/>
          <w:sz w:val="32"/>
          <w:szCs w:val="32"/>
        </w:rPr>
        <w:t>自治区委员活动经费年初结转增加</w:t>
      </w:r>
      <w:r w:rsidRPr="00702E25">
        <w:rPr>
          <w:rFonts w:ascii="仿宋_GB2312" w:eastAsia="仿宋_GB2312" w:hAnsi="仿宋_GB2312" w:cs="仿宋_GB2312"/>
          <w:kern w:val="0"/>
          <w:sz w:val="32"/>
          <w:szCs w:val="32"/>
        </w:rPr>
        <w:t>。</w:t>
      </w:r>
    </w:p>
    <w:p w:rsidR="00C12F65" w:rsidRDefault="00702E25">
      <w:pPr>
        <w:pStyle w:val="MsoNormal0"/>
        <w:widowControl/>
        <w:spacing w:before="240" w:after="240" w:line="560" w:lineRule="atLeast"/>
        <w:ind w:firstLine="643"/>
        <w:jc w:val="left"/>
        <w:rPr>
          <w:rFonts w:eastAsia="Times New Roman"/>
          <w:kern w:val="0"/>
          <w:sz w:val="24"/>
        </w:rPr>
      </w:pPr>
      <w:r>
        <w:rPr>
          <w:rFonts w:ascii="KaiTi" w:eastAsia="KaiTi" w:hAnsi="KaiTi" w:cs="KaiTi"/>
          <w:b/>
          <w:bCs/>
          <w:kern w:val="0"/>
          <w:sz w:val="32"/>
          <w:szCs w:val="32"/>
        </w:rPr>
        <w:t>（二）支出决算总计</w:t>
      </w:r>
      <w:r w:rsidRPr="00217CF9">
        <w:rPr>
          <w:rFonts w:eastAsia="Times New Roman"/>
          <w:b/>
          <w:bCs/>
          <w:kern w:val="0"/>
          <w:sz w:val="32"/>
          <w:szCs w:val="32"/>
        </w:rPr>
        <w:t xml:space="preserve"> 1945.46</w:t>
      </w:r>
      <w:r>
        <w:rPr>
          <w:rFonts w:ascii="KaiTi" w:eastAsia="KaiTi" w:hAnsi="KaiTi" w:cs="KaiTi"/>
          <w:b/>
          <w:bCs/>
          <w:kern w:val="0"/>
          <w:sz w:val="32"/>
          <w:szCs w:val="32"/>
        </w:rPr>
        <w:t>万元。包括：</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1.本年支出决算合计 1928.57万元。与上年决算相比，</w:t>
      </w:r>
      <w:r w:rsidR="00A82490" w:rsidRPr="00A82490">
        <w:rPr>
          <w:rFonts w:ascii="仿宋_GB2312" w:eastAsia="仿宋_GB2312" w:hAnsi="仿宋_GB2312" w:cs="仿宋_GB2312"/>
          <w:kern w:val="0"/>
          <w:sz w:val="32"/>
          <w:szCs w:val="32"/>
        </w:rPr>
        <w:t>减少</w:t>
      </w:r>
      <w:r w:rsidRPr="00A82490">
        <w:rPr>
          <w:rFonts w:ascii="仿宋_GB2312" w:eastAsia="仿宋_GB2312" w:hAnsi="仿宋_GB2312" w:cs="仿宋_GB2312"/>
          <w:kern w:val="0"/>
          <w:sz w:val="32"/>
          <w:szCs w:val="32"/>
        </w:rPr>
        <w:t>326.07万元，下降14.46%，变动原因：</w:t>
      </w:r>
      <w:r w:rsidR="00A82490">
        <w:rPr>
          <w:rFonts w:ascii="仿宋_GB2312" w:eastAsia="仿宋_GB2312" w:hAnsi="仿宋_GB2312" w:cs="仿宋_GB2312" w:hint="eastAsia"/>
          <w:kern w:val="0"/>
          <w:sz w:val="32"/>
          <w:szCs w:val="32"/>
        </w:rPr>
        <w:t>较上年度项目经费减少</w:t>
      </w:r>
      <w:r w:rsidRPr="00A82490">
        <w:rPr>
          <w:rFonts w:ascii="仿宋_GB2312" w:eastAsia="仿宋_GB2312" w:hAnsi="仿宋_GB2312" w:cs="仿宋_GB2312"/>
          <w:kern w:val="0"/>
          <w:sz w:val="32"/>
          <w:szCs w:val="32"/>
        </w:rPr>
        <w:t>。</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2.结余分配 0万元。结余分配事项：</w:t>
      </w:r>
      <w:r w:rsidR="00A82490">
        <w:rPr>
          <w:rFonts w:ascii="仿宋_GB2312" w:eastAsia="仿宋_GB2312" w:hAnsi="仿宋_GB2312" w:cs="仿宋_GB2312" w:hint="eastAsia"/>
          <w:kern w:val="0"/>
          <w:sz w:val="32"/>
          <w:szCs w:val="32"/>
        </w:rPr>
        <w:t>本部门不存在结余分配</w:t>
      </w:r>
      <w:r w:rsidRPr="00A82490">
        <w:rPr>
          <w:rFonts w:ascii="仿宋_GB2312" w:eastAsia="仿宋_GB2312" w:hAnsi="仿宋_GB2312" w:cs="仿宋_GB2312"/>
          <w:kern w:val="0"/>
          <w:sz w:val="32"/>
          <w:szCs w:val="32"/>
        </w:rPr>
        <w:t>。与上年决算相比，增加0万元，增长0%，变动原因：</w:t>
      </w:r>
      <w:r w:rsidR="00A82490">
        <w:rPr>
          <w:rFonts w:ascii="仿宋_GB2312" w:eastAsia="仿宋_GB2312" w:hAnsi="仿宋_GB2312" w:cs="仿宋_GB2312" w:hint="eastAsia"/>
          <w:kern w:val="0"/>
          <w:sz w:val="32"/>
          <w:szCs w:val="32"/>
        </w:rPr>
        <w:t>本部门不存在结余分配。</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lastRenderedPageBreak/>
        <w:t>3.年末结转和结余 16.88万元。结转和结余事项：</w:t>
      </w:r>
      <w:r w:rsidR="00A82490">
        <w:rPr>
          <w:rFonts w:ascii="仿宋_GB2312" w:eastAsia="仿宋_GB2312" w:hAnsi="仿宋_GB2312" w:cs="仿宋_GB2312" w:hint="eastAsia"/>
          <w:kern w:val="0"/>
          <w:sz w:val="32"/>
          <w:szCs w:val="32"/>
        </w:rPr>
        <w:t>自治区委员活动经费。</w:t>
      </w:r>
      <w:r w:rsidRPr="00A82490">
        <w:rPr>
          <w:rFonts w:ascii="仿宋_GB2312" w:eastAsia="仿宋_GB2312" w:hAnsi="仿宋_GB2312" w:cs="仿宋_GB2312"/>
          <w:kern w:val="0"/>
          <w:sz w:val="32"/>
          <w:szCs w:val="32"/>
        </w:rPr>
        <w:t>与上年决算相比，减少0.88万元，</w:t>
      </w:r>
      <w:r w:rsidR="00A82490" w:rsidRPr="00A82490">
        <w:rPr>
          <w:rFonts w:ascii="仿宋_GB2312" w:eastAsia="仿宋_GB2312" w:hAnsi="仿宋_GB2312" w:cs="仿宋_GB2312"/>
          <w:kern w:val="0"/>
          <w:sz w:val="32"/>
          <w:szCs w:val="32"/>
        </w:rPr>
        <w:t xml:space="preserve"> </w:t>
      </w:r>
      <w:r w:rsidR="00A82490" w:rsidRPr="00A82490">
        <w:rPr>
          <w:rFonts w:ascii="仿宋_GB2312" w:eastAsia="仿宋_GB2312" w:hAnsi="仿宋_GB2312" w:cs="仿宋_GB2312" w:hint="eastAsia"/>
          <w:kern w:val="0"/>
          <w:sz w:val="32"/>
          <w:szCs w:val="32"/>
        </w:rPr>
        <w:t>5</w:t>
      </w:r>
      <w:r w:rsidRPr="00A82490">
        <w:rPr>
          <w:rFonts w:ascii="仿宋_GB2312" w:eastAsia="仿宋_GB2312" w:hAnsi="仿宋_GB2312" w:cs="仿宋_GB2312"/>
          <w:kern w:val="0"/>
          <w:sz w:val="32"/>
          <w:szCs w:val="32"/>
        </w:rPr>
        <w:t>%，变动原因：</w:t>
      </w:r>
      <w:r w:rsidR="00A82490">
        <w:rPr>
          <w:rFonts w:ascii="仿宋_GB2312" w:eastAsia="仿宋_GB2312" w:hAnsi="仿宋_GB2312" w:cs="仿宋_GB2312" w:hint="eastAsia"/>
          <w:kern w:val="0"/>
          <w:sz w:val="32"/>
          <w:szCs w:val="32"/>
        </w:rPr>
        <w:t>自治区委员活动经费年末结转减少。</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二、收入决算情况说明</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政协赤峰市委员会办公室 2025年度本年收入决算合计 1927.70万元，其中：</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一般公共预算财政拨款收入 1927.70万元，占 100.00%；</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政府性基金预算财政拨款收入 0万元，占 0%；</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国有资本经营预算财政拨款收入 0万元，占 0%；</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上级补助收入 0万元，占 0%；</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事业收入 0万元，占 0%；</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经营收入 0万元，占 0%；</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附属单位上缴收入 0万元，占 0%；</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其他收入 0万元，占 0%。</w:t>
      </w:r>
    </w:p>
    <w:p w:rsidR="00C12F65" w:rsidRDefault="00C12F65">
      <w:pPr>
        <w:widowControl/>
        <w:spacing w:before="240" w:after="240"/>
        <w:rPr>
          <w:rFonts w:eastAsia="Times New Roman"/>
          <w:kern w:val="0"/>
          <w:sz w:val="24"/>
        </w:rPr>
      </w:pPr>
    </w:p>
    <w:p w:rsidR="00C12F65" w:rsidRDefault="00A54D56">
      <w:pPr>
        <w:widowControl/>
        <w:spacing w:before="240" w:after="240"/>
        <w:jc w:val="center"/>
        <w:rPr>
          <w:rFonts w:eastAsia="Times New Roman"/>
          <w:kern w:val="0"/>
          <w:sz w:val="24"/>
        </w:rPr>
      </w:pPr>
      <w:r>
        <w:rPr>
          <w:rFonts w:eastAsia="Times New Roman"/>
          <w:kern w:val="0"/>
          <w:sz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276pt">
            <v:imagedata r:id="rId9" o:title=""/>
          </v:shape>
        </w:pict>
      </w:r>
      <w:r w:rsidR="00702E25">
        <w:rPr>
          <w:rFonts w:eastAsia="Times New Roman"/>
          <w:kern w:val="0"/>
          <w:sz w:val="24"/>
        </w:rPr>
        <w:t xml:space="preserve">   </w:t>
      </w:r>
    </w:p>
    <w:p w:rsidR="00C12F65" w:rsidRDefault="00702E25">
      <w:pPr>
        <w:widowControl/>
        <w:spacing w:before="240" w:after="240"/>
        <w:jc w:val="center"/>
        <w:rPr>
          <w:rFonts w:eastAsia="Times New Roman"/>
          <w:kern w:val="0"/>
          <w:sz w:val="24"/>
        </w:rPr>
      </w:pPr>
      <w:r>
        <w:rPr>
          <w:rFonts w:ascii="FangSong" w:eastAsia="FangSong" w:hAnsi="FangSong" w:cs="FangSong"/>
          <w:kern w:val="0"/>
          <w:sz w:val="27"/>
          <w:szCs w:val="27"/>
        </w:rPr>
        <w:t>图</w:t>
      </w:r>
      <w:r>
        <w:rPr>
          <w:rFonts w:ascii="times_new_roman" w:eastAsia="times_new_roman" w:hAnsi="times_new_roman" w:cs="times_new_roman"/>
          <w:kern w:val="0"/>
          <w:sz w:val="27"/>
          <w:szCs w:val="27"/>
        </w:rPr>
        <w:t>1</w:t>
      </w:r>
      <w:r>
        <w:rPr>
          <w:rFonts w:ascii="FangSong" w:eastAsia="FangSong" w:hAnsi="FangSong" w:cs="FangSong"/>
          <w:kern w:val="0"/>
          <w:sz w:val="27"/>
          <w:szCs w:val="27"/>
        </w:rPr>
        <w:t>.收入决算图</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三、支出决算情况说明</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政协赤峰市委员会办公室 2025年度本年支出决算合计 1928.57万元，其中：</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基本支出 1547.23万元，占 80.23%；</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项目支出 381.35万元，占 19.77%；</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上缴上级支出 0万元，占 0%；</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经营支出 0万元，占 0%；</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对附属单位补助支出 0万元，占 0%。</w:t>
      </w:r>
    </w:p>
    <w:p w:rsidR="00C12F65" w:rsidRDefault="00A54D56">
      <w:pPr>
        <w:widowControl/>
        <w:spacing w:before="240" w:after="240"/>
        <w:jc w:val="center"/>
        <w:rPr>
          <w:rFonts w:eastAsia="Times New Roman"/>
          <w:kern w:val="0"/>
          <w:sz w:val="24"/>
        </w:rPr>
      </w:pPr>
      <w:r>
        <w:rPr>
          <w:rFonts w:eastAsia="Times New Roman"/>
          <w:kern w:val="0"/>
          <w:sz w:val="24"/>
        </w:rPr>
        <w:lastRenderedPageBreak/>
        <w:pict>
          <v:shape id="_x0000_i1026" type="#_x0000_t75" style="width:453pt;height:282pt">
            <v:imagedata r:id="rId10" o:title=""/>
          </v:shape>
        </w:pict>
      </w:r>
      <w:r w:rsidR="00702E25">
        <w:rPr>
          <w:rFonts w:eastAsia="Times New Roman"/>
          <w:kern w:val="0"/>
          <w:sz w:val="24"/>
        </w:rPr>
        <w:t xml:space="preserve">   </w:t>
      </w:r>
    </w:p>
    <w:p w:rsidR="00C12F65" w:rsidRDefault="00702E25">
      <w:pPr>
        <w:widowControl/>
        <w:spacing w:before="240" w:after="240"/>
        <w:jc w:val="center"/>
        <w:rPr>
          <w:rFonts w:eastAsia="Times New Roman"/>
          <w:kern w:val="0"/>
          <w:sz w:val="24"/>
        </w:rPr>
      </w:pPr>
      <w:r>
        <w:rPr>
          <w:rFonts w:ascii="FangSong" w:eastAsia="FangSong" w:hAnsi="FangSong" w:cs="FangSong"/>
          <w:kern w:val="0"/>
          <w:sz w:val="27"/>
          <w:szCs w:val="27"/>
        </w:rPr>
        <w:t>图2.支出决算图</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四、财政拨款收入支出决算总体情况说明</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政协赤峰市委员会办公室 2025年度财政拨款收入、支出决算总计均为 1928.57</w:t>
      </w:r>
      <w:r w:rsidR="00A82490" w:rsidRPr="00A82490">
        <w:rPr>
          <w:rFonts w:ascii="仿宋_GB2312" w:eastAsia="仿宋_GB2312" w:hAnsi="仿宋_GB2312" w:cs="仿宋_GB2312"/>
          <w:kern w:val="0"/>
          <w:sz w:val="32"/>
          <w:szCs w:val="32"/>
        </w:rPr>
        <w:t>万元，与年初预算相比，收、支总计各增加</w:t>
      </w:r>
      <w:r w:rsidRPr="00A82490">
        <w:rPr>
          <w:rFonts w:ascii="仿宋_GB2312" w:eastAsia="仿宋_GB2312" w:hAnsi="仿宋_GB2312" w:cs="仿宋_GB2312"/>
          <w:kern w:val="0"/>
          <w:sz w:val="32"/>
          <w:szCs w:val="32"/>
        </w:rPr>
        <w:t>143.66万元，增长8.05%，变动原因：</w:t>
      </w:r>
      <w:r w:rsidR="00A82490">
        <w:rPr>
          <w:rFonts w:ascii="仿宋_GB2312" w:eastAsia="仿宋_GB2312" w:hAnsi="仿宋_GB2312" w:cs="仿宋_GB2312" w:hint="eastAsia"/>
          <w:kern w:val="0"/>
          <w:sz w:val="32"/>
          <w:szCs w:val="32"/>
        </w:rPr>
        <w:t>人员增加，人员工资增加，由于工作实际，追加文史工作专项经费等项目</w:t>
      </w:r>
      <w:r w:rsidRPr="00A82490">
        <w:rPr>
          <w:rFonts w:ascii="仿宋_GB2312" w:eastAsia="仿宋_GB2312" w:hAnsi="仿宋_GB2312" w:cs="仿宋_GB2312"/>
          <w:kern w:val="0"/>
          <w:sz w:val="32"/>
          <w:szCs w:val="32"/>
        </w:rPr>
        <w:t>；与上年决算相比，收、支总计各减少309.97万元，下降13.85%，变动原因：</w:t>
      </w:r>
      <w:r w:rsidR="00A82490">
        <w:rPr>
          <w:rFonts w:ascii="仿宋_GB2312" w:eastAsia="仿宋_GB2312" w:hAnsi="仿宋_GB2312" w:cs="仿宋_GB2312" w:hint="eastAsia"/>
          <w:kern w:val="0"/>
          <w:sz w:val="32"/>
          <w:szCs w:val="32"/>
        </w:rPr>
        <w:t>较上年度项目经费减少</w:t>
      </w:r>
      <w:r w:rsidRPr="00A82490">
        <w:rPr>
          <w:rFonts w:ascii="仿宋_GB2312" w:eastAsia="仿宋_GB2312" w:hAnsi="仿宋_GB2312" w:cs="仿宋_GB2312"/>
          <w:kern w:val="0"/>
          <w:sz w:val="32"/>
          <w:szCs w:val="32"/>
        </w:rPr>
        <w:t>。</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五、一般公共预算财政拨款支出决算情况说明</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lastRenderedPageBreak/>
        <w:t>政协赤峰市委员会办公室 2025年度一般公共预算财政拨款支出决算 1928.57万元。与年初预算 1784.91万元相比，完成年初预算的 108.05%。其中：</w:t>
      </w:r>
    </w:p>
    <w:p w:rsidR="00C12F65" w:rsidRDefault="00702E25">
      <w:pPr>
        <w:pStyle w:val="MsoNormal0"/>
        <w:widowControl/>
        <w:spacing w:before="240" w:after="240" w:line="560" w:lineRule="atLeast"/>
        <w:ind w:firstLine="643"/>
        <w:jc w:val="left"/>
        <w:rPr>
          <w:rFonts w:eastAsia="Times New Roman"/>
          <w:kern w:val="0"/>
          <w:sz w:val="24"/>
        </w:rPr>
      </w:pPr>
      <w:r>
        <w:rPr>
          <w:rFonts w:ascii="KaiTi" w:eastAsia="KaiTi" w:hAnsi="KaiTi" w:cs="KaiTi"/>
          <w:b/>
          <w:bCs/>
          <w:kern w:val="0"/>
          <w:sz w:val="32"/>
          <w:szCs w:val="32"/>
        </w:rPr>
        <w:t>（一）一般公共服务（类）</w:t>
      </w:r>
    </w:p>
    <w:p w:rsidR="00C12F65" w:rsidRPr="00A82490"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A82490">
        <w:rPr>
          <w:rFonts w:ascii="仿宋_GB2312" w:eastAsia="仿宋_GB2312" w:hAnsi="仿宋_GB2312" w:cs="仿宋_GB2312"/>
          <w:kern w:val="0"/>
          <w:sz w:val="32"/>
          <w:szCs w:val="32"/>
        </w:rPr>
        <w:t>一般公共服务（类）决算数为 1504.39万元，与年初预算相比增加128.79万元。其中：</w:t>
      </w:r>
    </w:p>
    <w:p w:rsidR="00A82490" w:rsidRDefault="00A82490" w:rsidP="00A82490">
      <w:pPr>
        <w:widowControl/>
        <w:spacing w:before="240" w:after="240"/>
        <w:ind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1．政协事务（款）行政运行（项）</w:t>
      </w:r>
      <w:r>
        <w:rPr>
          <w:rFonts w:ascii="仿宋_GB2312" w:eastAsia="仿宋_GB2312" w:hAnsi="仿宋_GB2312" w:cs="仿宋_GB2312" w:hint="eastAsia"/>
          <w:kern w:val="0"/>
          <w:sz w:val="32"/>
          <w:szCs w:val="32"/>
        </w:rPr>
        <w:t>。年初预算926.07万元，支出决算1069.16万元，完成年初预算的115.45%。决算数与年初预算数的差异原因：人员增加，工资增加。</w:t>
      </w:r>
    </w:p>
    <w:p w:rsidR="00A82490" w:rsidRDefault="00A82490" w:rsidP="00A82490">
      <w:pPr>
        <w:widowControl/>
        <w:spacing w:before="240" w:after="240"/>
        <w:ind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2．政协事务（款）一般行政管理事务（项）</w:t>
      </w:r>
      <w:r>
        <w:rPr>
          <w:rFonts w:ascii="仿宋_GB2312" w:eastAsia="仿宋_GB2312" w:hAnsi="仿宋_GB2312" w:cs="仿宋_GB2312" w:hint="eastAsia"/>
          <w:kern w:val="0"/>
          <w:sz w:val="32"/>
          <w:szCs w:val="32"/>
        </w:rPr>
        <w:t>。年初预算108万元，支出决算103.27万元，完成年初预算的95.62%。决算数与年初预算数的差异原因：内部控制部分项目预算未使用。</w:t>
      </w:r>
    </w:p>
    <w:p w:rsidR="00A82490" w:rsidRDefault="00A82490" w:rsidP="00A82490">
      <w:pPr>
        <w:widowControl/>
        <w:spacing w:before="240" w:after="240"/>
        <w:ind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3. 政协事务（款）政协会议（项）。</w:t>
      </w:r>
      <w:r>
        <w:rPr>
          <w:rFonts w:ascii="仿宋_GB2312" w:eastAsia="仿宋_GB2312" w:hAnsi="仿宋_GB2312" w:cs="仿宋_GB2312" w:hint="eastAsia"/>
          <w:kern w:val="0"/>
          <w:sz w:val="32"/>
          <w:szCs w:val="32"/>
        </w:rPr>
        <w:t>年初预算170万元，支出决算156.13万元，完成年初预算的91.84%。决算数与年初预算数的差异原因：内部控制部分会议费项目预算未使用。</w:t>
      </w:r>
    </w:p>
    <w:p w:rsidR="00A82490" w:rsidRDefault="00A82490" w:rsidP="00A82490">
      <w:pPr>
        <w:widowControl/>
        <w:spacing w:before="240" w:after="240"/>
        <w:ind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4. 政协事务（款）委员视察（项）。</w:t>
      </w:r>
      <w:r>
        <w:rPr>
          <w:rFonts w:ascii="仿宋_GB2312" w:eastAsia="仿宋_GB2312" w:hAnsi="仿宋_GB2312" w:cs="仿宋_GB2312" w:hint="eastAsia"/>
          <w:kern w:val="0"/>
          <w:sz w:val="32"/>
          <w:szCs w:val="32"/>
        </w:rPr>
        <w:t>年初预算120万元，支出决算63.43万元，完成年初预算的52.86%。决算</w:t>
      </w:r>
      <w:r>
        <w:rPr>
          <w:rFonts w:ascii="仿宋_GB2312" w:eastAsia="仿宋_GB2312" w:hAnsi="仿宋_GB2312" w:cs="仿宋_GB2312" w:hint="eastAsia"/>
          <w:kern w:val="0"/>
          <w:sz w:val="32"/>
          <w:szCs w:val="32"/>
        </w:rPr>
        <w:lastRenderedPageBreak/>
        <w:t>数与年初预算数的差异原因：年底按财政要求压减项目资金，压减60万元。</w:t>
      </w:r>
    </w:p>
    <w:p w:rsidR="00A82490" w:rsidRDefault="00A82490" w:rsidP="00A82490">
      <w:pPr>
        <w:widowControl/>
        <w:spacing w:before="240" w:after="240"/>
        <w:ind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5. 政协事务（款）事业运行（项）。</w:t>
      </w:r>
      <w:r>
        <w:rPr>
          <w:rFonts w:ascii="仿宋_GB2312" w:eastAsia="仿宋_GB2312" w:hAnsi="仿宋_GB2312" w:cs="仿宋_GB2312" w:hint="eastAsia"/>
          <w:kern w:val="0"/>
          <w:sz w:val="32"/>
          <w:szCs w:val="32"/>
        </w:rPr>
        <w:t>年初预算28.78万元，支出决算53.88万元，完成年初预算的187.21%。决算数与年初预算数的差异原因：事业人员增加，工资增加。</w:t>
      </w:r>
    </w:p>
    <w:p w:rsidR="00A82490" w:rsidRDefault="00A82490" w:rsidP="00A82490">
      <w:pPr>
        <w:pStyle w:val="MsoNormal0"/>
        <w:widowControl/>
        <w:spacing w:before="240" w:after="240" w:line="560" w:lineRule="atLeast"/>
        <w:ind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6. 政协事务（款）其他政协事务支出（项）。</w:t>
      </w:r>
      <w:r>
        <w:rPr>
          <w:rFonts w:ascii="仿宋_GB2312" w:eastAsia="仿宋_GB2312" w:hAnsi="仿宋_GB2312" w:cs="仿宋_GB2312" w:hint="eastAsia"/>
          <w:kern w:val="0"/>
          <w:sz w:val="32"/>
          <w:szCs w:val="32"/>
        </w:rPr>
        <w:t>年初预算0万元，支出决算58.52万元，完成年初预算的585200%。决算数与年初预算数的差异原因：年中追加市文史工作专项经费等项目，导致决算增加。</w:t>
      </w:r>
    </w:p>
    <w:p w:rsidR="00A82490" w:rsidRDefault="00A82490" w:rsidP="00A82490">
      <w:pPr>
        <w:widowControl/>
        <w:spacing w:before="240" w:after="240"/>
        <w:ind w:firstLineChars="200" w:firstLine="640"/>
        <w:jc w:val="left"/>
        <w:rPr>
          <w:rFonts w:eastAsia="Times New Roman"/>
          <w:kern w:val="0"/>
          <w:sz w:val="24"/>
        </w:rPr>
      </w:pPr>
      <w:r>
        <w:rPr>
          <w:rFonts w:ascii="楷体_GB2312" w:eastAsia="楷体_GB2312" w:hAnsi="楷体_GB2312" w:cs="楷体_GB2312" w:hint="eastAsia"/>
          <w:kern w:val="0"/>
          <w:sz w:val="32"/>
          <w:szCs w:val="32"/>
        </w:rPr>
        <w:t>（二）社会保障和就业支出（类）</w:t>
      </w:r>
    </w:p>
    <w:p w:rsidR="00A82490" w:rsidRDefault="00A82490" w:rsidP="00A82490">
      <w:pPr>
        <w:widowControl/>
        <w:spacing w:before="240" w:after="240"/>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社会保障和就业支出类决算数为261.48万元，与年初预算相比减少3.18万元。其中：</w:t>
      </w:r>
    </w:p>
    <w:p w:rsidR="00A82490" w:rsidRDefault="00A82490" w:rsidP="00A82490">
      <w:pPr>
        <w:widowControl/>
        <w:spacing w:before="240" w:after="240"/>
        <w:ind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1．行政事业单位养老支出（款）行政单位离退休（项）。</w:t>
      </w:r>
      <w:r>
        <w:rPr>
          <w:rFonts w:ascii="仿宋_GB2312" w:eastAsia="仿宋_GB2312" w:hAnsi="仿宋_GB2312" w:cs="仿宋_GB2312" w:hint="eastAsia"/>
          <w:kern w:val="0"/>
          <w:sz w:val="32"/>
          <w:szCs w:val="32"/>
        </w:rPr>
        <w:t>年初预算148.16万元，支出决算109.45万元，完成年初预算的73.87%。决算数与年初预算数的差异原因：退休人员项目</w:t>
      </w:r>
      <w:proofErr w:type="gramStart"/>
      <w:r>
        <w:rPr>
          <w:rFonts w:ascii="仿宋_GB2312" w:eastAsia="仿宋_GB2312" w:hAnsi="仿宋_GB2312" w:cs="仿宋_GB2312" w:hint="eastAsia"/>
          <w:kern w:val="0"/>
          <w:sz w:val="32"/>
          <w:szCs w:val="32"/>
        </w:rPr>
        <w:t>外工资</w:t>
      </w:r>
      <w:proofErr w:type="gramEnd"/>
      <w:r>
        <w:rPr>
          <w:rFonts w:ascii="仿宋_GB2312" w:eastAsia="仿宋_GB2312" w:hAnsi="仿宋_GB2312" w:cs="仿宋_GB2312" w:hint="eastAsia"/>
          <w:kern w:val="0"/>
          <w:sz w:val="32"/>
          <w:szCs w:val="32"/>
        </w:rPr>
        <w:t>按照规定减少。</w:t>
      </w:r>
    </w:p>
    <w:p w:rsidR="00A82490" w:rsidRDefault="00A82490" w:rsidP="00A82490">
      <w:pPr>
        <w:widowControl/>
        <w:spacing w:before="240" w:after="240"/>
        <w:ind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2．行政事业单位养老支出（款）机关事业单位基本养老保险缴费支出（项）。</w:t>
      </w:r>
      <w:r>
        <w:rPr>
          <w:rFonts w:ascii="仿宋_GB2312" w:eastAsia="仿宋_GB2312" w:hAnsi="仿宋_GB2312" w:cs="仿宋_GB2312" w:hint="eastAsia"/>
          <w:kern w:val="0"/>
          <w:sz w:val="32"/>
          <w:szCs w:val="32"/>
        </w:rPr>
        <w:t>年初预算99.58万元，支出决算112.82万元，完成年初预算的113.3%。决算数与年初预算数的差异原因：养老保险缴费增加。</w:t>
      </w:r>
    </w:p>
    <w:p w:rsidR="00A82490" w:rsidRDefault="00A82490" w:rsidP="00A82490">
      <w:pPr>
        <w:widowControl/>
        <w:spacing w:before="240" w:after="240"/>
        <w:ind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lastRenderedPageBreak/>
        <w:t>3．行政事业单位养老支出（款）机关事业单位职业年金缴费支出（项）。</w:t>
      </w:r>
      <w:r>
        <w:rPr>
          <w:rFonts w:ascii="仿宋_GB2312" w:eastAsia="仿宋_GB2312" w:hAnsi="仿宋_GB2312" w:cs="仿宋_GB2312" w:hint="eastAsia"/>
          <w:kern w:val="0"/>
          <w:sz w:val="32"/>
          <w:szCs w:val="32"/>
        </w:rPr>
        <w:t>年初预算14.64万元，支出决算9.83万元，完成年初预算的67.14%。决算数与年初预算数的差异原因：人员退休职业年金做实减少。</w:t>
      </w:r>
    </w:p>
    <w:p w:rsidR="00A82490" w:rsidRDefault="00A82490" w:rsidP="00A82490">
      <w:pPr>
        <w:widowControl/>
        <w:spacing w:before="240" w:after="240"/>
        <w:ind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4．抚恤（款）死亡抚恤（项）。</w:t>
      </w:r>
      <w:r>
        <w:rPr>
          <w:rFonts w:ascii="仿宋_GB2312" w:eastAsia="仿宋_GB2312" w:hAnsi="仿宋_GB2312" w:cs="仿宋_GB2312" w:hint="eastAsia"/>
          <w:kern w:val="0"/>
          <w:sz w:val="32"/>
          <w:szCs w:val="32"/>
        </w:rPr>
        <w:t>年初预算0万元，支出决算26.61万元，完成年初预算的266100%。决算数与年初预算数的差异原因：退休人员死亡，抚恤金增加。</w:t>
      </w:r>
    </w:p>
    <w:p w:rsidR="00A82490" w:rsidRDefault="00A82490" w:rsidP="00A82490">
      <w:pPr>
        <w:widowControl/>
        <w:spacing w:before="240" w:after="240"/>
        <w:ind w:firstLineChars="200" w:firstLine="643"/>
        <w:jc w:val="left"/>
        <w:rPr>
          <w:rFonts w:ascii="仿宋_GB2312" w:eastAsia="仿宋_GB2312" w:hAnsi="仿宋_GB2312" w:cs="仿宋_GB2312"/>
          <w:kern w:val="0"/>
          <w:sz w:val="32"/>
          <w:szCs w:val="32"/>
        </w:rPr>
      </w:pPr>
      <w:r w:rsidRPr="00A82490">
        <w:rPr>
          <w:rFonts w:ascii="仿宋_GB2312" w:eastAsia="仿宋_GB2312" w:hAnsi="仿宋_GB2312" w:cs="仿宋_GB2312" w:hint="eastAsia"/>
          <w:b/>
          <w:bCs/>
          <w:kern w:val="0"/>
          <w:sz w:val="32"/>
          <w:szCs w:val="32"/>
        </w:rPr>
        <w:t>5．其他社会保障和就业支出（款）其他社会保障和就业支出（项）。</w:t>
      </w:r>
      <w:r>
        <w:rPr>
          <w:rFonts w:ascii="仿宋_GB2312" w:eastAsia="仿宋_GB2312" w:hAnsi="仿宋_GB2312" w:cs="仿宋_GB2312" w:hint="eastAsia"/>
          <w:kern w:val="0"/>
          <w:sz w:val="32"/>
          <w:szCs w:val="32"/>
        </w:rPr>
        <w:t>年初预算2.28万元，支出决算2.76万元，完成年初预算的121.05%。决算数与年初预算数的差异原因：失业保险及工伤保险缴费增加。</w:t>
      </w:r>
    </w:p>
    <w:p w:rsidR="00A82490" w:rsidRDefault="00A82490" w:rsidP="00A82490">
      <w:pPr>
        <w:widowControl/>
        <w:spacing w:before="240" w:after="240"/>
        <w:ind w:firstLineChars="200" w:firstLine="640"/>
        <w:jc w:val="left"/>
        <w:rPr>
          <w:rFonts w:ascii="楷体_GB2312" w:eastAsia="楷体_GB2312" w:hAnsi="楷体_GB2312" w:cs="楷体_GB2312"/>
          <w:kern w:val="0"/>
          <w:sz w:val="32"/>
          <w:szCs w:val="32"/>
        </w:rPr>
      </w:pPr>
      <w:r>
        <w:rPr>
          <w:rFonts w:ascii="楷体_GB2312" w:eastAsia="楷体_GB2312" w:hAnsi="楷体_GB2312" w:cs="楷体_GB2312" w:hint="eastAsia"/>
          <w:kern w:val="0"/>
          <w:sz w:val="32"/>
          <w:szCs w:val="32"/>
        </w:rPr>
        <w:t>（三）卫生健康支出（类）</w:t>
      </w:r>
    </w:p>
    <w:p w:rsidR="00A82490" w:rsidRDefault="00A82490" w:rsidP="00A82490">
      <w:pPr>
        <w:widowControl/>
        <w:spacing w:before="240" w:after="240"/>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卫生健康支出类决算数为 61.86万元，与年初预算相比增加8.76万元。其中：</w:t>
      </w:r>
    </w:p>
    <w:p w:rsidR="00A82490" w:rsidRDefault="00A82490" w:rsidP="00A82490">
      <w:pPr>
        <w:widowControl/>
        <w:spacing w:before="240" w:after="240"/>
        <w:ind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1．行政事业单位医疗（款）行政单位医疗（项）。</w:t>
      </w:r>
      <w:r>
        <w:rPr>
          <w:rFonts w:ascii="仿宋_GB2312" w:eastAsia="仿宋_GB2312" w:hAnsi="仿宋_GB2312" w:cs="仿宋_GB2312" w:hint="eastAsia"/>
          <w:kern w:val="0"/>
          <w:sz w:val="32"/>
          <w:szCs w:val="32"/>
        </w:rPr>
        <w:t>年初预算53.1万元，支出决算61.86万元，完成年初预算的116.5%。决算数与年初预算数的差异原因：医疗保险缴费支出增加。</w:t>
      </w:r>
    </w:p>
    <w:p w:rsidR="00A82490" w:rsidRDefault="00A82490" w:rsidP="00A82490">
      <w:pPr>
        <w:widowControl/>
        <w:spacing w:before="240" w:after="240"/>
        <w:ind w:firstLineChars="200" w:firstLine="640"/>
        <w:jc w:val="left"/>
        <w:rPr>
          <w:rFonts w:ascii="楷体_GB2312" w:eastAsia="楷体_GB2312" w:hAnsi="楷体_GB2312" w:cs="楷体_GB2312"/>
          <w:kern w:val="0"/>
          <w:sz w:val="32"/>
          <w:szCs w:val="32"/>
        </w:rPr>
      </w:pPr>
      <w:r>
        <w:rPr>
          <w:rFonts w:ascii="楷体_GB2312" w:eastAsia="楷体_GB2312" w:hAnsi="楷体_GB2312" w:cs="楷体_GB2312" w:hint="eastAsia"/>
          <w:kern w:val="0"/>
          <w:sz w:val="32"/>
          <w:szCs w:val="32"/>
        </w:rPr>
        <w:t>（四）农林水支出（类）</w:t>
      </w:r>
    </w:p>
    <w:p w:rsidR="00A82490" w:rsidRDefault="00A82490" w:rsidP="00A82490">
      <w:pPr>
        <w:widowControl/>
        <w:spacing w:before="240" w:after="240"/>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农林水支出决算数为2.28万元，与年初预算相比增加0.3万元。其中：</w:t>
      </w:r>
    </w:p>
    <w:p w:rsidR="00A82490" w:rsidRDefault="00A82490" w:rsidP="00A82490">
      <w:pPr>
        <w:widowControl/>
        <w:spacing w:before="240" w:after="240"/>
        <w:ind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 1．巩固脱贫攻坚成果衔接乡村振兴（款）其他巩固脱贫攻坚成果衔接乡村振兴支出（项）。</w:t>
      </w:r>
      <w:r>
        <w:rPr>
          <w:rFonts w:ascii="仿宋_GB2312" w:eastAsia="仿宋_GB2312" w:hAnsi="仿宋_GB2312" w:cs="仿宋_GB2312" w:hint="eastAsia"/>
          <w:kern w:val="0"/>
          <w:sz w:val="32"/>
          <w:szCs w:val="32"/>
        </w:rPr>
        <w:t>年初预算1.98万元，支出决算2.28万元，完成年初预算的115.15%。决算数与年初预算数的差异原因：年初预算未结转资金，年中追加本年度资金3万元。</w:t>
      </w:r>
    </w:p>
    <w:p w:rsidR="00A82490" w:rsidRDefault="00A82490" w:rsidP="00A82490">
      <w:pPr>
        <w:widowControl/>
        <w:spacing w:before="240" w:after="240"/>
        <w:ind w:firstLineChars="200" w:firstLine="640"/>
        <w:jc w:val="left"/>
        <w:rPr>
          <w:rFonts w:ascii="楷体_GB2312" w:eastAsia="楷体_GB2312" w:hAnsi="楷体_GB2312" w:cs="楷体_GB2312"/>
          <w:kern w:val="0"/>
          <w:sz w:val="32"/>
          <w:szCs w:val="32"/>
        </w:rPr>
      </w:pPr>
      <w:r>
        <w:rPr>
          <w:rFonts w:ascii="楷体_GB2312" w:eastAsia="楷体_GB2312" w:hAnsi="楷体_GB2312" w:cs="楷体_GB2312" w:hint="eastAsia"/>
          <w:kern w:val="0"/>
          <w:sz w:val="32"/>
          <w:szCs w:val="32"/>
        </w:rPr>
        <w:t>（五）住房保障支出（类）</w:t>
      </w:r>
    </w:p>
    <w:p w:rsidR="00A82490" w:rsidRDefault="00A82490" w:rsidP="00A82490">
      <w:pPr>
        <w:widowControl/>
        <w:spacing w:before="240" w:after="240"/>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住房保障支出类决算数为98.56万元，与年初预算相比增加8.99万元。其中：</w:t>
      </w:r>
    </w:p>
    <w:p w:rsidR="00A82490" w:rsidRDefault="00A82490" w:rsidP="00A82490">
      <w:pPr>
        <w:widowControl/>
        <w:spacing w:before="240" w:after="240"/>
        <w:ind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1．住房改革支出（款）住房公积金（项）。</w:t>
      </w:r>
      <w:r>
        <w:rPr>
          <w:rFonts w:ascii="仿宋_GB2312" w:eastAsia="仿宋_GB2312" w:hAnsi="仿宋_GB2312" w:cs="仿宋_GB2312" w:hint="eastAsia"/>
          <w:kern w:val="0"/>
          <w:sz w:val="32"/>
          <w:szCs w:val="32"/>
        </w:rPr>
        <w:t>年初预算89.57万元，支出决算98.56万元，完成年初预算的110.04%。决算数与年初预算数的差异原因：人员增加，住房公积金缴费增加。</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六、一般公共预算财政拨款基本支出决算情况说明</w:t>
      </w:r>
    </w:p>
    <w:p w:rsidR="00C12F65" w:rsidRPr="00FB7ADA" w:rsidRDefault="00702E25" w:rsidP="00FB7ADA">
      <w:pPr>
        <w:widowControl/>
        <w:spacing w:before="240" w:after="240"/>
        <w:ind w:firstLineChars="200" w:firstLine="640"/>
        <w:jc w:val="left"/>
        <w:rPr>
          <w:rFonts w:ascii="仿宋_GB2312" w:eastAsia="仿宋_GB2312" w:hAnsi="仿宋_GB2312" w:cs="仿宋_GB2312"/>
          <w:kern w:val="0"/>
          <w:sz w:val="32"/>
          <w:szCs w:val="32"/>
        </w:rPr>
      </w:pPr>
      <w:r w:rsidRPr="00FB7ADA">
        <w:rPr>
          <w:rFonts w:ascii="仿宋_GB2312" w:eastAsia="仿宋_GB2312" w:hAnsi="仿宋_GB2312" w:cs="仿宋_GB2312"/>
          <w:kern w:val="0"/>
          <w:sz w:val="32"/>
          <w:szCs w:val="32"/>
        </w:rPr>
        <w:t>政协赤峰市委员会办公室 2025年度一般公共预算财政拨款基本支出决算 1547.23万元，其中：</w:t>
      </w:r>
    </w:p>
    <w:p w:rsidR="00C12F65" w:rsidRPr="00FB7ADA" w:rsidRDefault="00702E25" w:rsidP="00FB7ADA">
      <w:pPr>
        <w:widowControl/>
        <w:spacing w:before="240" w:after="240"/>
        <w:ind w:firstLineChars="200" w:firstLine="640"/>
        <w:jc w:val="left"/>
        <w:rPr>
          <w:rFonts w:ascii="仿宋_GB2312" w:eastAsia="仿宋_GB2312" w:hAnsi="仿宋_GB2312" w:cs="仿宋_GB2312"/>
          <w:kern w:val="0"/>
          <w:sz w:val="32"/>
          <w:szCs w:val="32"/>
        </w:rPr>
      </w:pPr>
      <w:r w:rsidRPr="00FB7ADA">
        <w:rPr>
          <w:rFonts w:ascii="仿宋_GB2312" w:eastAsia="仿宋_GB2312" w:hAnsi="仿宋_GB2312" w:cs="仿宋_GB2312"/>
          <w:kern w:val="0"/>
          <w:sz w:val="32"/>
          <w:szCs w:val="32"/>
        </w:rPr>
        <w:t>（一）人员经费 1375.84万元。主要包括：基本工资、津贴补贴、奖金、绩效工资、机关事业单位基本养老保险缴费、职业年金缴费、职工基本医疗保险缴费、公务员医</w:t>
      </w:r>
      <w:r w:rsidRPr="00FB7ADA">
        <w:rPr>
          <w:rFonts w:ascii="仿宋_GB2312" w:eastAsia="仿宋_GB2312" w:hAnsi="仿宋_GB2312" w:cs="仿宋_GB2312"/>
          <w:kern w:val="0"/>
          <w:sz w:val="32"/>
          <w:szCs w:val="32"/>
        </w:rPr>
        <w:lastRenderedPageBreak/>
        <w:t>疗补助缴费、住房公积金、其他工资福利支出、离休费、退休费、抚恤金、生活补助、其他对个人和家庭的补助支出等。</w:t>
      </w:r>
    </w:p>
    <w:p w:rsidR="00C12F65" w:rsidRPr="00FB7ADA" w:rsidRDefault="00702E25" w:rsidP="00FB7ADA">
      <w:pPr>
        <w:widowControl/>
        <w:spacing w:before="240" w:after="240"/>
        <w:ind w:firstLineChars="200" w:firstLine="640"/>
        <w:jc w:val="left"/>
        <w:rPr>
          <w:rFonts w:ascii="仿宋_GB2312" w:eastAsia="仿宋_GB2312" w:hAnsi="仿宋_GB2312" w:cs="仿宋_GB2312"/>
          <w:kern w:val="0"/>
          <w:sz w:val="32"/>
          <w:szCs w:val="32"/>
        </w:rPr>
      </w:pPr>
      <w:r w:rsidRPr="00FB7ADA">
        <w:rPr>
          <w:rFonts w:ascii="仿宋_GB2312" w:eastAsia="仿宋_GB2312" w:hAnsi="仿宋_GB2312" w:cs="仿宋_GB2312"/>
          <w:kern w:val="0"/>
          <w:sz w:val="32"/>
          <w:szCs w:val="32"/>
        </w:rPr>
        <w:t>（二）公用经费 171.38万元。主要包括：办公费、印刷费、手续费、邮电费、差旅费、维修（护）费、会议费、培训费、公务接待费、劳务费、委托业务费、福利费、公务用车运行维护费、其他交通费用、其他商品和服务支出、办公设备购置、其他资本性支出等。</w:t>
      </w:r>
    </w:p>
    <w:p w:rsidR="00C12F65" w:rsidRDefault="00702E25">
      <w:pPr>
        <w:pStyle w:val="MsoNormal0"/>
        <w:widowControl/>
        <w:spacing w:before="240" w:after="240" w:line="600" w:lineRule="atLeast"/>
        <w:ind w:firstLine="643"/>
        <w:jc w:val="left"/>
        <w:rPr>
          <w:rFonts w:ascii="黑体" w:eastAsia="黑体" w:hAnsi="黑体" w:cs="黑体"/>
          <w:b/>
          <w:bCs/>
          <w:kern w:val="0"/>
          <w:sz w:val="32"/>
          <w:szCs w:val="32"/>
        </w:rPr>
      </w:pPr>
      <w:r>
        <w:rPr>
          <w:rFonts w:ascii="黑体" w:eastAsia="黑体" w:hAnsi="黑体" w:cs="黑体"/>
          <w:b/>
          <w:bCs/>
          <w:kern w:val="0"/>
          <w:sz w:val="32"/>
          <w:szCs w:val="32"/>
        </w:rPr>
        <w:t>七、一般公共预算财政拨款项目支出决算情况说明</w:t>
      </w:r>
    </w:p>
    <w:p w:rsidR="00FB7ADA" w:rsidRDefault="00FB7ADA" w:rsidP="00FB7ADA">
      <w:pPr>
        <w:widowControl/>
        <w:spacing w:before="240" w:after="240"/>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政协赤峰市委员会办公室2025年度一般公共预算财政拨款项目支出决算381.35万元，其中：</w:t>
      </w:r>
    </w:p>
    <w:p w:rsidR="00FB7ADA" w:rsidRPr="00FB7ADA" w:rsidRDefault="00FB7ADA" w:rsidP="00FB7ADA">
      <w:pPr>
        <w:widowControl/>
        <w:spacing w:before="240" w:after="240"/>
        <w:ind w:firstLineChars="200" w:firstLine="640"/>
        <w:jc w:val="left"/>
        <w:rPr>
          <w:rFonts w:ascii="仿宋_GB2312" w:eastAsia="仿宋_GB2312" w:hAnsi="仿宋_GB2312" w:cs="仿宋_GB2312"/>
          <w:kern w:val="0"/>
          <w:sz w:val="32"/>
          <w:szCs w:val="32"/>
        </w:rPr>
      </w:pPr>
      <w:r>
        <w:rPr>
          <w:rFonts w:ascii="楷体_GB2312" w:eastAsia="楷体_GB2312" w:hAnsi="楷体_GB2312" w:cs="楷体_GB2312" w:hint="eastAsia"/>
          <w:kern w:val="0"/>
          <w:sz w:val="32"/>
          <w:szCs w:val="32"/>
        </w:rPr>
        <w:t>（一）商品和服务支出 381.35万元。</w:t>
      </w:r>
      <w:r>
        <w:rPr>
          <w:rFonts w:ascii="仿宋_GB2312" w:eastAsia="仿宋_GB2312" w:hAnsi="仿宋_GB2312" w:cs="仿宋_GB2312" w:hint="eastAsia"/>
          <w:kern w:val="0"/>
          <w:sz w:val="32"/>
          <w:szCs w:val="32"/>
        </w:rPr>
        <w:t>主要包括：办公费、差旅费、维修（护）费、会议费、委托业务费其他商品和服务支出等。</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八、财政拨款</w:t>
      </w:r>
      <w:r>
        <w:rPr>
          <w:rFonts w:eastAsia="Times New Roman"/>
          <w:b/>
          <w:bCs/>
          <w:kern w:val="0"/>
          <w:sz w:val="32"/>
          <w:szCs w:val="32"/>
        </w:rPr>
        <w:t>“</w:t>
      </w:r>
      <w:r>
        <w:rPr>
          <w:rFonts w:ascii="黑体" w:eastAsia="黑体" w:hAnsi="黑体" w:cs="黑体"/>
          <w:b/>
          <w:bCs/>
          <w:kern w:val="0"/>
          <w:sz w:val="32"/>
          <w:szCs w:val="32"/>
        </w:rPr>
        <w:t>三公</w:t>
      </w:r>
      <w:r>
        <w:rPr>
          <w:rFonts w:eastAsia="Times New Roman"/>
          <w:b/>
          <w:bCs/>
          <w:kern w:val="0"/>
          <w:sz w:val="32"/>
          <w:szCs w:val="32"/>
        </w:rPr>
        <w:t>”</w:t>
      </w:r>
      <w:r>
        <w:rPr>
          <w:rFonts w:ascii="黑体" w:eastAsia="黑体" w:hAnsi="黑体" w:cs="黑体"/>
          <w:b/>
          <w:bCs/>
          <w:kern w:val="0"/>
          <w:sz w:val="32"/>
          <w:szCs w:val="32"/>
        </w:rPr>
        <w:t>经费支出决算情况说明</w:t>
      </w:r>
    </w:p>
    <w:p w:rsidR="00C12F65" w:rsidRDefault="00702E25">
      <w:pPr>
        <w:pStyle w:val="MsoNormal0"/>
        <w:widowControl/>
        <w:spacing w:before="240" w:after="240"/>
        <w:ind w:firstLine="643"/>
        <w:jc w:val="left"/>
        <w:rPr>
          <w:rFonts w:eastAsia="Times New Roman"/>
          <w:kern w:val="0"/>
          <w:sz w:val="24"/>
        </w:rPr>
      </w:pPr>
      <w:r>
        <w:rPr>
          <w:rFonts w:ascii="KaiTi" w:eastAsia="KaiTi" w:hAnsi="KaiTi" w:cs="KaiTi"/>
          <w:b/>
          <w:bCs/>
          <w:kern w:val="0"/>
          <w:sz w:val="32"/>
          <w:szCs w:val="32"/>
        </w:rPr>
        <w:t>（一）财政拨款</w:t>
      </w:r>
      <w:r>
        <w:rPr>
          <w:rFonts w:eastAsia="Times New Roman"/>
          <w:b/>
          <w:bCs/>
          <w:kern w:val="0"/>
          <w:sz w:val="32"/>
          <w:szCs w:val="32"/>
        </w:rPr>
        <w:t>“</w:t>
      </w:r>
      <w:r>
        <w:rPr>
          <w:rFonts w:ascii="KaiTi" w:eastAsia="KaiTi" w:hAnsi="KaiTi" w:cs="KaiTi"/>
          <w:b/>
          <w:bCs/>
          <w:kern w:val="0"/>
          <w:sz w:val="32"/>
          <w:szCs w:val="32"/>
        </w:rPr>
        <w:t>三公</w:t>
      </w:r>
      <w:r>
        <w:rPr>
          <w:rFonts w:eastAsia="Times New Roman"/>
          <w:b/>
          <w:bCs/>
          <w:kern w:val="0"/>
          <w:sz w:val="32"/>
          <w:szCs w:val="32"/>
        </w:rPr>
        <w:t>”</w:t>
      </w:r>
      <w:r>
        <w:rPr>
          <w:rFonts w:ascii="KaiTi" w:eastAsia="KaiTi" w:hAnsi="KaiTi" w:cs="KaiTi"/>
          <w:b/>
          <w:bCs/>
          <w:kern w:val="0"/>
          <w:sz w:val="32"/>
          <w:szCs w:val="32"/>
        </w:rPr>
        <w:t>经费支出总体情况说明。</w:t>
      </w:r>
    </w:p>
    <w:p w:rsidR="00C12F65" w:rsidRPr="00FB7ADA" w:rsidRDefault="00702E25" w:rsidP="00FB7ADA">
      <w:pPr>
        <w:widowControl/>
        <w:spacing w:before="240" w:after="240"/>
        <w:ind w:firstLineChars="200" w:firstLine="640"/>
        <w:jc w:val="left"/>
        <w:rPr>
          <w:rFonts w:ascii="仿宋_GB2312" w:eastAsia="仿宋_GB2312" w:hAnsi="仿宋_GB2312" w:cs="仿宋_GB2312"/>
          <w:kern w:val="0"/>
          <w:sz w:val="32"/>
          <w:szCs w:val="32"/>
        </w:rPr>
      </w:pPr>
      <w:r w:rsidRPr="00FB7ADA">
        <w:rPr>
          <w:rFonts w:ascii="仿宋_GB2312" w:eastAsia="仿宋_GB2312" w:hAnsi="仿宋_GB2312" w:cs="仿宋_GB2312"/>
          <w:kern w:val="0"/>
          <w:sz w:val="32"/>
          <w:szCs w:val="32"/>
        </w:rPr>
        <w:t>政协赤峰市委员会办公室 2025年度财政拨款“三公”经费全年预算 15.00万元，支出决算 6.65万元，完成预算的 44.36%。其中：因公出国（境）费全年预算 0万元，支出决算 0万元，完成预算的 0%；公务用车购置及运行维</w:t>
      </w:r>
      <w:r w:rsidRPr="00FB7ADA">
        <w:rPr>
          <w:rFonts w:ascii="仿宋_GB2312" w:eastAsia="仿宋_GB2312" w:hAnsi="仿宋_GB2312" w:cs="仿宋_GB2312"/>
          <w:kern w:val="0"/>
          <w:sz w:val="32"/>
          <w:szCs w:val="32"/>
        </w:rPr>
        <w:lastRenderedPageBreak/>
        <w:t>护费全年预算 5.00万元，支出决算 4.92万元，完成预算的 98.31%；公务接待费全年预算 10.00万元，支出决算 1.74万元，完成预算的 17.38%。2025年度一般公共预算财政拨款“三公”经费全年预算 15.00万元，支出决算 6.65万元，与预算差异原因</w:t>
      </w:r>
      <w:r w:rsidR="00FB7ADA">
        <w:rPr>
          <w:rFonts w:ascii="仿宋_GB2312" w:eastAsia="仿宋_GB2312" w:hAnsi="仿宋_GB2312" w:cs="仿宋_GB2312" w:hint="eastAsia"/>
          <w:kern w:val="0"/>
          <w:sz w:val="32"/>
          <w:szCs w:val="32"/>
        </w:rPr>
        <w:t>公务接待费25年支出较少。</w:t>
      </w:r>
    </w:p>
    <w:p w:rsidR="00C12F65" w:rsidRDefault="00702E25">
      <w:pPr>
        <w:pStyle w:val="MsoNormal0"/>
        <w:widowControl/>
        <w:spacing w:before="240" w:after="240"/>
        <w:ind w:firstLine="643"/>
        <w:jc w:val="left"/>
        <w:rPr>
          <w:rFonts w:eastAsia="Times New Roman"/>
          <w:kern w:val="0"/>
          <w:sz w:val="24"/>
        </w:rPr>
      </w:pPr>
      <w:r>
        <w:rPr>
          <w:rFonts w:ascii="KaiTi" w:eastAsia="KaiTi" w:hAnsi="KaiTi" w:cs="KaiTi"/>
          <w:b/>
          <w:bCs/>
          <w:kern w:val="0"/>
          <w:sz w:val="32"/>
          <w:szCs w:val="32"/>
        </w:rPr>
        <w:t>（二）财政拨款</w:t>
      </w:r>
      <w:r>
        <w:rPr>
          <w:rFonts w:eastAsia="Times New Roman"/>
          <w:b/>
          <w:bCs/>
          <w:kern w:val="0"/>
          <w:sz w:val="32"/>
          <w:szCs w:val="32"/>
        </w:rPr>
        <w:t>“</w:t>
      </w:r>
      <w:r>
        <w:rPr>
          <w:rFonts w:ascii="KaiTi" w:eastAsia="KaiTi" w:hAnsi="KaiTi" w:cs="KaiTi"/>
          <w:b/>
          <w:bCs/>
          <w:kern w:val="0"/>
          <w:sz w:val="32"/>
          <w:szCs w:val="32"/>
        </w:rPr>
        <w:t>三公</w:t>
      </w:r>
      <w:r>
        <w:rPr>
          <w:rFonts w:eastAsia="Times New Roman"/>
          <w:b/>
          <w:bCs/>
          <w:kern w:val="0"/>
          <w:sz w:val="32"/>
          <w:szCs w:val="32"/>
        </w:rPr>
        <w:t>”</w:t>
      </w:r>
      <w:r>
        <w:rPr>
          <w:rFonts w:ascii="KaiTi" w:eastAsia="KaiTi" w:hAnsi="KaiTi" w:cs="KaiTi"/>
          <w:b/>
          <w:bCs/>
          <w:kern w:val="0"/>
          <w:sz w:val="32"/>
          <w:szCs w:val="32"/>
        </w:rPr>
        <w:t>经费支出具体情况说明。</w:t>
      </w:r>
    </w:p>
    <w:p w:rsidR="00C12F65" w:rsidRPr="00FB7ADA" w:rsidRDefault="00702E25" w:rsidP="00FB7ADA">
      <w:pPr>
        <w:widowControl/>
        <w:spacing w:before="240" w:after="240"/>
        <w:ind w:firstLineChars="200" w:firstLine="640"/>
        <w:jc w:val="left"/>
        <w:rPr>
          <w:rFonts w:ascii="仿宋_GB2312" w:eastAsia="仿宋_GB2312" w:hAnsi="仿宋_GB2312" w:cs="仿宋_GB2312"/>
          <w:kern w:val="0"/>
          <w:sz w:val="32"/>
          <w:szCs w:val="32"/>
        </w:rPr>
      </w:pPr>
      <w:r w:rsidRPr="00FB7ADA">
        <w:rPr>
          <w:rFonts w:ascii="仿宋_GB2312" w:eastAsia="仿宋_GB2312" w:hAnsi="仿宋_GB2312" w:cs="仿宋_GB2312"/>
          <w:kern w:val="0"/>
          <w:sz w:val="32"/>
          <w:szCs w:val="32"/>
        </w:rPr>
        <w:t>政协赤峰市委员会办公室 2025年度财政拨款“三公”经费支出 6.65万元。因公出国（境）费支出 0万元，占 0%；公务用车购置及运行维护费支出 4.92万元，占 73.88%；公务接待费支出 1.74万元，占 26.12%。其中：</w:t>
      </w:r>
    </w:p>
    <w:p w:rsidR="00FB7ADA" w:rsidRDefault="00702E25" w:rsidP="00FB7ADA">
      <w:pPr>
        <w:widowControl/>
        <w:spacing w:before="240" w:after="240"/>
        <w:ind w:firstLineChars="200" w:firstLine="640"/>
        <w:jc w:val="left"/>
        <w:rPr>
          <w:rFonts w:ascii="仿宋_GB2312" w:eastAsia="仿宋_GB2312" w:hAnsi="仿宋_GB2312" w:cs="仿宋_GB2312"/>
          <w:kern w:val="0"/>
          <w:sz w:val="32"/>
          <w:szCs w:val="32"/>
        </w:rPr>
      </w:pPr>
      <w:r w:rsidRPr="00FB7ADA">
        <w:rPr>
          <w:rFonts w:ascii="仿宋_GB2312" w:eastAsia="仿宋_GB2312" w:hAnsi="仿宋_GB2312" w:cs="仿宋_GB2312"/>
          <w:kern w:val="0"/>
          <w:sz w:val="32"/>
          <w:szCs w:val="32"/>
        </w:rPr>
        <w:t xml:space="preserve">因公出国（境）费支出 0万元，全年出国（境）团组0 </w:t>
      </w:r>
      <w:proofErr w:type="gramStart"/>
      <w:r w:rsidRPr="00FB7ADA">
        <w:rPr>
          <w:rFonts w:ascii="仿宋_GB2312" w:eastAsia="仿宋_GB2312" w:hAnsi="仿宋_GB2312" w:cs="仿宋_GB2312"/>
          <w:kern w:val="0"/>
          <w:sz w:val="32"/>
          <w:szCs w:val="32"/>
        </w:rPr>
        <w:t>个</w:t>
      </w:r>
      <w:proofErr w:type="gramEnd"/>
      <w:r w:rsidRPr="00FB7ADA">
        <w:rPr>
          <w:rFonts w:ascii="仿宋_GB2312" w:eastAsia="仿宋_GB2312" w:hAnsi="仿宋_GB2312" w:cs="仿宋_GB2312"/>
          <w:kern w:val="0"/>
          <w:sz w:val="32"/>
          <w:szCs w:val="32"/>
        </w:rPr>
        <w:t>，累计0 人次。与上年决算相比，增加（减少） 0万元，增长（下降） 0%，变动原因：</w:t>
      </w:r>
      <w:r w:rsidR="00FB7ADA">
        <w:rPr>
          <w:rFonts w:ascii="仿宋_GB2312" w:eastAsia="仿宋_GB2312" w:hAnsi="仿宋_GB2312" w:cs="仿宋_GB2312" w:hint="eastAsia"/>
          <w:kern w:val="0"/>
          <w:sz w:val="32"/>
          <w:szCs w:val="32"/>
        </w:rPr>
        <w:t>本部门无因公出国费用支出。</w:t>
      </w:r>
    </w:p>
    <w:p w:rsidR="00FB7ADA" w:rsidRDefault="00FB7ADA" w:rsidP="00FB7ADA">
      <w:pPr>
        <w:widowControl/>
        <w:spacing w:before="240" w:after="240"/>
        <w:ind w:firstLineChars="200" w:firstLine="643"/>
        <w:jc w:val="left"/>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2.公务用车购置及运行维护费支出 4.92万元。</w:t>
      </w:r>
      <w:r>
        <w:rPr>
          <w:rFonts w:ascii="仿宋_GB2312" w:eastAsia="仿宋_GB2312" w:hAnsi="仿宋_GB2312" w:cs="仿宋_GB2312" w:hint="eastAsia"/>
          <w:kern w:val="0"/>
          <w:sz w:val="32"/>
          <w:szCs w:val="32"/>
        </w:rPr>
        <w:t>其中：</w:t>
      </w:r>
    </w:p>
    <w:p w:rsidR="00FB7ADA" w:rsidRDefault="00FB7ADA" w:rsidP="00FB7ADA">
      <w:pPr>
        <w:widowControl/>
        <w:spacing w:before="240" w:after="240"/>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（1）公务用车购置支出 0万元。本年度使用财政拨款购置公务用车0 辆，开支内容：本部门无公务用车购置支出。与上年决算相比，增加 0万元，增长0%，变动原因：本部门无公务用车购置支出。</w:t>
      </w:r>
    </w:p>
    <w:p w:rsidR="00FB7ADA" w:rsidRDefault="00FB7ADA" w:rsidP="00FB7ADA">
      <w:pPr>
        <w:widowControl/>
        <w:spacing w:before="240" w:after="240"/>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3.公务接待费支出1.74万元。其中：国内公务接待支出1.74万元，接待18批次，144人次，开支内容：外地政协调研组来赤峰公务接待费；国（境）外公务接待支出 0万元，接待0 批次，0 人次，开支内容：本部门无国（境）外公务接待支出。与上年决算相比，减少0.74万元，减少26.62%，变动原因：2025年公务接待较上年度减少。</w:t>
      </w:r>
    </w:p>
    <w:p w:rsidR="00C12F65" w:rsidRPr="00FB7ADA" w:rsidRDefault="00702E25" w:rsidP="00FB7ADA">
      <w:pPr>
        <w:widowControl/>
        <w:spacing w:before="240" w:after="240"/>
        <w:ind w:firstLineChars="200" w:firstLine="640"/>
        <w:jc w:val="left"/>
        <w:rPr>
          <w:rFonts w:ascii="仿宋_GB2312" w:eastAsia="仿宋_GB2312" w:hAnsi="仿宋_GB2312" w:cs="仿宋_GB2312"/>
          <w:kern w:val="0"/>
          <w:sz w:val="32"/>
          <w:szCs w:val="32"/>
        </w:rPr>
      </w:pPr>
      <w:r w:rsidRPr="00FB7ADA">
        <w:rPr>
          <w:rFonts w:ascii="仿宋_GB2312" w:eastAsia="仿宋_GB2312" w:hAnsi="仿宋_GB2312" w:cs="仿宋_GB2312"/>
          <w:kern w:val="0"/>
          <w:sz w:val="32"/>
          <w:szCs w:val="32"/>
        </w:rPr>
        <w:t>2.公务用车购置及运行维护费支出 4.92万元。其中：</w:t>
      </w:r>
    </w:p>
    <w:p w:rsidR="00C12F65" w:rsidRPr="00FB7ADA" w:rsidRDefault="00702E25" w:rsidP="00FB7ADA">
      <w:pPr>
        <w:widowControl/>
        <w:spacing w:before="240" w:after="240"/>
        <w:ind w:firstLineChars="200" w:firstLine="640"/>
        <w:jc w:val="left"/>
        <w:rPr>
          <w:rFonts w:ascii="仿宋_GB2312" w:eastAsia="仿宋_GB2312" w:hAnsi="仿宋_GB2312" w:cs="仿宋_GB2312"/>
          <w:kern w:val="0"/>
          <w:sz w:val="32"/>
          <w:szCs w:val="32"/>
        </w:rPr>
      </w:pPr>
      <w:r w:rsidRPr="00FB7ADA">
        <w:rPr>
          <w:rFonts w:ascii="仿宋_GB2312" w:eastAsia="仿宋_GB2312" w:hAnsi="仿宋_GB2312" w:cs="仿宋_GB2312"/>
          <w:kern w:val="0"/>
          <w:sz w:val="32"/>
          <w:szCs w:val="32"/>
        </w:rPr>
        <w:t>（1）公务用车购置支出 0万元。本年度使用财政拨款购置公务用车0 辆，开支内容：</w:t>
      </w:r>
      <w:r w:rsidR="00FB7ADA">
        <w:rPr>
          <w:rFonts w:ascii="仿宋_GB2312" w:eastAsia="仿宋_GB2312" w:hAnsi="仿宋_GB2312" w:cs="仿宋_GB2312" w:hint="eastAsia"/>
          <w:kern w:val="0"/>
          <w:sz w:val="32"/>
          <w:szCs w:val="32"/>
        </w:rPr>
        <w:t>本部门无公务用车购置支出。</w:t>
      </w:r>
      <w:r w:rsidRPr="00FB7ADA">
        <w:rPr>
          <w:rFonts w:ascii="仿宋_GB2312" w:eastAsia="仿宋_GB2312" w:hAnsi="仿宋_GB2312" w:cs="仿宋_GB2312"/>
          <w:kern w:val="0"/>
          <w:sz w:val="32"/>
          <w:szCs w:val="32"/>
        </w:rPr>
        <w:t>与上年决算相比，增加0万元，增长0%，变动原因：</w:t>
      </w:r>
      <w:r w:rsidR="00FB7ADA">
        <w:rPr>
          <w:rFonts w:ascii="仿宋_GB2312" w:eastAsia="仿宋_GB2312" w:hAnsi="仿宋_GB2312" w:cs="仿宋_GB2312" w:hint="eastAsia"/>
          <w:kern w:val="0"/>
          <w:sz w:val="32"/>
          <w:szCs w:val="32"/>
        </w:rPr>
        <w:t>本部门无公务用车购置支出。</w:t>
      </w:r>
    </w:p>
    <w:p w:rsidR="00C12F65" w:rsidRPr="00FB7ADA" w:rsidRDefault="00702E25" w:rsidP="00FB7ADA">
      <w:pPr>
        <w:widowControl/>
        <w:spacing w:before="240" w:after="240"/>
        <w:ind w:firstLineChars="200" w:firstLine="640"/>
        <w:jc w:val="left"/>
        <w:rPr>
          <w:rFonts w:ascii="仿宋_GB2312" w:eastAsia="仿宋_GB2312" w:hAnsi="仿宋_GB2312" w:cs="仿宋_GB2312"/>
          <w:kern w:val="0"/>
          <w:sz w:val="32"/>
          <w:szCs w:val="32"/>
        </w:rPr>
      </w:pPr>
      <w:r w:rsidRPr="00FB7ADA">
        <w:rPr>
          <w:rFonts w:ascii="仿宋_GB2312" w:eastAsia="仿宋_GB2312" w:hAnsi="仿宋_GB2312" w:cs="仿宋_GB2312"/>
          <w:kern w:val="0"/>
          <w:sz w:val="32"/>
          <w:szCs w:val="32"/>
        </w:rPr>
        <w:t>（2）公务用车运行维护费支出 4.92万元。公务用车运行维护费主要用于按规定保留的公务用车的燃料费、新能源汽车充电费、维修费、过桥过路费、保险费、安全奖励费用等支出。截至2025年12月31日，使用财政拨款开支的公务用车保有量为1 辆。与上年决算相比减少0.03万元，下降0.62%，变动原因：</w:t>
      </w:r>
      <w:bookmarkStart w:id="2" w:name="_Hlk237535934"/>
      <w:r w:rsidR="00FB7ADA">
        <w:rPr>
          <w:rFonts w:ascii="仿宋_GB2312" w:eastAsia="仿宋_GB2312" w:hAnsi="仿宋_GB2312" w:cs="仿宋_GB2312" w:hint="eastAsia"/>
          <w:kern w:val="0"/>
          <w:sz w:val="32"/>
          <w:szCs w:val="32"/>
        </w:rPr>
        <w:t>内部控制，公车运行维护费减少。</w:t>
      </w:r>
      <w:bookmarkEnd w:id="2"/>
    </w:p>
    <w:p w:rsidR="00C12F65" w:rsidRPr="00FB7ADA" w:rsidRDefault="00702E25" w:rsidP="00FB7ADA">
      <w:pPr>
        <w:widowControl/>
        <w:spacing w:before="240" w:after="240"/>
        <w:ind w:firstLineChars="200" w:firstLine="640"/>
        <w:jc w:val="left"/>
        <w:rPr>
          <w:rFonts w:ascii="仿宋_GB2312" w:eastAsia="仿宋_GB2312" w:hAnsi="仿宋_GB2312" w:cs="仿宋_GB2312"/>
          <w:kern w:val="0"/>
          <w:sz w:val="32"/>
          <w:szCs w:val="32"/>
        </w:rPr>
      </w:pPr>
      <w:r w:rsidRPr="00FB7ADA">
        <w:rPr>
          <w:rFonts w:ascii="仿宋_GB2312" w:eastAsia="仿宋_GB2312" w:hAnsi="仿宋_GB2312" w:cs="仿宋_GB2312"/>
          <w:kern w:val="0"/>
          <w:sz w:val="32"/>
          <w:szCs w:val="32"/>
        </w:rPr>
        <w:t>3.公务接待费支出 1.74万元。其中：国内公务接待支出 1.74万元，接待18 批次，144 人次，开支内容：</w:t>
      </w:r>
      <w:r w:rsidR="00FB7ADA">
        <w:rPr>
          <w:rFonts w:ascii="仿宋_GB2312" w:eastAsia="仿宋_GB2312" w:hAnsi="仿宋_GB2312" w:cs="仿宋_GB2312" w:hint="eastAsia"/>
          <w:kern w:val="0"/>
          <w:sz w:val="32"/>
          <w:szCs w:val="32"/>
        </w:rPr>
        <w:t>外地政协调研组来赤峰公务接待费；</w:t>
      </w:r>
      <w:r w:rsidRPr="00FB7ADA">
        <w:rPr>
          <w:rFonts w:ascii="仿宋_GB2312" w:eastAsia="仿宋_GB2312" w:hAnsi="仿宋_GB2312" w:cs="仿宋_GB2312"/>
          <w:kern w:val="0"/>
          <w:sz w:val="32"/>
          <w:szCs w:val="32"/>
        </w:rPr>
        <w:t xml:space="preserve">国（境）外公务接待支出 </w:t>
      </w:r>
      <w:r w:rsidRPr="00FB7ADA">
        <w:rPr>
          <w:rFonts w:ascii="仿宋_GB2312" w:eastAsia="仿宋_GB2312" w:hAnsi="仿宋_GB2312" w:cs="仿宋_GB2312"/>
          <w:kern w:val="0"/>
          <w:sz w:val="32"/>
          <w:szCs w:val="32"/>
        </w:rPr>
        <w:lastRenderedPageBreak/>
        <w:t>0万元，接待0 批次，0 人次，开支内容：</w:t>
      </w:r>
      <w:r w:rsidR="00FB7ADA">
        <w:rPr>
          <w:rFonts w:ascii="仿宋_GB2312" w:eastAsia="仿宋_GB2312" w:hAnsi="仿宋_GB2312" w:cs="仿宋_GB2312" w:hint="eastAsia"/>
          <w:kern w:val="0"/>
          <w:sz w:val="32"/>
          <w:szCs w:val="32"/>
        </w:rPr>
        <w:t>本部门无国（境）外公务接待支出。</w:t>
      </w:r>
      <w:r w:rsidRPr="00FB7ADA">
        <w:rPr>
          <w:rFonts w:ascii="仿宋_GB2312" w:eastAsia="仿宋_GB2312" w:hAnsi="仿宋_GB2312" w:cs="仿宋_GB2312"/>
          <w:kern w:val="0"/>
          <w:sz w:val="32"/>
          <w:szCs w:val="32"/>
        </w:rPr>
        <w:t>与上年决算相比，减少0.74万元，下降29.87%，变动原因：</w:t>
      </w:r>
      <w:r w:rsidR="00FB7ADA">
        <w:rPr>
          <w:rFonts w:ascii="仿宋_GB2312" w:eastAsia="仿宋_GB2312" w:hAnsi="仿宋_GB2312" w:cs="仿宋_GB2312" w:hint="eastAsia"/>
          <w:kern w:val="0"/>
          <w:sz w:val="32"/>
          <w:szCs w:val="32"/>
        </w:rPr>
        <w:t>2025年公务接待较上年度减少。</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九、政府性基金预算财政拨款支出决算情况说明</w:t>
      </w:r>
    </w:p>
    <w:p w:rsidR="00C12F65" w:rsidRDefault="00FB7ADA" w:rsidP="00FB7ADA">
      <w:pPr>
        <w:pStyle w:val="MsoNormal0"/>
        <w:widowControl/>
        <w:spacing w:before="240" w:after="240" w:line="560" w:lineRule="atLeast"/>
        <w:ind w:firstLine="640"/>
        <w:jc w:val="left"/>
        <w:rPr>
          <w:rFonts w:eastAsia="Times New Roman"/>
          <w:kern w:val="0"/>
          <w:sz w:val="24"/>
        </w:rPr>
      </w:pPr>
      <w:r>
        <w:rPr>
          <w:rFonts w:ascii="仿宋_GB2312" w:eastAsia="仿宋_GB2312" w:hAnsi="仿宋_GB2312" w:cs="仿宋_GB2312" w:hint="eastAsia"/>
          <w:kern w:val="0"/>
          <w:sz w:val="32"/>
          <w:szCs w:val="32"/>
        </w:rPr>
        <w:t>政协赤峰市委员会办公室</w:t>
      </w:r>
      <w:r>
        <w:rPr>
          <w:rFonts w:ascii="Calibri" w:eastAsia="仿宋_GB2312" w:hAnsi="Calibri" w:cs="Calibri"/>
          <w:kern w:val="0"/>
          <w:sz w:val="32"/>
          <w:szCs w:val="32"/>
        </w:rPr>
        <w:t> </w:t>
      </w:r>
      <w:r>
        <w:rPr>
          <w:rFonts w:ascii="仿宋_GB2312" w:eastAsia="仿宋_GB2312" w:hAnsi="仿宋_GB2312" w:cs="仿宋_GB2312" w:hint="eastAsia"/>
          <w:kern w:val="0"/>
          <w:sz w:val="32"/>
          <w:szCs w:val="32"/>
        </w:rPr>
        <w:t>2025年度政府性基金预算财政拨款支出决算</w:t>
      </w:r>
      <w:r>
        <w:rPr>
          <w:rFonts w:ascii="Calibri" w:eastAsia="仿宋_GB2312" w:hAnsi="Calibri" w:cs="Calibri"/>
          <w:kern w:val="0"/>
          <w:sz w:val="32"/>
          <w:szCs w:val="32"/>
        </w:rPr>
        <w:t> </w:t>
      </w:r>
      <w:r>
        <w:rPr>
          <w:rFonts w:ascii="仿宋_GB2312" w:eastAsia="仿宋_GB2312" w:hAnsi="仿宋_GB2312" w:cs="仿宋_GB2312" w:hint="eastAsia"/>
          <w:kern w:val="0"/>
          <w:sz w:val="32"/>
          <w:szCs w:val="32"/>
        </w:rPr>
        <w:t>0万元。与上年决算相比，增加</w:t>
      </w:r>
      <w:r>
        <w:rPr>
          <w:rFonts w:ascii="Calibri" w:eastAsia="仿宋_GB2312" w:hAnsi="Calibri" w:cs="Calibri"/>
          <w:kern w:val="0"/>
          <w:sz w:val="32"/>
          <w:szCs w:val="32"/>
        </w:rPr>
        <w:t> </w:t>
      </w:r>
      <w:r>
        <w:rPr>
          <w:rFonts w:ascii="仿宋_GB2312" w:eastAsia="仿宋_GB2312" w:hAnsi="仿宋_GB2312" w:cs="仿宋_GB2312" w:hint="eastAsia"/>
          <w:kern w:val="0"/>
          <w:sz w:val="32"/>
          <w:szCs w:val="32"/>
        </w:rPr>
        <w:t>0万元，增长</w:t>
      </w:r>
      <w:r>
        <w:rPr>
          <w:rFonts w:ascii="Calibri" w:eastAsia="仿宋_GB2312" w:hAnsi="Calibri" w:cs="Calibri"/>
          <w:kern w:val="0"/>
          <w:sz w:val="32"/>
          <w:szCs w:val="32"/>
        </w:rPr>
        <w:t> </w:t>
      </w:r>
      <w:r>
        <w:rPr>
          <w:rFonts w:ascii="仿宋_GB2312" w:eastAsia="仿宋_GB2312" w:hAnsi="仿宋_GB2312" w:cs="仿宋_GB2312" w:hint="eastAsia"/>
          <w:kern w:val="0"/>
          <w:sz w:val="32"/>
          <w:szCs w:val="32"/>
        </w:rPr>
        <w:t>0%，变动原因：本部门无政府性基金预算财政拨款收、支、余。</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十、国有资本经营预算财政拨款支出决算情况说明</w:t>
      </w:r>
    </w:p>
    <w:p w:rsidR="00C12F65" w:rsidRDefault="00FB7ADA" w:rsidP="00FB7ADA">
      <w:pPr>
        <w:pStyle w:val="MsoNormal0"/>
        <w:widowControl/>
        <w:spacing w:before="240" w:after="240" w:line="560" w:lineRule="atLeast"/>
        <w:ind w:firstLine="640"/>
        <w:jc w:val="left"/>
        <w:rPr>
          <w:rFonts w:eastAsia="Times New Roman"/>
          <w:kern w:val="0"/>
          <w:sz w:val="24"/>
        </w:rPr>
      </w:pPr>
      <w:r>
        <w:rPr>
          <w:rFonts w:ascii="仿宋_GB2312" w:eastAsia="仿宋_GB2312" w:hAnsi="仿宋_GB2312" w:cs="仿宋_GB2312" w:hint="eastAsia"/>
          <w:kern w:val="0"/>
          <w:sz w:val="32"/>
          <w:szCs w:val="32"/>
        </w:rPr>
        <w:t>政协赤峰市委员会办公室</w:t>
      </w:r>
      <w:r>
        <w:rPr>
          <w:rFonts w:ascii="Calibri" w:eastAsia="仿宋_GB2312" w:hAnsi="Calibri" w:cs="Calibri"/>
          <w:kern w:val="0"/>
          <w:sz w:val="32"/>
          <w:szCs w:val="32"/>
        </w:rPr>
        <w:t> </w:t>
      </w:r>
      <w:r>
        <w:rPr>
          <w:rFonts w:ascii="仿宋_GB2312" w:eastAsia="仿宋_GB2312" w:hAnsi="仿宋_GB2312" w:cs="仿宋_GB2312" w:hint="eastAsia"/>
          <w:kern w:val="0"/>
          <w:sz w:val="32"/>
          <w:szCs w:val="32"/>
        </w:rPr>
        <w:t>2025年度国有资本经营预算财政拨款支出决算</w:t>
      </w:r>
      <w:r>
        <w:rPr>
          <w:rFonts w:ascii="Calibri" w:eastAsia="仿宋_GB2312" w:hAnsi="Calibri" w:cs="Calibri"/>
          <w:kern w:val="0"/>
          <w:sz w:val="32"/>
          <w:szCs w:val="32"/>
        </w:rPr>
        <w:t> </w:t>
      </w:r>
      <w:r>
        <w:rPr>
          <w:rFonts w:ascii="仿宋_GB2312" w:eastAsia="仿宋_GB2312" w:hAnsi="仿宋_GB2312" w:cs="仿宋_GB2312" w:hint="eastAsia"/>
          <w:kern w:val="0"/>
          <w:sz w:val="32"/>
          <w:szCs w:val="32"/>
        </w:rPr>
        <w:t>0万元。与上年决算相比，增加</w:t>
      </w:r>
      <w:r>
        <w:rPr>
          <w:rFonts w:ascii="Calibri" w:eastAsia="仿宋_GB2312" w:hAnsi="Calibri" w:cs="Calibri"/>
          <w:kern w:val="0"/>
          <w:sz w:val="32"/>
          <w:szCs w:val="32"/>
        </w:rPr>
        <w:t> </w:t>
      </w:r>
      <w:r>
        <w:rPr>
          <w:rFonts w:ascii="仿宋_GB2312" w:eastAsia="仿宋_GB2312" w:hAnsi="仿宋_GB2312" w:cs="仿宋_GB2312" w:hint="eastAsia"/>
          <w:kern w:val="0"/>
          <w:sz w:val="32"/>
          <w:szCs w:val="32"/>
        </w:rPr>
        <w:t>0万元，增长</w:t>
      </w:r>
      <w:r>
        <w:rPr>
          <w:rFonts w:ascii="Calibri" w:eastAsia="仿宋_GB2312" w:hAnsi="Calibri" w:cs="Calibri"/>
          <w:kern w:val="0"/>
          <w:sz w:val="32"/>
          <w:szCs w:val="32"/>
        </w:rPr>
        <w:t> </w:t>
      </w:r>
      <w:r>
        <w:rPr>
          <w:rFonts w:ascii="仿宋_GB2312" w:eastAsia="仿宋_GB2312" w:hAnsi="仿宋_GB2312" w:cs="仿宋_GB2312" w:hint="eastAsia"/>
          <w:kern w:val="0"/>
          <w:sz w:val="32"/>
          <w:szCs w:val="32"/>
        </w:rPr>
        <w:t>0%，变动原因：本部门无国有资本经营预算财政拨款收、支、余。</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十一、机关运行经费（公用经费）支出决算情况说明</w:t>
      </w:r>
    </w:p>
    <w:p w:rsidR="00C12F65" w:rsidRPr="00FB7ADA"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FB7ADA">
        <w:rPr>
          <w:rFonts w:ascii="仿宋_GB2312" w:eastAsia="仿宋_GB2312" w:hAnsi="仿宋_GB2312" w:cs="仿宋_GB2312"/>
          <w:kern w:val="0"/>
          <w:sz w:val="32"/>
          <w:szCs w:val="32"/>
        </w:rPr>
        <w:t>政协赤峰市委员会办公室 2025年度公用经费支出决算 171.38</w:t>
      </w:r>
      <w:r w:rsidR="00FB7ADA">
        <w:rPr>
          <w:rFonts w:ascii="仿宋_GB2312" w:eastAsia="仿宋_GB2312" w:hAnsi="仿宋_GB2312" w:cs="仿宋_GB2312"/>
          <w:kern w:val="0"/>
          <w:sz w:val="32"/>
          <w:szCs w:val="32"/>
        </w:rPr>
        <w:t>万元，与上年决算相比，增加</w:t>
      </w:r>
      <w:r w:rsidRPr="00FB7ADA">
        <w:rPr>
          <w:rFonts w:ascii="仿宋_GB2312" w:eastAsia="仿宋_GB2312" w:hAnsi="仿宋_GB2312" w:cs="仿宋_GB2312"/>
          <w:kern w:val="0"/>
          <w:sz w:val="32"/>
          <w:szCs w:val="32"/>
        </w:rPr>
        <w:t>2.66万元，增长1.57%，变动原因：</w:t>
      </w:r>
      <w:r w:rsidR="0059231F">
        <w:rPr>
          <w:rFonts w:ascii="仿宋_GB2312" w:eastAsia="仿宋_GB2312" w:hAnsi="仿宋_GB2312" w:cs="仿宋_GB2312" w:hint="eastAsia"/>
          <w:kern w:val="0"/>
          <w:sz w:val="32"/>
          <w:szCs w:val="32"/>
        </w:rPr>
        <w:t>人员差旅费增加。</w:t>
      </w:r>
      <w:r w:rsidRPr="00FB7ADA">
        <w:rPr>
          <w:rFonts w:ascii="仿宋_GB2312" w:eastAsia="仿宋_GB2312" w:hAnsi="仿宋_GB2312" w:cs="仿宋_GB2312"/>
          <w:kern w:val="0"/>
          <w:sz w:val="32"/>
          <w:szCs w:val="32"/>
        </w:rPr>
        <w:t>其中，机关运行经费支出决算 171.38万元。比上年决算相比，增加 2.66万元，增长1.57%，变动原因</w:t>
      </w:r>
      <w:r w:rsidR="0059231F" w:rsidRPr="00FB7ADA">
        <w:rPr>
          <w:rFonts w:ascii="仿宋_GB2312" w:eastAsia="仿宋_GB2312" w:hAnsi="仿宋_GB2312" w:cs="仿宋_GB2312"/>
          <w:kern w:val="0"/>
          <w:sz w:val="32"/>
          <w:szCs w:val="32"/>
        </w:rPr>
        <w:t>：</w:t>
      </w:r>
      <w:r w:rsidR="0059231F">
        <w:rPr>
          <w:rFonts w:ascii="仿宋_GB2312" w:eastAsia="仿宋_GB2312" w:hAnsi="仿宋_GB2312" w:cs="仿宋_GB2312" w:hint="eastAsia"/>
          <w:kern w:val="0"/>
          <w:sz w:val="32"/>
          <w:szCs w:val="32"/>
        </w:rPr>
        <w:t>人员差旅费增加。</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十二、政府采购支出决算情况说明</w:t>
      </w:r>
    </w:p>
    <w:p w:rsidR="00C12F65" w:rsidRPr="0059231F"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59231F">
        <w:rPr>
          <w:rFonts w:ascii="仿宋_GB2312" w:eastAsia="仿宋_GB2312" w:hAnsi="仿宋_GB2312" w:cs="仿宋_GB2312"/>
          <w:kern w:val="0"/>
          <w:sz w:val="32"/>
          <w:szCs w:val="32"/>
        </w:rPr>
        <w:lastRenderedPageBreak/>
        <w:t>政协赤峰市委员会办公室2025年度政府采购支出总额 45.07万元，其中：政府采购货物支出 2.77万元、政府采购工程支出 0万元、政府采购服务支出 42.30万元。政府采购授予中小企业合同金额 42.43万元，占政府采购支出总额的</w:t>
      </w:r>
      <w:r w:rsidR="0059231F">
        <w:rPr>
          <w:rFonts w:ascii="仿宋_GB2312" w:eastAsia="仿宋_GB2312" w:hAnsi="仿宋_GB2312" w:cs="仿宋_GB2312" w:hint="eastAsia"/>
          <w:kern w:val="0"/>
          <w:sz w:val="32"/>
          <w:szCs w:val="32"/>
        </w:rPr>
        <w:t>94.14</w:t>
      </w:r>
      <w:r w:rsidRPr="0059231F">
        <w:rPr>
          <w:rFonts w:ascii="仿宋_GB2312" w:eastAsia="仿宋_GB2312" w:hAnsi="仿宋_GB2312" w:cs="仿宋_GB2312"/>
          <w:kern w:val="0"/>
          <w:sz w:val="32"/>
          <w:szCs w:val="32"/>
        </w:rPr>
        <w:t>%，其中：授予小</w:t>
      </w:r>
      <w:proofErr w:type="gramStart"/>
      <w:r w:rsidRPr="0059231F">
        <w:rPr>
          <w:rFonts w:ascii="仿宋_GB2312" w:eastAsia="仿宋_GB2312" w:hAnsi="仿宋_GB2312" w:cs="仿宋_GB2312"/>
          <w:kern w:val="0"/>
          <w:sz w:val="32"/>
          <w:szCs w:val="32"/>
        </w:rPr>
        <w:t>微企业</w:t>
      </w:r>
      <w:proofErr w:type="gramEnd"/>
      <w:r w:rsidRPr="0059231F">
        <w:rPr>
          <w:rFonts w:ascii="仿宋_GB2312" w:eastAsia="仿宋_GB2312" w:hAnsi="仿宋_GB2312" w:cs="仿宋_GB2312"/>
          <w:kern w:val="0"/>
          <w:sz w:val="32"/>
          <w:szCs w:val="32"/>
        </w:rPr>
        <w:t>合同金额 42.43万元，占政府采购支出总额的</w:t>
      </w:r>
      <w:r w:rsidR="0059231F">
        <w:rPr>
          <w:rFonts w:ascii="仿宋_GB2312" w:eastAsia="仿宋_GB2312" w:hAnsi="仿宋_GB2312" w:cs="仿宋_GB2312" w:hint="eastAsia"/>
          <w:kern w:val="0"/>
          <w:sz w:val="32"/>
          <w:szCs w:val="32"/>
        </w:rPr>
        <w:t>94.14</w:t>
      </w:r>
      <w:r w:rsidRPr="0059231F">
        <w:rPr>
          <w:rFonts w:ascii="仿宋_GB2312" w:eastAsia="仿宋_GB2312" w:hAnsi="仿宋_GB2312" w:cs="仿宋_GB2312"/>
          <w:kern w:val="0"/>
          <w:sz w:val="32"/>
          <w:szCs w:val="32"/>
        </w:rPr>
        <w:t>%；货物采购授予中小企业合同金额占货物支出金额的</w:t>
      </w:r>
      <w:r w:rsidR="0059231F">
        <w:rPr>
          <w:rFonts w:ascii="仿宋_GB2312" w:eastAsia="仿宋_GB2312" w:hAnsi="仿宋_GB2312" w:cs="仿宋_GB2312" w:hint="eastAsia"/>
          <w:kern w:val="0"/>
          <w:sz w:val="32"/>
          <w:szCs w:val="32"/>
        </w:rPr>
        <w:t>0.31</w:t>
      </w:r>
      <w:r w:rsidRPr="0059231F">
        <w:rPr>
          <w:rFonts w:ascii="仿宋_GB2312" w:eastAsia="仿宋_GB2312" w:hAnsi="仿宋_GB2312" w:cs="仿宋_GB2312"/>
          <w:kern w:val="0"/>
          <w:sz w:val="32"/>
          <w:szCs w:val="32"/>
        </w:rPr>
        <w:t>%，工程采购授予中小企业合同金额占工程支出金额的</w:t>
      </w:r>
      <w:r w:rsidR="0059231F">
        <w:rPr>
          <w:rFonts w:ascii="仿宋_GB2312" w:eastAsia="仿宋_GB2312" w:hAnsi="仿宋_GB2312" w:cs="仿宋_GB2312" w:hint="eastAsia"/>
          <w:kern w:val="0"/>
          <w:sz w:val="32"/>
          <w:szCs w:val="32"/>
        </w:rPr>
        <w:t>0</w:t>
      </w:r>
      <w:r w:rsidRPr="0059231F">
        <w:rPr>
          <w:rFonts w:ascii="仿宋_GB2312" w:eastAsia="仿宋_GB2312" w:hAnsi="仿宋_GB2312" w:cs="仿宋_GB2312"/>
          <w:kern w:val="0"/>
          <w:sz w:val="32"/>
          <w:szCs w:val="32"/>
        </w:rPr>
        <w:t>%，服务采购授予中小企业合同金额占服务支出金额的</w:t>
      </w:r>
      <w:r w:rsidR="0059231F">
        <w:rPr>
          <w:rFonts w:ascii="仿宋_GB2312" w:eastAsia="仿宋_GB2312" w:hAnsi="仿宋_GB2312" w:cs="仿宋_GB2312" w:hint="eastAsia"/>
          <w:kern w:val="0"/>
          <w:sz w:val="32"/>
          <w:szCs w:val="32"/>
        </w:rPr>
        <w:t>99.69</w:t>
      </w:r>
      <w:r w:rsidRPr="0059231F">
        <w:rPr>
          <w:rFonts w:ascii="仿宋_GB2312" w:eastAsia="仿宋_GB2312" w:hAnsi="仿宋_GB2312" w:cs="仿宋_GB2312"/>
          <w:kern w:val="0"/>
          <w:sz w:val="32"/>
          <w:szCs w:val="32"/>
        </w:rPr>
        <w:t>%。</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十三、国有资产占用情况说明</w:t>
      </w:r>
    </w:p>
    <w:p w:rsidR="00C12F65" w:rsidRPr="0059231F" w:rsidRDefault="00702E25">
      <w:pPr>
        <w:pStyle w:val="MsoNormal0"/>
        <w:widowControl/>
        <w:spacing w:before="240" w:after="240" w:line="560" w:lineRule="atLeast"/>
        <w:ind w:firstLine="640"/>
        <w:jc w:val="left"/>
        <w:rPr>
          <w:rFonts w:ascii="仿宋_GB2312" w:eastAsia="仿宋_GB2312" w:hAnsi="仿宋_GB2312" w:cs="仿宋_GB2312"/>
          <w:kern w:val="0"/>
          <w:sz w:val="32"/>
          <w:szCs w:val="32"/>
        </w:rPr>
      </w:pPr>
      <w:r w:rsidRPr="0059231F">
        <w:rPr>
          <w:rFonts w:ascii="仿宋_GB2312" w:eastAsia="仿宋_GB2312" w:hAnsi="仿宋_GB2312" w:cs="仿宋_GB2312"/>
          <w:kern w:val="0"/>
          <w:sz w:val="32"/>
          <w:szCs w:val="32"/>
        </w:rPr>
        <w:t>政协赤峰市委员会办公室截至2025年12月31日，本部门（单位）共有车辆1 辆，其中：副部（省）级及以上领导用车0 辆、主要负责人用车1 辆、机要通信用车0 辆、应急保障用车0 辆、执法执勤用车0 辆、特种专业技术用车0 辆、离退休干部服务用车0 辆、其他用车0 辆；单价100万元（含）以上设备（不含车辆）0 台（套）。</w:t>
      </w:r>
    </w:p>
    <w:p w:rsidR="00C12F65" w:rsidRDefault="00702E25">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十四、预算绩效情况说明</w:t>
      </w:r>
    </w:p>
    <w:p w:rsidR="00C12F65" w:rsidRDefault="00702E25">
      <w:pPr>
        <w:pStyle w:val="MsoNormal0"/>
        <w:widowControl/>
        <w:spacing w:before="240" w:after="240"/>
        <w:ind w:firstLine="643"/>
        <w:jc w:val="left"/>
        <w:rPr>
          <w:rFonts w:eastAsia="Times New Roman"/>
          <w:kern w:val="0"/>
          <w:sz w:val="24"/>
        </w:rPr>
      </w:pPr>
      <w:r>
        <w:rPr>
          <w:rFonts w:ascii="KaiTi" w:eastAsia="KaiTi" w:hAnsi="KaiTi" w:cs="KaiTi"/>
          <w:b/>
          <w:bCs/>
          <w:kern w:val="0"/>
          <w:sz w:val="32"/>
          <w:szCs w:val="32"/>
        </w:rPr>
        <w:t>（一）预算绩效管理工作开展情况。</w:t>
      </w:r>
    </w:p>
    <w:p w:rsidR="0059231F" w:rsidRPr="0059231F" w:rsidRDefault="00702E25" w:rsidP="0059231F">
      <w:pPr>
        <w:widowControl/>
        <w:spacing w:before="240" w:after="240"/>
        <w:ind w:firstLineChars="200" w:firstLine="640"/>
        <w:rPr>
          <w:rFonts w:ascii="仿宋_GB2312" w:eastAsia="仿宋_GB2312" w:hAnsi="仿宋_GB2312" w:cs="仿宋_GB2312"/>
          <w:kern w:val="0"/>
          <w:sz w:val="32"/>
          <w:szCs w:val="32"/>
        </w:rPr>
      </w:pPr>
      <w:r w:rsidRPr="0059231F">
        <w:rPr>
          <w:rFonts w:ascii="仿宋_GB2312" w:eastAsia="仿宋_GB2312" w:hAnsi="仿宋_GB2312" w:cs="仿宋_GB2312"/>
          <w:kern w:val="0"/>
          <w:sz w:val="32"/>
          <w:szCs w:val="32"/>
        </w:rPr>
        <w:t>政协赤峰市委员会办公室根据预算绩效管理要求组织对2025年一般公共预算项目支出全面开展绩效自评，共涉及项目</w:t>
      </w:r>
      <w:r w:rsidR="0059231F" w:rsidRPr="0059231F">
        <w:rPr>
          <w:rFonts w:ascii="仿宋_GB2312" w:eastAsia="仿宋_GB2312" w:hAnsi="仿宋_GB2312" w:cs="仿宋_GB2312" w:hint="eastAsia"/>
          <w:kern w:val="0"/>
          <w:sz w:val="32"/>
          <w:szCs w:val="32"/>
        </w:rPr>
        <w:t>9</w:t>
      </w:r>
      <w:r w:rsidRPr="0059231F">
        <w:rPr>
          <w:rFonts w:ascii="仿宋_GB2312" w:eastAsia="仿宋_GB2312" w:hAnsi="仿宋_GB2312" w:cs="仿宋_GB2312"/>
          <w:kern w:val="0"/>
          <w:sz w:val="32"/>
          <w:szCs w:val="32"/>
        </w:rPr>
        <w:t>个，资金 381.35万元，占一般公共预算项目支出</w:t>
      </w:r>
      <w:r w:rsidRPr="0059231F">
        <w:rPr>
          <w:rFonts w:ascii="仿宋_GB2312" w:eastAsia="仿宋_GB2312" w:hAnsi="仿宋_GB2312" w:cs="仿宋_GB2312"/>
          <w:kern w:val="0"/>
          <w:sz w:val="32"/>
          <w:szCs w:val="32"/>
        </w:rPr>
        <w:lastRenderedPageBreak/>
        <w:t>总额的100%；政府性基金预算项目</w:t>
      </w:r>
      <w:r w:rsidR="0059231F" w:rsidRPr="0059231F">
        <w:rPr>
          <w:rFonts w:ascii="仿宋_GB2312" w:eastAsia="仿宋_GB2312" w:hAnsi="仿宋_GB2312" w:cs="仿宋_GB2312" w:hint="eastAsia"/>
          <w:kern w:val="0"/>
          <w:sz w:val="32"/>
          <w:szCs w:val="32"/>
        </w:rPr>
        <w:t>0</w:t>
      </w:r>
      <w:r w:rsidRPr="0059231F">
        <w:rPr>
          <w:rFonts w:ascii="仿宋_GB2312" w:eastAsia="仿宋_GB2312" w:hAnsi="仿宋_GB2312" w:cs="仿宋_GB2312"/>
          <w:kern w:val="0"/>
          <w:sz w:val="32"/>
          <w:szCs w:val="32"/>
        </w:rPr>
        <w:t>个，共涉及资金 0万元，占政府性基金预算项目支出总额的100%；</w:t>
      </w:r>
    </w:p>
    <w:p w:rsidR="0059231F" w:rsidRDefault="0059231F" w:rsidP="0059231F">
      <w:pPr>
        <w:widowControl/>
        <w:spacing w:before="240" w:after="240"/>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组织对“专门委员会活动经费”、“口述史制作经费”“ 相关工作经费”“ 赤峰文史馆日常运行费”“《赤峰文史》期刊发行费”“ 会议费”“委员活动经费”等9个项目开展了部门评价，涉及一般公共预算支出381.35万元，政府性基金支出0万元。从评价情况看，以上项目八届四次政协全会顺利召开，《赤峰文史》期刊出版发行5期，专门委员会外出调研考察如期完成，《口述史》制作完成10期，赤峰文史馆日常运行保障良好，组织委员培训视察活动开展顺利，以上项目绩效目标工作有序、顺利完成。</w:t>
      </w:r>
    </w:p>
    <w:p w:rsidR="00C12F65" w:rsidRDefault="00702E25">
      <w:pPr>
        <w:pStyle w:val="MsoNormal0"/>
        <w:widowControl/>
        <w:spacing w:before="240" w:after="240"/>
        <w:ind w:firstLine="643"/>
        <w:jc w:val="left"/>
        <w:rPr>
          <w:rFonts w:eastAsia="Times New Roman"/>
          <w:kern w:val="0"/>
          <w:sz w:val="24"/>
        </w:rPr>
      </w:pPr>
      <w:r>
        <w:rPr>
          <w:rFonts w:ascii="KaiTi" w:eastAsia="KaiTi" w:hAnsi="KaiTi" w:cs="KaiTi"/>
          <w:b/>
          <w:bCs/>
          <w:kern w:val="0"/>
          <w:sz w:val="32"/>
          <w:szCs w:val="32"/>
        </w:rPr>
        <w:t>（二）部门（单位）决算</w:t>
      </w:r>
      <w:proofErr w:type="gramStart"/>
      <w:r>
        <w:rPr>
          <w:rFonts w:ascii="KaiTi" w:eastAsia="KaiTi" w:hAnsi="KaiTi" w:cs="KaiTi"/>
          <w:b/>
          <w:bCs/>
          <w:kern w:val="0"/>
          <w:sz w:val="32"/>
          <w:szCs w:val="32"/>
        </w:rPr>
        <w:t>中项目</w:t>
      </w:r>
      <w:proofErr w:type="gramEnd"/>
      <w:r>
        <w:rPr>
          <w:rFonts w:ascii="KaiTi" w:eastAsia="KaiTi" w:hAnsi="KaiTi" w:cs="KaiTi"/>
          <w:b/>
          <w:bCs/>
          <w:kern w:val="0"/>
          <w:sz w:val="32"/>
          <w:szCs w:val="32"/>
        </w:rPr>
        <w:t>绩效自评结果。</w:t>
      </w:r>
    </w:p>
    <w:p w:rsidR="0059231F" w:rsidRDefault="0059231F" w:rsidP="0059231F">
      <w:pPr>
        <w:widowControl/>
        <w:spacing w:before="240" w:after="240"/>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政协赤峰市委员会办公室 2025年度在决算中反映9个一般公共预算项目，以及0个政府性基金项目，共9个项目的绩效自评结果。</w:t>
      </w:r>
    </w:p>
    <w:p w:rsidR="0059231F" w:rsidRDefault="0059231F" w:rsidP="0059231F">
      <w:pPr>
        <w:widowControl/>
        <w:spacing w:before="240" w:after="240"/>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1.</w:t>
      </w:r>
      <w:r w:rsidR="004600B0" w:rsidRPr="004600B0">
        <w:rPr>
          <w:rFonts w:ascii="仿宋_GB2312" w:eastAsia="仿宋_GB2312" w:hAnsi="仿宋_GB2312" w:cs="仿宋_GB2312" w:hint="eastAsia"/>
          <w:b/>
          <w:bCs/>
          <w:kern w:val="0"/>
          <w:sz w:val="32"/>
          <w:szCs w:val="32"/>
        </w:rPr>
        <w:t xml:space="preserve"> </w:t>
      </w:r>
      <w:r w:rsidR="004600B0">
        <w:rPr>
          <w:rFonts w:ascii="仿宋_GB2312" w:eastAsia="仿宋_GB2312" w:hAnsi="仿宋_GB2312" w:cs="仿宋_GB2312" w:hint="eastAsia"/>
          <w:b/>
          <w:bCs/>
          <w:kern w:val="0"/>
          <w:sz w:val="32"/>
          <w:szCs w:val="32"/>
        </w:rPr>
        <w:t>会议费项目自评综述：</w:t>
      </w:r>
      <w:r w:rsidR="004600B0">
        <w:rPr>
          <w:rFonts w:ascii="仿宋_GB2312" w:eastAsia="仿宋_GB2312" w:hAnsi="仿宋_GB2312" w:cs="仿宋_GB2312" w:hint="eastAsia"/>
          <w:kern w:val="0"/>
          <w:sz w:val="32"/>
          <w:szCs w:val="32"/>
        </w:rPr>
        <w:t>项目自评得分99分。全年预算数为170万元，执行数为156.13万元，完成预算的91.84%。项目绩效目标完成情况：用于召开赤峰市政协八届四次全会（一类会议），召开政协常委会（二类会议），召开信息工作会议、提案工作会议、座谈会等其他各类会议（三类会议），加快政协提案提交率、提升政协参政议</w:t>
      </w:r>
      <w:r w:rsidR="004600B0">
        <w:rPr>
          <w:rFonts w:ascii="仿宋_GB2312" w:eastAsia="仿宋_GB2312" w:hAnsi="仿宋_GB2312" w:cs="仿宋_GB2312" w:hint="eastAsia"/>
          <w:kern w:val="0"/>
          <w:sz w:val="32"/>
          <w:szCs w:val="32"/>
        </w:rPr>
        <w:lastRenderedPageBreak/>
        <w:t>政程度。发现的主要问题及原因：委员长期建言献策积极性有待提高。下一步改进措施：通过组织培训、召开协商会议，提高委员建言献策积极性。</w:t>
      </w:r>
    </w:p>
    <w:p w:rsidR="0059231F" w:rsidRDefault="0059231F" w:rsidP="0059231F">
      <w:pPr>
        <w:widowControl/>
        <w:spacing w:before="240" w:after="240"/>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2.</w:t>
      </w:r>
      <w:r w:rsidR="004600B0" w:rsidRPr="004600B0">
        <w:rPr>
          <w:rFonts w:ascii="仿宋_GB2312" w:eastAsia="仿宋_GB2312" w:hAnsi="仿宋_GB2312" w:cs="仿宋_GB2312" w:hint="eastAsia"/>
          <w:b/>
          <w:bCs/>
          <w:kern w:val="0"/>
          <w:sz w:val="32"/>
          <w:szCs w:val="32"/>
        </w:rPr>
        <w:t xml:space="preserve"> </w:t>
      </w:r>
      <w:r w:rsidR="004600B0">
        <w:rPr>
          <w:rFonts w:ascii="仿宋_GB2312" w:eastAsia="仿宋_GB2312" w:hAnsi="仿宋_GB2312" w:cs="仿宋_GB2312" w:hint="eastAsia"/>
          <w:b/>
          <w:bCs/>
          <w:kern w:val="0"/>
          <w:sz w:val="32"/>
          <w:szCs w:val="32"/>
        </w:rPr>
        <w:t>专门委员会活动经费项目自评综述：</w:t>
      </w:r>
      <w:r w:rsidR="004600B0">
        <w:rPr>
          <w:rFonts w:ascii="仿宋_GB2312" w:eastAsia="仿宋_GB2312" w:hAnsi="仿宋_GB2312" w:cs="仿宋_GB2312" w:hint="eastAsia"/>
          <w:kern w:val="0"/>
          <w:sz w:val="32"/>
          <w:szCs w:val="32"/>
        </w:rPr>
        <w:t>根据年初设定的绩效目标，项目自评得分100分。全年预算数为40万元，执行数为39.85万元，完成预算的90%。项目绩效目标完成情况：2025年顺利组织政协委员、专家学者就调研议政协商</w:t>
      </w:r>
      <w:proofErr w:type="gramStart"/>
      <w:r w:rsidR="004600B0">
        <w:rPr>
          <w:rFonts w:ascii="仿宋_GB2312" w:eastAsia="仿宋_GB2312" w:hAnsi="仿宋_GB2312" w:cs="仿宋_GB2312" w:hint="eastAsia"/>
          <w:kern w:val="0"/>
          <w:sz w:val="32"/>
          <w:szCs w:val="32"/>
        </w:rPr>
        <w:t>课题赴</w:t>
      </w:r>
      <w:proofErr w:type="gramEnd"/>
      <w:r w:rsidR="004600B0">
        <w:rPr>
          <w:rFonts w:ascii="仿宋_GB2312" w:eastAsia="仿宋_GB2312" w:hAnsi="仿宋_GB2312" w:cs="仿宋_GB2312" w:hint="eastAsia"/>
          <w:kern w:val="0"/>
          <w:sz w:val="32"/>
          <w:szCs w:val="32"/>
        </w:rPr>
        <w:t>外地及旗县调研，提升委员</w:t>
      </w:r>
      <w:proofErr w:type="gramStart"/>
      <w:r w:rsidR="004600B0">
        <w:rPr>
          <w:rFonts w:ascii="仿宋_GB2312" w:eastAsia="仿宋_GB2312" w:hAnsi="仿宋_GB2312" w:cs="仿宋_GB2312" w:hint="eastAsia"/>
          <w:kern w:val="0"/>
          <w:sz w:val="32"/>
          <w:szCs w:val="32"/>
        </w:rPr>
        <w:t>履</w:t>
      </w:r>
      <w:proofErr w:type="gramEnd"/>
      <w:r w:rsidR="004600B0">
        <w:rPr>
          <w:rFonts w:ascii="仿宋_GB2312" w:eastAsia="仿宋_GB2312" w:hAnsi="仿宋_GB2312" w:cs="仿宋_GB2312" w:hint="eastAsia"/>
          <w:kern w:val="0"/>
          <w:sz w:val="32"/>
          <w:szCs w:val="32"/>
        </w:rPr>
        <w:t>职能力，向市委政府提交调研报告、视察报告。发现的主要问题及原因：专委会外出考察学习由于经费原因受限制。下一步改进措施：在节约经费的情况下多种组织外出考察学习。</w:t>
      </w:r>
    </w:p>
    <w:p w:rsidR="0059231F" w:rsidRDefault="00217CF9" w:rsidP="0059231F">
      <w:pPr>
        <w:widowControl/>
        <w:spacing w:before="240" w:after="240"/>
        <w:ind w:firstLineChars="200" w:firstLine="643"/>
        <w:rPr>
          <w:rFonts w:ascii="仿宋_GB2312" w:eastAsia="仿宋_GB2312" w:hAnsi="仿宋_GB2312" w:cs="仿宋_GB2312"/>
          <w:kern w:val="0"/>
          <w:sz w:val="32"/>
          <w:szCs w:val="32"/>
        </w:rPr>
      </w:pPr>
      <w:r>
        <w:rPr>
          <w:rFonts w:ascii="仿宋_GB2312" w:eastAsia="仿宋_GB2312" w:hAnsi="仿宋_GB2312" w:cs="仿宋_GB2312"/>
          <w:b/>
          <w:bCs/>
          <w:kern w:val="0"/>
          <w:sz w:val="32"/>
          <w:szCs w:val="32"/>
        </w:rPr>
        <w:t>3</w:t>
      </w:r>
      <w:r w:rsidR="0059231F">
        <w:rPr>
          <w:rFonts w:ascii="仿宋_GB2312" w:eastAsia="仿宋_GB2312" w:hAnsi="仿宋_GB2312" w:cs="仿宋_GB2312" w:hint="eastAsia"/>
          <w:b/>
          <w:bCs/>
          <w:kern w:val="0"/>
          <w:sz w:val="32"/>
          <w:szCs w:val="32"/>
        </w:rPr>
        <w:t>.文史工作专项经费项目自评综述：</w:t>
      </w:r>
      <w:r w:rsidR="0059231F">
        <w:rPr>
          <w:rFonts w:ascii="仿宋_GB2312" w:eastAsia="仿宋_GB2312" w:hAnsi="仿宋_GB2312" w:cs="仿宋_GB2312" w:hint="eastAsia"/>
          <w:kern w:val="0"/>
          <w:sz w:val="32"/>
          <w:szCs w:val="32"/>
        </w:rPr>
        <w:t>项目自评得分97分。全年预算数为50万元，执行数为37.84万元，完成预算的75.68%。项目绩效目标完成情况：完成赤峰市产业发展老照片展及老照片展的画册印刷，提</w:t>
      </w:r>
      <w:proofErr w:type="gramStart"/>
      <w:r w:rsidR="0059231F">
        <w:rPr>
          <w:rFonts w:ascii="仿宋_GB2312" w:eastAsia="仿宋_GB2312" w:hAnsi="仿宋_GB2312" w:cs="仿宋_GB2312" w:hint="eastAsia"/>
          <w:kern w:val="0"/>
          <w:sz w:val="32"/>
          <w:szCs w:val="32"/>
        </w:rPr>
        <w:t>振群众</w:t>
      </w:r>
      <w:proofErr w:type="gramEnd"/>
      <w:r w:rsidR="0059231F">
        <w:rPr>
          <w:rFonts w:ascii="仿宋_GB2312" w:eastAsia="仿宋_GB2312" w:hAnsi="仿宋_GB2312" w:cs="仿宋_GB2312" w:hint="eastAsia"/>
          <w:kern w:val="0"/>
          <w:sz w:val="32"/>
          <w:szCs w:val="32"/>
        </w:rPr>
        <w:t>发展信心。</w:t>
      </w:r>
    </w:p>
    <w:p w:rsidR="0059231F" w:rsidRDefault="00217CF9" w:rsidP="0059231F">
      <w:pPr>
        <w:widowControl/>
        <w:spacing w:before="240" w:after="240"/>
        <w:ind w:firstLineChars="200" w:firstLine="643"/>
        <w:rPr>
          <w:rFonts w:ascii="仿宋_GB2312" w:eastAsia="仿宋_GB2312" w:hAnsi="仿宋_GB2312" w:cs="仿宋_GB2312"/>
          <w:kern w:val="0"/>
          <w:sz w:val="32"/>
          <w:szCs w:val="32"/>
        </w:rPr>
      </w:pPr>
      <w:r>
        <w:rPr>
          <w:rFonts w:ascii="仿宋_GB2312" w:eastAsia="仿宋_GB2312" w:hAnsi="仿宋_GB2312" w:cs="仿宋_GB2312"/>
          <w:b/>
          <w:bCs/>
          <w:kern w:val="0"/>
          <w:sz w:val="32"/>
          <w:szCs w:val="32"/>
        </w:rPr>
        <w:t>4</w:t>
      </w:r>
      <w:r w:rsidR="0059231F">
        <w:rPr>
          <w:rFonts w:ascii="仿宋_GB2312" w:eastAsia="仿宋_GB2312" w:hAnsi="仿宋_GB2312" w:cs="仿宋_GB2312" w:hint="eastAsia"/>
          <w:b/>
          <w:bCs/>
          <w:kern w:val="0"/>
          <w:sz w:val="32"/>
          <w:szCs w:val="32"/>
        </w:rPr>
        <w:t>.《赤峰文史》期刊发行费项目自评综述：</w:t>
      </w:r>
      <w:r w:rsidR="0059231F">
        <w:rPr>
          <w:rFonts w:ascii="仿宋_GB2312" w:eastAsia="仿宋_GB2312" w:hAnsi="仿宋_GB2312" w:cs="仿宋_GB2312" w:hint="eastAsia"/>
          <w:kern w:val="0"/>
          <w:sz w:val="32"/>
          <w:szCs w:val="32"/>
        </w:rPr>
        <w:t>项目自评得分100分。全年预算数为49万元，执行数为49万元，完成预算的100%。项目绩效目标完成情况：用于保障2025年度《赤峰文史》印刷，以文字图片等资料的形式保存在赤峰经济社会发展历程上有影响力的事件及任务，保护宣传赤峰近现代史，长期弘扬我市历史文化。</w:t>
      </w:r>
    </w:p>
    <w:p w:rsidR="0059231F" w:rsidRDefault="00217CF9" w:rsidP="0059231F">
      <w:pPr>
        <w:widowControl/>
        <w:spacing w:before="240" w:after="240"/>
        <w:ind w:firstLineChars="200" w:firstLine="643"/>
        <w:rPr>
          <w:rFonts w:ascii="仿宋_GB2312" w:eastAsia="仿宋_GB2312" w:hAnsi="仿宋_GB2312" w:cs="仿宋_GB2312"/>
          <w:kern w:val="0"/>
          <w:sz w:val="32"/>
          <w:szCs w:val="32"/>
        </w:rPr>
      </w:pPr>
      <w:r>
        <w:rPr>
          <w:rFonts w:ascii="仿宋_GB2312" w:eastAsia="仿宋_GB2312" w:hAnsi="仿宋_GB2312" w:cs="仿宋_GB2312"/>
          <w:b/>
          <w:bCs/>
          <w:kern w:val="0"/>
          <w:sz w:val="32"/>
          <w:szCs w:val="32"/>
        </w:rPr>
        <w:lastRenderedPageBreak/>
        <w:t>5</w:t>
      </w:r>
      <w:r w:rsidR="0059231F">
        <w:rPr>
          <w:rFonts w:ascii="仿宋_GB2312" w:eastAsia="仿宋_GB2312" w:hAnsi="仿宋_GB2312" w:cs="仿宋_GB2312" w:hint="eastAsia"/>
          <w:b/>
          <w:bCs/>
          <w:kern w:val="0"/>
          <w:sz w:val="32"/>
          <w:szCs w:val="32"/>
        </w:rPr>
        <w:t>.</w:t>
      </w:r>
      <w:r w:rsidR="004600B0">
        <w:rPr>
          <w:rFonts w:ascii="仿宋_GB2312" w:eastAsia="仿宋_GB2312" w:hAnsi="仿宋_GB2312" w:cs="仿宋_GB2312"/>
          <w:kern w:val="0"/>
          <w:sz w:val="32"/>
          <w:szCs w:val="32"/>
        </w:rPr>
        <w:t xml:space="preserve"> </w:t>
      </w:r>
      <w:r w:rsidR="004600B0">
        <w:rPr>
          <w:rFonts w:ascii="仿宋_GB2312" w:eastAsia="仿宋_GB2312" w:hAnsi="仿宋_GB2312" w:cs="仿宋_GB2312" w:hint="eastAsia"/>
          <w:b/>
          <w:bCs/>
          <w:kern w:val="0"/>
          <w:sz w:val="32"/>
          <w:szCs w:val="32"/>
        </w:rPr>
        <w:t>口述</w:t>
      </w:r>
      <w:proofErr w:type="gramStart"/>
      <w:r w:rsidR="004600B0">
        <w:rPr>
          <w:rFonts w:ascii="仿宋_GB2312" w:eastAsia="仿宋_GB2312" w:hAnsi="仿宋_GB2312" w:cs="仿宋_GB2312" w:hint="eastAsia"/>
          <w:b/>
          <w:bCs/>
          <w:kern w:val="0"/>
          <w:sz w:val="32"/>
          <w:szCs w:val="32"/>
        </w:rPr>
        <w:t>史制作</w:t>
      </w:r>
      <w:proofErr w:type="gramEnd"/>
      <w:r w:rsidR="004600B0">
        <w:rPr>
          <w:rFonts w:ascii="仿宋_GB2312" w:eastAsia="仿宋_GB2312" w:hAnsi="仿宋_GB2312" w:cs="仿宋_GB2312" w:hint="eastAsia"/>
          <w:b/>
          <w:bCs/>
          <w:kern w:val="0"/>
          <w:sz w:val="32"/>
          <w:szCs w:val="32"/>
        </w:rPr>
        <w:t>经费项目自评综述：</w:t>
      </w:r>
      <w:r w:rsidR="004600B0">
        <w:rPr>
          <w:rFonts w:ascii="仿宋_GB2312" w:eastAsia="仿宋_GB2312" w:hAnsi="仿宋_GB2312" w:cs="仿宋_GB2312" w:hint="eastAsia"/>
          <w:kern w:val="0"/>
          <w:sz w:val="32"/>
          <w:szCs w:val="32"/>
        </w:rPr>
        <w:t>项目自评得分100分。全年预算数为4万元，执行数为4万元，完成预算的100%。项目绩效目标完成情况：以影音资料的形式保存对赤峰有影响力的老干部、抗战老兵等资料，搜集、记录参与赤峰近现代建设发展的亲历者的口头史料，制作10期口述史，长期弘扬我市历史文化。</w:t>
      </w:r>
    </w:p>
    <w:p w:rsidR="00A54D56" w:rsidRDefault="00A54D56" w:rsidP="0059231F">
      <w:pPr>
        <w:widowControl/>
        <w:spacing w:before="240" w:after="240"/>
        <w:ind w:firstLineChars="200" w:firstLine="640"/>
        <w:rPr>
          <w:rFonts w:ascii="仿宋_GB2312" w:eastAsia="仿宋_GB2312" w:hAnsi="仿宋_GB2312" w:cs="仿宋_GB2312"/>
          <w:kern w:val="0"/>
          <w:sz w:val="32"/>
          <w:szCs w:val="32"/>
        </w:rPr>
      </w:pPr>
    </w:p>
    <w:p w:rsidR="00A54D56" w:rsidRDefault="00A54D56" w:rsidP="0059231F">
      <w:pPr>
        <w:widowControl/>
        <w:spacing w:before="240" w:after="240"/>
        <w:ind w:firstLineChars="200" w:firstLine="640"/>
        <w:rPr>
          <w:rFonts w:ascii="仿宋_GB2312" w:eastAsia="仿宋_GB2312" w:hAnsi="仿宋_GB2312" w:cs="仿宋_GB2312"/>
          <w:kern w:val="0"/>
          <w:sz w:val="32"/>
          <w:szCs w:val="32"/>
        </w:rPr>
      </w:pPr>
    </w:p>
    <w:p w:rsidR="00A54D56" w:rsidRDefault="00A54D56" w:rsidP="0059231F">
      <w:pPr>
        <w:widowControl/>
        <w:spacing w:before="240" w:after="240"/>
        <w:ind w:firstLineChars="200" w:firstLine="640"/>
        <w:rPr>
          <w:rFonts w:ascii="仿宋_GB2312" w:eastAsia="仿宋_GB2312" w:hAnsi="仿宋_GB2312" w:cs="仿宋_GB2312"/>
          <w:kern w:val="0"/>
          <w:sz w:val="32"/>
          <w:szCs w:val="32"/>
        </w:rPr>
      </w:pPr>
    </w:p>
    <w:p w:rsidR="00A54D56" w:rsidRDefault="00A54D56" w:rsidP="0059231F">
      <w:pPr>
        <w:widowControl/>
        <w:spacing w:before="240" w:after="240"/>
        <w:ind w:firstLineChars="200" w:firstLine="640"/>
        <w:rPr>
          <w:rFonts w:ascii="仿宋_GB2312" w:eastAsia="仿宋_GB2312" w:hAnsi="仿宋_GB2312" w:cs="仿宋_GB2312"/>
          <w:kern w:val="0"/>
          <w:sz w:val="32"/>
          <w:szCs w:val="32"/>
        </w:rPr>
      </w:pPr>
    </w:p>
    <w:p w:rsidR="00A54D56" w:rsidRDefault="00A54D56" w:rsidP="0059231F">
      <w:pPr>
        <w:widowControl/>
        <w:spacing w:before="240" w:after="240"/>
        <w:ind w:firstLineChars="200" w:firstLine="640"/>
        <w:rPr>
          <w:rFonts w:ascii="仿宋_GB2312" w:eastAsia="仿宋_GB2312" w:hAnsi="仿宋_GB2312" w:cs="仿宋_GB2312"/>
          <w:kern w:val="0"/>
          <w:sz w:val="32"/>
          <w:szCs w:val="32"/>
        </w:rPr>
      </w:pPr>
    </w:p>
    <w:p w:rsidR="00A54D56" w:rsidRDefault="00A54D56" w:rsidP="0059231F">
      <w:pPr>
        <w:widowControl/>
        <w:spacing w:before="240" w:after="240"/>
        <w:ind w:firstLineChars="200" w:firstLine="640"/>
        <w:rPr>
          <w:rFonts w:ascii="仿宋_GB2312" w:eastAsia="仿宋_GB2312" w:hAnsi="仿宋_GB2312" w:cs="仿宋_GB2312"/>
          <w:kern w:val="0"/>
          <w:sz w:val="32"/>
          <w:szCs w:val="32"/>
        </w:rPr>
      </w:pPr>
    </w:p>
    <w:p w:rsidR="00A54D56" w:rsidRDefault="00A54D56" w:rsidP="0059231F">
      <w:pPr>
        <w:widowControl/>
        <w:spacing w:before="240" w:after="240"/>
        <w:ind w:firstLineChars="200" w:firstLine="640"/>
        <w:rPr>
          <w:rFonts w:ascii="仿宋_GB2312" w:eastAsia="仿宋_GB2312" w:hAnsi="仿宋_GB2312" w:cs="仿宋_GB2312"/>
          <w:kern w:val="0"/>
          <w:sz w:val="32"/>
          <w:szCs w:val="32"/>
        </w:rPr>
      </w:pPr>
    </w:p>
    <w:p w:rsidR="00A54D56" w:rsidRDefault="00A54D56" w:rsidP="0059231F">
      <w:pPr>
        <w:widowControl/>
        <w:spacing w:before="240" w:after="240"/>
        <w:ind w:firstLineChars="200" w:firstLine="640"/>
        <w:rPr>
          <w:rFonts w:ascii="仿宋_GB2312" w:eastAsia="仿宋_GB2312" w:hAnsi="仿宋_GB2312" w:cs="仿宋_GB2312"/>
          <w:kern w:val="0"/>
          <w:sz w:val="32"/>
          <w:szCs w:val="32"/>
        </w:rPr>
      </w:pPr>
    </w:p>
    <w:p w:rsidR="00A54D56" w:rsidRDefault="00A54D56" w:rsidP="0059231F">
      <w:pPr>
        <w:widowControl/>
        <w:spacing w:before="240" w:after="240"/>
        <w:ind w:firstLineChars="200" w:firstLine="640"/>
        <w:rPr>
          <w:rFonts w:ascii="仿宋_GB2312" w:eastAsia="仿宋_GB2312" w:hAnsi="仿宋_GB2312" w:cs="仿宋_GB2312"/>
          <w:kern w:val="0"/>
          <w:sz w:val="32"/>
          <w:szCs w:val="32"/>
        </w:rPr>
      </w:pPr>
    </w:p>
    <w:p w:rsidR="00A54D56" w:rsidRDefault="00A54D56" w:rsidP="0059231F">
      <w:pPr>
        <w:widowControl/>
        <w:spacing w:before="240" w:after="240"/>
        <w:ind w:firstLineChars="200" w:firstLine="640"/>
        <w:rPr>
          <w:rFonts w:ascii="仿宋_GB2312" w:eastAsia="仿宋_GB2312" w:hAnsi="仿宋_GB2312" w:cs="仿宋_GB2312"/>
          <w:kern w:val="0"/>
          <w:sz w:val="32"/>
          <w:szCs w:val="32"/>
        </w:rPr>
      </w:pPr>
    </w:p>
    <w:p w:rsidR="00A54D56" w:rsidRDefault="00A54D56" w:rsidP="0059231F">
      <w:pPr>
        <w:widowControl/>
        <w:spacing w:before="240" w:after="240"/>
        <w:ind w:firstLineChars="200" w:firstLine="640"/>
        <w:rPr>
          <w:rFonts w:ascii="仿宋_GB2312" w:eastAsia="仿宋_GB2312" w:hAnsi="仿宋_GB2312" w:cs="仿宋_GB2312"/>
          <w:kern w:val="0"/>
          <w:sz w:val="32"/>
          <w:szCs w:val="32"/>
        </w:rPr>
      </w:pPr>
    </w:p>
    <w:p w:rsidR="00A54D56" w:rsidRDefault="00A54D56" w:rsidP="0059231F">
      <w:pPr>
        <w:widowControl/>
        <w:spacing w:before="240" w:after="240"/>
        <w:ind w:firstLineChars="200" w:firstLine="640"/>
        <w:rPr>
          <w:rFonts w:ascii="仿宋_GB2312" w:eastAsia="仿宋_GB2312" w:hAnsi="仿宋_GB2312" w:cs="仿宋_GB2312"/>
          <w:kern w:val="0"/>
          <w:sz w:val="32"/>
          <w:szCs w:val="32"/>
        </w:rPr>
      </w:pPr>
    </w:p>
    <w:tbl>
      <w:tblPr>
        <w:tblW w:w="9140" w:type="dxa"/>
        <w:tblInd w:w="113" w:type="dxa"/>
        <w:tblLook w:val="04A0" w:firstRow="1" w:lastRow="0" w:firstColumn="1" w:lastColumn="0" w:noHBand="0" w:noVBand="1"/>
      </w:tblPr>
      <w:tblGrid>
        <w:gridCol w:w="513"/>
        <w:gridCol w:w="629"/>
        <w:gridCol w:w="847"/>
        <w:gridCol w:w="996"/>
        <w:gridCol w:w="667"/>
        <w:gridCol w:w="801"/>
        <w:gridCol w:w="805"/>
        <w:gridCol w:w="805"/>
        <w:gridCol w:w="920"/>
        <w:gridCol w:w="671"/>
        <w:gridCol w:w="666"/>
        <w:gridCol w:w="820"/>
      </w:tblGrid>
      <w:tr w:rsidR="004600B0" w:rsidRPr="004600B0" w:rsidTr="004600B0">
        <w:trPr>
          <w:trHeight w:val="510"/>
        </w:trPr>
        <w:tc>
          <w:tcPr>
            <w:tcW w:w="914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b/>
                <w:bCs/>
                <w:color w:val="000000"/>
                <w:kern w:val="0"/>
                <w:sz w:val="40"/>
                <w:szCs w:val="40"/>
              </w:rPr>
            </w:pPr>
            <w:r w:rsidRPr="004600B0">
              <w:rPr>
                <w:rFonts w:ascii="宋体" w:hAnsi="宋体" w:cs="宋体" w:hint="eastAsia"/>
                <w:b/>
                <w:bCs/>
                <w:color w:val="000000"/>
                <w:kern w:val="0"/>
                <w:sz w:val="40"/>
                <w:szCs w:val="40"/>
              </w:rPr>
              <w:lastRenderedPageBreak/>
              <w:t>项目支出绩效自评表</w:t>
            </w:r>
          </w:p>
        </w:tc>
      </w:tr>
      <w:tr w:rsidR="004600B0" w:rsidRPr="004600B0" w:rsidTr="004600B0">
        <w:trPr>
          <w:trHeight w:val="270"/>
        </w:trPr>
        <w:tc>
          <w:tcPr>
            <w:tcW w:w="11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right"/>
              <w:rPr>
                <w:rFonts w:ascii="宋体" w:hAnsi="宋体" w:cs="宋体" w:hint="eastAsia"/>
                <w:color w:val="000000"/>
                <w:kern w:val="0"/>
                <w:sz w:val="18"/>
                <w:szCs w:val="18"/>
              </w:rPr>
            </w:pPr>
            <w:r w:rsidRPr="004600B0">
              <w:rPr>
                <w:rFonts w:ascii="宋体" w:hAnsi="宋体" w:cs="宋体" w:hint="eastAsia"/>
                <w:color w:val="000000"/>
                <w:kern w:val="0"/>
                <w:sz w:val="18"/>
                <w:szCs w:val="18"/>
              </w:rPr>
              <w:t>项目名称</w:t>
            </w:r>
          </w:p>
        </w:tc>
        <w:tc>
          <w:tcPr>
            <w:tcW w:w="7980" w:type="dxa"/>
            <w:gridSpan w:val="10"/>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会议费</w:t>
            </w:r>
          </w:p>
        </w:tc>
      </w:tr>
      <w:tr w:rsidR="004600B0" w:rsidRPr="004600B0" w:rsidTr="004600B0">
        <w:trPr>
          <w:trHeight w:val="270"/>
        </w:trPr>
        <w:tc>
          <w:tcPr>
            <w:tcW w:w="11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right"/>
              <w:rPr>
                <w:rFonts w:ascii="宋体" w:hAnsi="宋体" w:cs="宋体" w:hint="eastAsia"/>
                <w:color w:val="000000"/>
                <w:kern w:val="0"/>
                <w:sz w:val="18"/>
                <w:szCs w:val="18"/>
              </w:rPr>
            </w:pPr>
            <w:r w:rsidRPr="004600B0">
              <w:rPr>
                <w:rFonts w:ascii="宋体" w:hAnsi="宋体" w:cs="宋体" w:hint="eastAsia"/>
                <w:color w:val="000000"/>
                <w:kern w:val="0"/>
                <w:sz w:val="18"/>
                <w:szCs w:val="18"/>
              </w:rPr>
              <w:t>主管部门</w:t>
            </w:r>
          </w:p>
        </w:tc>
        <w:tc>
          <w:tcPr>
            <w:tcW w:w="3380" w:type="dxa"/>
            <w:gridSpan w:val="4"/>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政协赤峰市委员会办公室（部门）</w:t>
            </w:r>
          </w:p>
        </w:tc>
        <w:tc>
          <w:tcPr>
            <w:tcW w:w="164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right"/>
              <w:rPr>
                <w:rFonts w:ascii="宋体" w:hAnsi="宋体" w:cs="宋体" w:hint="eastAsia"/>
                <w:color w:val="000000"/>
                <w:kern w:val="0"/>
                <w:sz w:val="18"/>
                <w:szCs w:val="18"/>
              </w:rPr>
            </w:pPr>
            <w:r w:rsidRPr="004600B0">
              <w:rPr>
                <w:rFonts w:ascii="宋体" w:hAnsi="宋体" w:cs="宋体" w:hint="eastAsia"/>
                <w:color w:val="000000"/>
                <w:kern w:val="0"/>
                <w:sz w:val="18"/>
                <w:szCs w:val="18"/>
              </w:rPr>
              <w:t>实施单位</w:t>
            </w:r>
          </w:p>
        </w:tc>
        <w:tc>
          <w:tcPr>
            <w:tcW w:w="2960" w:type="dxa"/>
            <w:gridSpan w:val="4"/>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政协赤峰市委员会办公室</w:t>
            </w:r>
          </w:p>
        </w:tc>
      </w:tr>
      <w:tr w:rsidR="004600B0" w:rsidRPr="004600B0" w:rsidTr="004600B0">
        <w:trPr>
          <w:trHeight w:val="270"/>
        </w:trPr>
        <w:tc>
          <w:tcPr>
            <w:tcW w:w="11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项目资金</w:t>
            </w:r>
            <w:r w:rsidRPr="004600B0">
              <w:rPr>
                <w:rFonts w:ascii="宋体" w:hAnsi="宋体" w:cs="宋体" w:hint="eastAsia"/>
                <w:color w:val="000000"/>
                <w:kern w:val="0"/>
                <w:sz w:val="18"/>
                <w:szCs w:val="18"/>
              </w:rPr>
              <w:br/>
              <w:t>（万元）</w:t>
            </w:r>
          </w:p>
        </w:tc>
        <w:tc>
          <w:tcPr>
            <w:tcW w:w="8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10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年初预算数</w:t>
            </w:r>
          </w:p>
        </w:tc>
        <w:tc>
          <w:tcPr>
            <w:tcW w:w="15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全年预算数</w:t>
            </w:r>
          </w:p>
        </w:tc>
        <w:tc>
          <w:tcPr>
            <w:tcW w:w="164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全年执行数</w:t>
            </w:r>
          </w:p>
        </w:tc>
        <w:tc>
          <w:tcPr>
            <w:tcW w:w="9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分值</w:t>
            </w:r>
          </w:p>
        </w:tc>
        <w:tc>
          <w:tcPr>
            <w:tcW w:w="122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执行率（%）</w:t>
            </w:r>
          </w:p>
        </w:tc>
        <w:tc>
          <w:tcPr>
            <w:tcW w:w="8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得分</w:t>
            </w:r>
          </w:p>
        </w:tc>
      </w:tr>
      <w:tr w:rsidR="004600B0" w:rsidRPr="004600B0" w:rsidTr="004600B0">
        <w:trPr>
          <w:trHeight w:val="270"/>
        </w:trPr>
        <w:tc>
          <w:tcPr>
            <w:tcW w:w="1160" w:type="dxa"/>
            <w:gridSpan w:val="2"/>
            <w:vMerge/>
            <w:tcBorders>
              <w:top w:val="single" w:sz="4" w:space="0" w:color="auto"/>
              <w:left w:val="single" w:sz="4" w:space="0" w:color="auto"/>
              <w:bottom w:val="single" w:sz="4" w:space="0" w:color="000000"/>
              <w:right w:val="single" w:sz="4" w:space="0" w:color="000000"/>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8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年度资金总额</w:t>
            </w:r>
          </w:p>
        </w:tc>
        <w:tc>
          <w:tcPr>
            <w:tcW w:w="10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170</w:t>
            </w:r>
          </w:p>
        </w:tc>
        <w:tc>
          <w:tcPr>
            <w:tcW w:w="15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170</w:t>
            </w:r>
          </w:p>
        </w:tc>
        <w:tc>
          <w:tcPr>
            <w:tcW w:w="164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156.13</w:t>
            </w:r>
          </w:p>
        </w:tc>
        <w:tc>
          <w:tcPr>
            <w:tcW w:w="9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w:t>
            </w:r>
          </w:p>
        </w:tc>
        <w:tc>
          <w:tcPr>
            <w:tcW w:w="122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91.84</w:t>
            </w:r>
          </w:p>
        </w:tc>
        <w:tc>
          <w:tcPr>
            <w:tcW w:w="8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9.18</w:t>
            </w:r>
          </w:p>
        </w:tc>
      </w:tr>
      <w:tr w:rsidR="004600B0" w:rsidRPr="004600B0" w:rsidTr="004600B0">
        <w:trPr>
          <w:trHeight w:val="270"/>
        </w:trPr>
        <w:tc>
          <w:tcPr>
            <w:tcW w:w="1160" w:type="dxa"/>
            <w:gridSpan w:val="2"/>
            <w:vMerge/>
            <w:tcBorders>
              <w:top w:val="single" w:sz="4" w:space="0" w:color="auto"/>
              <w:left w:val="single" w:sz="4" w:space="0" w:color="auto"/>
              <w:bottom w:val="single" w:sz="4" w:space="0" w:color="000000"/>
              <w:right w:val="single" w:sz="4" w:space="0" w:color="000000"/>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8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其中：财政拨款</w:t>
            </w:r>
          </w:p>
        </w:tc>
        <w:tc>
          <w:tcPr>
            <w:tcW w:w="10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170</w:t>
            </w:r>
          </w:p>
        </w:tc>
        <w:tc>
          <w:tcPr>
            <w:tcW w:w="15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170</w:t>
            </w:r>
          </w:p>
        </w:tc>
        <w:tc>
          <w:tcPr>
            <w:tcW w:w="164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156.13</w:t>
            </w:r>
          </w:p>
        </w:tc>
        <w:tc>
          <w:tcPr>
            <w:tcW w:w="92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c>
          <w:tcPr>
            <w:tcW w:w="122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91.84</w:t>
            </w:r>
          </w:p>
        </w:tc>
        <w:tc>
          <w:tcPr>
            <w:tcW w:w="82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r>
      <w:tr w:rsidR="004600B0" w:rsidRPr="004600B0" w:rsidTr="004600B0">
        <w:trPr>
          <w:trHeight w:val="270"/>
        </w:trPr>
        <w:tc>
          <w:tcPr>
            <w:tcW w:w="1160" w:type="dxa"/>
            <w:gridSpan w:val="2"/>
            <w:vMerge/>
            <w:tcBorders>
              <w:top w:val="single" w:sz="4" w:space="0" w:color="auto"/>
              <w:left w:val="single" w:sz="4" w:space="0" w:color="auto"/>
              <w:bottom w:val="single" w:sz="4" w:space="0" w:color="000000"/>
              <w:right w:val="single" w:sz="4" w:space="0" w:color="000000"/>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8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上年结转资金</w:t>
            </w:r>
          </w:p>
        </w:tc>
        <w:tc>
          <w:tcPr>
            <w:tcW w:w="10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15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164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92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c>
          <w:tcPr>
            <w:tcW w:w="122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 xml:space="preserve">　</w:t>
            </w:r>
          </w:p>
        </w:tc>
        <w:tc>
          <w:tcPr>
            <w:tcW w:w="82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r>
      <w:tr w:rsidR="004600B0" w:rsidRPr="004600B0" w:rsidTr="004600B0">
        <w:trPr>
          <w:trHeight w:val="270"/>
        </w:trPr>
        <w:tc>
          <w:tcPr>
            <w:tcW w:w="1160" w:type="dxa"/>
            <w:gridSpan w:val="2"/>
            <w:vMerge/>
            <w:tcBorders>
              <w:top w:val="single" w:sz="4" w:space="0" w:color="auto"/>
              <w:left w:val="single" w:sz="4" w:space="0" w:color="auto"/>
              <w:bottom w:val="single" w:sz="4" w:space="0" w:color="000000"/>
              <w:right w:val="single" w:sz="4" w:space="0" w:color="000000"/>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8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其他资金</w:t>
            </w:r>
          </w:p>
        </w:tc>
        <w:tc>
          <w:tcPr>
            <w:tcW w:w="10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0</w:t>
            </w:r>
          </w:p>
        </w:tc>
        <w:tc>
          <w:tcPr>
            <w:tcW w:w="15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0</w:t>
            </w:r>
          </w:p>
        </w:tc>
        <w:tc>
          <w:tcPr>
            <w:tcW w:w="164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0</w:t>
            </w:r>
          </w:p>
        </w:tc>
        <w:tc>
          <w:tcPr>
            <w:tcW w:w="92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c>
          <w:tcPr>
            <w:tcW w:w="122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0</w:t>
            </w:r>
          </w:p>
        </w:tc>
        <w:tc>
          <w:tcPr>
            <w:tcW w:w="82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r>
      <w:tr w:rsidR="004600B0" w:rsidRPr="004600B0" w:rsidTr="004600B0">
        <w:trPr>
          <w:trHeight w:val="270"/>
        </w:trPr>
        <w:tc>
          <w:tcPr>
            <w:tcW w:w="11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年度总体目标</w:t>
            </w:r>
          </w:p>
        </w:tc>
        <w:tc>
          <w:tcPr>
            <w:tcW w:w="4200" w:type="dxa"/>
            <w:gridSpan w:val="5"/>
            <w:tcBorders>
              <w:top w:val="single" w:sz="4" w:space="0" w:color="auto"/>
              <w:left w:val="nil"/>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预期目标</w:t>
            </w:r>
          </w:p>
        </w:tc>
        <w:tc>
          <w:tcPr>
            <w:tcW w:w="3780" w:type="dxa"/>
            <w:gridSpan w:val="5"/>
            <w:tcBorders>
              <w:top w:val="single" w:sz="4" w:space="0" w:color="auto"/>
              <w:left w:val="nil"/>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实际完成情况</w:t>
            </w:r>
          </w:p>
        </w:tc>
      </w:tr>
      <w:tr w:rsidR="004600B0" w:rsidRPr="004600B0" w:rsidTr="004600B0">
        <w:trPr>
          <w:trHeight w:val="840"/>
        </w:trPr>
        <w:tc>
          <w:tcPr>
            <w:tcW w:w="1160" w:type="dxa"/>
            <w:gridSpan w:val="2"/>
            <w:vMerge/>
            <w:tcBorders>
              <w:top w:val="single" w:sz="4" w:space="0" w:color="auto"/>
              <w:left w:val="single" w:sz="4" w:space="0" w:color="auto"/>
              <w:bottom w:val="single" w:sz="4" w:space="0" w:color="auto"/>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4200" w:type="dxa"/>
            <w:gridSpan w:val="5"/>
            <w:tcBorders>
              <w:top w:val="single" w:sz="4" w:space="0" w:color="auto"/>
              <w:left w:val="nil"/>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组织召开全市政协全会、政协常委会、各专门委员会协商会议、信息工作会议、提案工作会议、调研视察座谈会等。完成政协政治协商、参政议政、民主监督工作职责。</w:t>
            </w:r>
          </w:p>
        </w:tc>
        <w:tc>
          <w:tcPr>
            <w:tcW w:w="3780" w:type="dxa"/>
            <w:gridSpan w:val="5"/>
            <w:tcBorders>
              <w:top w:val="single" w:sz="4" w:space="0" w:color="auto"/>
              <w:left w:val="nil"/>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组织召开全市政协全会、政协常委会、各专门委员会协商会议、信息工作会议、提案工作会议、调研视察座谈会等。完成政协政治协商、参政议政、民主监督工作职责。</w:t>
            </w:r>
          </w:p>
        </w:tc>
      </w:tr>
      <w:tr w:rsidR="004600B0" w:rsidRPr="004600B0" w:rsidTr="004600B0">
        <w:trPr>
          <w:trHeight w:val="450"/>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绩效指标</w:t>
            </w:r>
          </w:p>
        </w:tc>
        <w:tc>
          <w:tcPr>
            <w:tcW w:w="64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一级指标</w:t>
            </w:r>
          </w:p>
        </w:tc>
        <w:tc>
          <w:tcPr>
            <w:tcW w:w="8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二级指标</w:t>
            </w:r>
          </w:p>
        </w:tc>
        <w:tc>
          <w:tcPr>
            <w:tcW w:w="10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三级指标</w:t>
            </w:r>
          </w:p>
        </w:tc>
        <w:tc>
          <w:tcPr>
            <w:tcW w:w="68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指标性质</w:t>
            </w:r>
          </w:p>
        </w:tc>
        <w:tc>
          <w:tcPr>
            <w:tcW w:w="8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指标方向</w:t>
            </w:r>
          </w:p>
        </w:tc>
        <w:tc>
          <w:tcPr>
            <w:tcW w:w="8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年度指标值</w:t>
            </w:r>
          </w:p>
        </w:tc>
        <w:tc>
          <w:tcPr>
            <w:tcW w:w="8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实际完成值</w:t>
            </w:r>
          </w:p>
        </w:tc>
        <w:tc>
          <w:tcPr>
            <w:tcW w:w="9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计量单位</w:t>
            </w:r>
          </w:p>
        </w:tc>
        <w:tc>
          <w:tcPr>
            <w:tcW w:w="68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分值</w:t>
            </w:r>
          </w:p>
        </w:tc>
        <w:tc>
          <w:tcPr>
            <w:tcW w:w="54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得分</w:t>
            </w:r>
          </w:p>
        </w:tc>
        <w:tc>
          <w:tcPr>
            <w:tcW w:w="82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偏差原因分析及改进措施</w:t>
            </w:r>
          </w:p>
        </w:tc>
      </w:tr>
      <w:tr w:rsidR="004600B0" w:rsidRPr="004600B0" w:rsidTr="004600B0">
        <w:trPr>
          <w:trHeight w:val="270"/>
        </w:trPr>
        <w:tc>
          <w:tcPr>
            <w:tcW w:w="520" w:type="dxa"/>
            <w:vMerge w:val="restart"/>
            <w:tcBorders>
              <w:top w:val="nil"/>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绩效指标</w:t>
            </w:r>
          </w:p>
        </w:tc>
        <w:tc>
          <w:tcPr>
            <w:tcW w:w="640" w:type="dxa"/>
            <w:vMerge w:val="restart"/>
            <w:tcBorders>
              <w:top w:val="nil"/>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产出指标</w:t>
            </w:r>
          </w:p>
        </w:tc>
        <w:tc>
          <w:tcPr>
            <w:tcW w:w="860" w:type="dxa"/>
            <w:vMerge w:val="restart"/>
            <w:tcBorders>
              <w:top w:val="nil"/>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数量指标</w:t>
            </w:r>
          </w:p>
        </w:tc>
        <w:tc>
          <w:tcPr>
            <w:tcW w:w="102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开展一类会议次数</w:t>
            </w:r>
          </w:p>
        </w:tc>
        <w:tc>
          <w:tcPr>
            <w:tcW w:w="68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82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大于等于</w:t>
            </w:r>
          </w:p>
        </w:tc>
        <w:tc>
          <w:tcPr>
            <w:tcW w:w="82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w:t>
            </w:r>
          </w:p>
        </w:tc>
        <w:tc>
          <w:tcPr>
            <w:tcW w:w="82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w:t>
            </w:r>
          </w:p>
        </w:tc>
        <w:tc>
          <w:tcPr>
            <w:tcW w:w="92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次</w:t>
            </w:r>
          </w:p>
        </w:tc>
        <w:tc>
          <w:tcPr>
            <w:tcW w:w="68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54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82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4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86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10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开展二类会议次数</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反向</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小于等于</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w:t>
            </w:r>
          </w:p>
        </w:tc>
        <w:tc>
          <w:tcPr>
            <w:tcW w:w="9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次</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5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4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86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10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开展三类会议次数</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反向</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小于等于</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42</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42</w:t>
            </w:r>
          </w:p>
        </w:tc>
        <w:tc>
          <w:tcPr>
            <w:tcW w:w="9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次</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5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4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860" w:type="dxa"/>
            <w:vMerge w:val="restart"/>
            <w:tcBorders>
              <w:top w:val="single" w:sz="4" w:space="0" w:color="auto"/>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质量指标</w:t>
            </w:r>
          </w:p>
        </w:tc>
        <w:tc>
          <w:tcPr>
            <w:tcW w:w="10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委员参与度</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大于等于</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90</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90</w:t>
            </w:r>
          </w:p>
        </w:tc>
        <w:tc>
          <w:tcPr>
            <w:tcW w:w="9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8</w:t>
            </w:r>
          </w:p>
        </w:tc>
        <w:tc>
          <w:tcPr>
            <w:tcW w:w="5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8</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4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860" w:type="dxa"/>
            <w:vMerge/>
            <w:tcBorders>
              <w:top w:val="single" w:sz="4" w:space="0" w:color="auto"/>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10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会议精神传达率</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大于等于</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95</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95</w:t>
            </w:r>
          </w:p>
        </w:tc>
        <w:tc>
          <w:tcPr>
            <w:tcW w:w="9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7</w:t>
            </w:r>
          </w:p>
        </w:tc>
        <w:tc>
          <w:tcPr>
            <w:tcW w:w="5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7</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4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860" w:type="dxa"/>
            <w:vMerge w:val="restart"/>
            <w:tcBorders>
              <w:top w:val="single" w:sz="4" w:space="0" w:color="auto"/>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时效指标</w:t>
            </w:r>
          </w:p>
        </w:tc>
        <w:tc>
          <w:tcPr>
            <w:tcW w:w="10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一类会议召开时间</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定性</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3月底前</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3月底前</w:t>
            </w:r>
          </w:p>
        </w:tc>
        <w:tc>
          <w:tcPr>
            <w:tcW w:w="9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5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4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860" w:type="dxa"/>
            <w:vMerge/>
            <w:tcBorders>
              <w:top w:val="single" w:sz="4" w:space="0" w:color="auto"/>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10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会议完成时间</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定性</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12月底前</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12月底前</w:t>
            </w:r>
          </w:p>
        </w:tc>
        <w:tc>
          <w:tcPr>
            <w:tcW w:w="9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5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4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860" w:type="dxa"/>
            <w:vMerge w:val="restart"/>
            <w:tcBorders>
              <w:top w:val="single" w:sz="4" w:space="0" w:color="auto"/>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成本指标</w:t>
            </w:r>
          </w:p>
        </w:tc>
        <w:tc>
          <w:tcPr>
            <w:tcW w:w="10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一类会议费标准</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反向</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小于等于</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400</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400</w:t>
            </w:r>
          </w:p>
        </w:tc>
        <w:tc>
          <w:tcPr>
            <w:tcW w:w="9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元/人/天</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4</w:t>
            </w:r>
          </w:p>
        </w:tc>
        <w:tc>
          <w:tcPr>
            <w:tcW w:w="5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4</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4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860" w:type="dxa"/>
            <w:vMerge/>
            <w:tcBorders>
              <w:top w:val="single" w:sz="4" w:space="0" w:color="auto"/>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10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二类会议费标准</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反向</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小于等于</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330</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330</w:t>
            </w:r>
          </w:p>
        </w:tc>
        <w:tc>
          <w:tcPr>
            <w:tcW w:w="9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元/人/天</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3</w:t>
            </w:r>
          </w:p>
        </w:tc>
        <w:tc>
          <w:tcPr>
            <w:tcW w:w="5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3</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4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860" w:type="dxa"/>
            <w:vMerge/>
            <w:tcBorders>
              <w:top w:val="single" w:sz="4" w:space="0" w:color="auto"/>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10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三类会议费标准</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反向</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小于等于</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260</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260</w:t>
            </w:r>
          </w:p>
        </w:tc>
        <w:tc>
          <w:tcPr>
            <w:tcW w:w="9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元/人/天</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3</w:t>
            </w:r>
          </w:p>
        </w:tc>
        <w:tc>
          <w:tcPr>
            <w:tcW w:w="5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3</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40" w:type="dxa"/>
            <w:vMerge w:val="restart"/>
            <w:tcBorders>
              <w:top w:val="single" w:sz="4" w:space="0" w:color="auto"/>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效益指标</w:t>
            </w:r>
          </w:p>
        </w:tc>
        <w:tc>
          <w:tcPr>
            <w:tcW w:w="8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社会效益</w:t>
            </w:r>
          </w:p>
        </w:tc>
        <w:tc>
          <w:tcPr>
            <w:tcW w:w="10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政协提案提交率</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定性</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有所提升</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有所提升</w:t>
            </w:r>
          </w:p>
        </w:tc>
        <w:tc>
          <w:tcPr>
            <w:tcW w:w="9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w:t>
            </w:r>
          </w:p>
        </w:tc>
        <w:tc>
          <w:tcPr>
            <w:tcW w:w="5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40" w:type="dxa"/>
            <w:vMerge/>
            <w:tcBorders>
              <w:top w:val="single" w:sz="4" w:space="0" w:color="auto"/>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8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可持续影响</w:t>
            </w:r>
          </w:p>
        </w:tc>
        <w:tc>
          <w:tcPr>
            <w:tcW w:w="10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政协参政议政程度</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定性</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持续提升</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持续提升</w:t>
            </w:r>
          </w:p>
        </w:tc>
        <w:tc>
          <w:tcPr>
            <w:tcW w:w="9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w:t>
            </w:r>
          </w:p>
        </w:tc>
        <w:tc>
          <w:tcPr>
            <w:tcW w:w="5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满意度指标</w:t>
            </w:r>
          </w:p>
        </w:tc>
        <w:tc>
          <w:tcPr>
            <w:tcW w:w="8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服务对象满意度</w:t>
            </w:r>
          </w:p>
        </w:tc>
        <w:tc>
          <w:tcPr>
            <w:tcW w:w="10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服务对象满意度</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大于等于</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90</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90</w:t>
            </w:r>
          </w:p>
        </w:tc>
        <w:tc>
          <w:tcPr>
            <w:tcW w:w="9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w:t>
            </w:r>
          </w:p>
        </w:tc>
        <w:tc>
          <w:tcPr>
            <w:tcW w:w="6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w:t>
            </w:r>
          </w:p>
        </w:tc>
        <w:tc>
          <w:tcPr>
            <w:tcW w:w="5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w:t>
            </w:r>
          </w:p>
        </w:tc>
        <w:tc>
          <w:tcPr>
            <w:tcW w:w="82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710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总分</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100</w:t>
            </w:r>
          </w:p>
        </w:tc>
        <w:tc>
          <w:tcPr>
            <w:tcW w:w="540" w:type="dxa"/>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99.18</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bl>
    <w:p w:rsidR="004600B0" w:rsidRDefault="004600B0" w:rsidP="0059231F">
      <w:pPr>
        <w:widowControl/>
        <w:spacing w:before="240" w:after="240"/>
        <w:ind w:firstLineChars="200" w:firstLine="640"/>
        <w:rPr>
          <w:rFonts w:ascii="仿宋_GB2312" w:eastAsia="仿宋_GB2312" w:hAnsi="仿宋_GB2312" w:cs="仿宋_GB2312" w:hint="eastAsia"/>
          <w:kern w:val="0"/>
          <w:sz w:val="32"/>
          <w:szCs w:val="32"/>
        </w:rPr>
      </w:pPr>
    </w:p>
    <w:tbl>
      <w:tblPr>
        <w:tblW w:w="10000" w:type="dxa"/>
        <w:tblInd w:w="113" w:type="dxa"/>
        <w:tblLook w:val="04A0" w:firstRow="1" w:lastRow="0" w:firstColumn="1" w:lastColumn="0" w:noHBand="0" w:noVBand="1"/>
      </w:tblPr>
      <w:tblGrid>
        <w:gridCol w:w="600"/>
        <w:gridCol w:w="460"/>
        <w:gridCol w:w="880"/>
        <w:gridCol w:w="1200"/>
        <w:gridCol w:w="880"/>
        <w:gridCol w:w="880"/>
        <w:gridCol w:w="880"/>
        <w:gridCol w:w="880"/>
        <w:gridCol w:w="880"/>
        <w:gridCol w:w="820"/>
        <w:gridCol w:w="760"/>
        <w:gridCol w:w="880"/>
      </w:tblGrid>
      <w:tr w:rsidR="00A46805" w:rsidRPr="00A46805" w:rsidTr="00A46805">
        <w:trPr>
          <w:trHeight w:val="510"/>
        </w:trPr>
        <w:tc>
          <w:tcPr>
            <w:tcW w:w="1000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b/>
                <w:bCs/>
                <w:color w:val="000000"/>
                <w:kern w:val="0"/>
                <w:sz w:val="40"/>
                <w:szCs w:val="40"/>
              </w:rPr>
            </w:pPr>
            <w:r w:rsidRPr="00A46805">
              <w:rPr>
                <w:rFonts w:ascii="宋体" w:hAnsi="宋体" w:cs="宋体" w:hint="eastAsia"/>
                <w:b/>
                <w:bCs/>
                <w:color w:val="000000"/>
                <w:kern w:val="0"/>
                <w:sz w:val="40"/>
                <w:szCs w:val="40"/>
              </w:rPr>
              <w:lastRenderedPageBreak/>
              <w:t>项目支出绩效自评表</w:t>
            </w:r>
          </w:p>
        </w:tc>
      </w:tr>
      <w:tr w:rsidR="00A46805" w:rsidRPr="00A46805" w:rsidTr="00A46805">
        <w:trPr>
          <w:trHeight w:val="27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46805" w:rsidRPr="00A46805" w:rsidRDefault="00A46805" w:rsidP="00A46805">
            <w:pPr>
              <w:widowControl/>
              <w:jc w:val="right"/>
              <w:rPr>
                <w:rFonts w:ascii="宋体" w:hAnsi="宋体" w:cs="宋体" w:hint="eastAsia"/>
                <w:color w:val="000000"/>
                <w:kern w:val="0"/>
                <w:sz w:val="18"/>
                <w:szCs w:val="18"/>
              </w:rPr>
            </w:pPr>
            <w:r w:rsidRPr="00A46805">
              <w:rPr>
                <w:rFonts w:ascii="宋体" w:hAnsi="宋体" w:cs="宋体" w:hint="eastAsia"/>
                <w:color w:val="000000"/>
                <w:kern w:val="0"/>
                <w:sz w:val="18"/>
                <w:szCs w:val="18"/>
              </w:rPr>
              <w:t>项目名称</w:t>
            </w:r>
          </w:p>
        </w:tc>
        <w:tc>
          <w:tcPr>
            <w:tcW w:w="8940" w:type="dxa"/>
            <w:gridSpan w:val="10"/>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left"/>
              <w:rPr>
                <w:rFonts w:ascii="宋体" w:hAnsi="宋体" w:cs="宋体" w:hint="eastAsia"/>
                <w:color w:val="000000"/>
                <w:kern w:val="0"/>
                <w:sz w:val="18"/>
                <w:szCs w:val="18"/>
              </w:rPr>
            </w:pPr>
            <w:r w:rsidRPr="00A46805">
              <w:rPr>
                <w:rFonts w:ascii="宋体" w:hAnsi="宋体" w:cs="宋体" w:hint="eastAsia"/>
                <w:color w:val="000000"/>
                <w:kern w:val="0"/>
                <w:sz w:val="18"/>
                <w:szCs w:val="18"/>
              </w:rPr>
              <w:t>专门委员会活动经费</w:t>
            </w:r>
          </w:p>
        </w:tc>
      </w:tr>
      <w:tr w:rsidR="00A46805" w:rsidRPr="00A46805" w:rsidTr="00A46805">
        <w:trPr>
          <w:trHeight w:val="270"/>
        </w:trPr>
        <w:tc>
          <w:tcPr>
            <w:tcW w:w="10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46805" w:rsidRPr="00A46805" w:rsidRDefault="00A46805" w:rsidP="00A46805">
            <w:pPr>
              <w:widowControl/>
              <w:jc w:val="right"/>
              <w:rPr>
                <w:rFonts w:ascii="宋体" w:hAnsi="宋体" w:cs="宋体" w:hint="eastAsia"/>
                <w:color w:val="000000"/>
                <w:kern w:val="0"/>
                <w:sz w:val="18"/>
                <w:szCs w:val="18"/>
              </w:rPr>
            </w:pPr>
            <w:r w:rsidRPr="00A46805">
              <w:rPr>
                <w:rFonts w:ascii="宋体" w:hAnsi="宋体" w:cs="宋体" w:hint="eastAsia"/>
                <w:color w:val="000000"/>
                <w:kern w:val="0"/>
                <w:sz w:val="18"/>
                <w:szCs w:val="18"/>
              </w:rPr>
              <w:t>主管部门</w:t>
            </w:r>
          </w:p>
        </w:tc>
        <w:tc>
          <w:tcPr>
            <w:tcW w:w="3840" w:type="dxa"/>
            <w:gridSpan w:val="4"/>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left"/>
              <w:rPr>
                <w:rFonts w:ascii="宋体" w:hAnsi="宋体" w:cs="宋体" w:hint="eastAsia"/>
                <w:color w:val="000000"/>
                <w:kern w:val="0"/>
                <w:sz w:val="18"/>
                <w:szCs w:val="18"/>
              </w:rPr>
            </w:pPr>
            <w:r w:rsidRPr="00A46805">
              <w:rPr>
                <w:rFonts w:ascii="宋体" w:hAnsi="宋体" w:cs="宋体" w:hint="eastAsia"/>
                <w:color w:val="000000"/>
                <w:kern w:val="0"/>
                <w:sz w:val="18"/>
                <w:szCs w:val="18"/>
              </w:rPr>
              <w:t>政协赤峰市委员会办公室（部门）</w:t>
            </w:r>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right"/>
              <w:rPr>
                <w:rFonts w:ascii="宋体" w:hAnsi="宋体" w:cs="宋体" w:hint="eastAsia"/>
                <w:color w:val="000000"/>
                <w:kern w:val="0"/>
                <w:sz w:val="18"/>
                <w:szCs w:val="18"/>
              </w:rPr>
            </w:pPr>
            <w:r w:rsidRPr="00A46805">
              <w:rPr>
                <w:rFonts w:ascii="宋体" w:hAnsi="宋体" w:cs="宋体" w:hint="eastAsia"/>
                <w:color w:val="000000"/>
                <w:kern w:val="0"/>
                <w:sz w:val="18"/>
                <w:szCs w:val="18"/>
              </w:rPr>
              <w:t>实施单位</w:t>
            </w:r>
          </w:p>
        </w:tc>
        <w:tc>
          <w:tcPr>
            <w:tcW w:w="3340" w:type="dxa"/>
            <w:gridSpan w:val="4"/>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left"/>
              <w:rPr>
                <w:rFonts w:ascii="宋体" w:hAnsi="宋体" w:cs="宋体" w:hint="eastAsia"/>
                <w:color w:val="000000"/>
                <w:kern w:val="0"/>
                <w:sz w:val="18"/>
                <w:szCs w:val="18"/>
              </w:rPr>
            </w:pPr>
            <w:r w:rsidRPr="00A46805">
              <w:rPr>
                <w:rFonts w:ascii="宋体" w:hAnsi="宋体" w:cs="宋体" w:hint="eastAsia"/>
                <w:color w:val="000000"/>
                <w:kern w:val="0"/>
                <w:sz w:val="18"/>
                <w:szCs w:val="18"/>
              </w:rPr>
              <w:t>政协赤峰市委员会办公室</w:t>
            </w:r>
          </w:p>
        </w:tc>
      </w:tr>
      <w:tr w:rsidR="00A46805" w:rsidRPr="00A46805" w:rsidTr="00A46805">
        <w:trPr>
          <w:trHeight w:val="450"/>
        </w:trPr>
        <w:tc>
          <w:tcPr>
            <w:tcW w:w="106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项目资金</w:t>
            </w:r>
            <w:r w:rsidRPr="00A46805">
              <w:rPr>
                <w:rFonts w:ascii="宋体" w:hAnsi="宋体" w:cs="宋体" w:hint="eastAsia"/>
                <w:color w:val="000000"/>
                <w:kern w:val="0"/>
                <w:sz w:val="18"/>
                <w:szCs w:val="18"/>
              </w:rPr>
              <w:br/>
              <w:t>（万元）</w:t>
            </w: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left"/>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c>
          <w:tcPr>
            <w:tcW w:w="120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年初预算数</w:t>
            </w:r>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全年预算数</w:t>
            </w:r>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全年执行数</w:t>
            </w: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分值</w:t>
            </w:r>
          </w:p>
        </w:tc>
        <w:tc>
          <w:tcPr>
            <w:tcW w:w="158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执行率（%）</w:t>
            </w: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得分</w:t>
            </w:r>
          </w:p>
        </w:tc>
      </w:tr>
      <w:tr w:rsidR="00A46805" w:rsidRPr="00A46805" w:rsidTr="00A46805">
        <w:trPr>
          <w:trHeight w:val="270"/>
        </w:trPr>
        <w:tc>
          <w:tcPr>
            <w:tcW w:w="1060" w:type="dxa"/>
            <w:gridSpan w:val="2"/>
            <w:vMerge/>
            <w:tcBorders>
              <w:top w:val="single" w:sz="4" w:space="0" w:color="auto"/>
              <w:left w:val="single" w:sz="4" w:space="0" w:color="auto"/>
              <w:bottom w:val="single" w:sz="4" w:space="0" w:color="000000"/>
              <w:right w:val="single" w:sz="4" w:space="0" w:color="000000"/>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年度资金总额</w:t>
            </w:r>
          </w:p>
        </w:tc>
        <w:tc>
          <w:tcPr>
            <w:tcW w:w="120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left"/>
              <w:rPr>
                <w:rFonts w:ascii="宋体" w:hAnsi="宋体" w:cs="宋体" w:hint="eastAsia"/>
                <w:color w:val="000000"/>
                <w:kern w:val="0"/>
                <w:sz w:val="18"/>
                <w:szCs w:val="18"/>
              </w:rPr>
            </w:pPr>
            <w:r w:rsidRPr="00A46805">
              <w:rPr>
                <w:rFonts w:ascii="宋体" w:hAnsi="宋体" w:cs="宋体" w:hint="eastAsia"/>
                <w:color w:val="000000"/>
                <w:kern w:val="0"/>
                <w:sz w:val="18"/>
                <w:szCs w:val="18"/>
              </w:rPr>
              <w:t>40</w:t>
            </w:r>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40</w:t>
            </w:r>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39.85</w:t>
            </w: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10</w:t>
            </w:r>
          </w:p>
        </w:tc>
        <w:tc>
          <w:tcPr>
            <w:tcW w:w="158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99.63</w:t>
            </w: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9.96</w:t>
            </w:r>
          </w:p>
        </w:tc>
      </w:tr>
      <w:tr w:rsidR="00A46805" w:rsidRPr="00A46805" w:rsidTr="00A46805">
        <w:trPr>
          <w:trHeight w:val="420"/>
        </w:trPr>
        <w:tc>
          <w:tcPr>
            <w:tcW w:w="1060" w:type="dxa"/>
            <w:gridSpan w:val="2"/>
            <w:vMerge/>
            <w:tcBorders>
              <w:top w:val="single" w:sz="4" w:space="0" w:color="auto"/>
              <w:left w:val="single" w:sz="4" w:space="0" w:color="auto"/>
              <w:bottom w:val="single" w:sz="4" w:space="0" w:color="000000"/>
              <w:right w:val="single" w:sz="4" w:space="0" w:color="000000"/>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left"/>
              <w:rPr>
                <w:rFonts w:ascii="宋体" w:hAnsi="宋体" w:cs="宋体" w:hint="eastAsia"/>
                <w:color w:val="000000"/>
                <w:kern w:val="0"/>
                <w:sz w:val="18"/>
                <w:szCs w:val="18"/>
              </w:rPr>
            </w:pPr>
            <w:r w:rsidRPr="00A46805">
              <w:rPr>
                <w:rFonts w:ascii="宋体" w:hAnsi="宋体" w:cs="宋体" w:hint="eastAsia"/>
                <w:color w:val="000000"/>
                <w:kern w:val="0"/>
                <w:sz w:val="18"/>
                <w:szCs w:val="18"/>
              </w:rPr>
              <w:t>其中：财政拨款</w:t>
            </w:r>
          </w:p>
        </w:tc>
        <w:tc>
          <w:tcPr>
            <w:tcW w:w="120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left"/>
              <w:rPr>
                <w:rFonts w:ascii="宋体" w:hAnsi="宋体" w:cs="宋体" w:hint="eastAsia"/>
                <w:color w:val="000000"/>
                <w:kern w:val="0"/>
                <w:sz w:val="18"/>
                <w:szCs w:val="18"/>
              </w:rPr>
            </w:pPr>
            <w:r w:rsidRPr="00A46805">
              <w:rPr>
                <w:rFonts w:ascii="宋体" w:hAnsi="宋体" w:cs="宋体" w:hint="eastAsia"/>
                <w:color w:val="000000"/>
                <w:kern w:val="0"/>
                <w:sz w:val="18"/>
                <w:szCs w:val="18"/>
              </w:rPr>
              <w:t>40</w:t>
            </w:r>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40</w:t>
            </w:r>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39.85</w:t>
            </w:r>
          </w:p>
        </w:tc>
        <w:tc>
          <w:tcPr>
            <w:tcW w:w="880" w:type="dxa"/>
            <w:tcBorders>
              <w:top w:val="nil"/>
              <w:left w:val="nil"/>
              <w:bottom w:val="single" w:sz="4" w:space="0" w:color="auto"/>
              <w:right w:val="single" w:sz="4" w:space="0" w:color="auto"/>
            </w:tcBorders>
            <w:shd w:val="clear" w:color="auto" w:fill="auto"/>
            <w:noWrap/>
            <w:vAlign w:val="center"/>
            <w:hideMark/>
          </w:tcPr>
          <w:p w:rsidR="00A46805" w:rsidRPr="00A46805" w:rsidRDefault="00A46805" w:rsidP="00A46805">
            <w:pPr>
              <w:widowControl/>
              <w:jc w:val="center"/>
              <w:rPr>
                <w:rFonts w:ascii="Arial" w:hAnsi="Arial" w:cs="Arial" w:hint="eastAsia"/>
                <w:color w:val="222222"/>
                <w:kern w:val="0"/>
                <w:sz w:val="20"/>
                <w:szCs w:val="20"/>
              </w:rPr>
            </w:pPr>
            <w:r w:rsidRPr="00A46805">
              <w:rPr>
                <w:rFonts w:ascii="Arial" w:hAnsi="Arial" w:cs="Arial"/>
                <w:color w:val="222222"/>
                <w:kern w:val="0"/>
                <w:sz w:val="20"/>
                <w:szCs w:val="20"/>
              </w:rPr>
              <w:t>——</w:t>
            </w:r>
          </w:p>
        </w:tc>
        <w:tc>
          <w:tcPr>
            <w:tcW w:w="158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color w:val="000000"/>
                <w:kern w:val="0"/>
                <w:sz w:val="18"/>
                <w:szCs w:val="18"/>
              </w:rPr>
            </w:pPr>
            <w:r w:rsidRPr="00A46805">
              <w:rPr>
                <w:rFonts w:ascii="宋体" w:hAnsi="宋体" w:cs="宋体" w:hint="eastAsia"/>
                <w:color w:val="000000"/>
                <w:kern w:val="0"/>
                <w:sz w:val="18"/>
                <w:szCs w:val="18"/>
              </w:rPr>
              <w:t>99.63</w:t>
            </w:r>
          </w:p>
        </w:tc>
        <w:tc>
          <w:tcPr>
            <w:tcW w:w="880" w:type="dxa"/>
            <w:tcBorders>
              <w:top w:val="nil"/>
              <w:left w:val="nil"/>
              <w:bottom w:val="single" w:sz="4" w:space="0" w:color="auto"/>
              <w:right w:val="single" w:sz="4" w:space="0" w:color="auto"/>
            </w:tcBorders>
            <w:shd w:val="clear" w:color="auto" w:fill="auto"/>
            <w:noWrap/>
            <w:vAlign w:val="center"/>
            <w:hideMark/>
          </w:tcPr>
          <w:p w:rsidR="00A46805" w:rsidRPr="00A46805" w:rsidRDefault="00A46805" w:rsidP="00A46805">
            <w:pPr>
              <w:widowControl/>
              <w:jc w:val="center"/>
              <w:rPr>
                <w:rFonts w:ascii="Arial" w:hAnsi="Arial" w:cs="Arial" w:hint="eastAsia"/>
                <w:color w:val="222222"/>
                <w:kern w:val="0"/>
                <w:sz w:val="20"/>
                <w:szCs w:val="20"/>
              </w:rPr>
            </w:pPr>
            <w:r w:rsidRPr="00A46805">
              <w:rPr>
                <w:rFonts w:ascii="Arial" w:hAnsi="Arial" w:cs="Arial"/>
                <w:color w:val="222222"/>
                <w:kern w:val="0"/>
                <w:sz w:val="20"/>
                <w:szCs w:val="20"/>
              </w:rPr>
              <w:t>——</w:t>
            </w:r>
          </w:p>
        </w:tc>
      </w:tr>
      <w:tr w:rsidR="00A46805" w:rsidRPr="00A46805" w:rsidTr="00A46805">
        <w:trPr>
          <w:trHeight w:val="450"/>
        </w:trPr>
        <w:tc>
          <w:tcPr>
            <w:tcW w:w="1060" w:type="dxa"/>
            <w:gridSpan w:val="2"/>
            <w:vMerge/>
            <w:tcBorders>
              <w:top w:val="single" w:sz="4" w:space="0" w:color="auto"/>
              <w:left w:val="single" w:sz="4" w:space="0" w:color="auto"/>
              <w:bottom w:val="single" w:sz="4" w:space="0" w:color="000000"/>
              <w:right w:val="single" w:sz="4" w:space="0" w:color="000000"/>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color w:val="000000"/>
                <w:kern w:val="0"/>
                <w:sz w:val="18"/>
                <w:szCs w:val="18"/>
              </w:rPr>
            </w:pPr>
            <w:r w:rsidRPr="00A46805">
              <w:rPr>
                <w:rFonts w:ascii="宋体" w:hAnsi="宋体" w:cs="宋体" w:hint="eastAsia"/>
                <w:color w:val="000000"/>
                <w:kern w:val="0"/>
                <w:sz w:val="18"/>
                <w:szCs w:val="18"/>
              </w:rPr>
              <w:t>上年结转资金</w:t>
            </w:r>
          </w:p>
        </w:tc>
        <w:tc>
          <w:tcPr>
            <w:tcW w:w="120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left"/>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A46805" w:rsidRPr="00A46805" w:rsidRDefault="00A46805" w:rsidP="00A46805">
            <w:pPr>
              <w:widowControl/>
              <w:jc w:val="center"/>
              <w:rPr>
                <w:rFonts w:ascii="Arial" w:hAnsi="Arial" w:cs="Arial" w:hint="eastAsia"/>
                <w:color w:val="222222"/>
                <w:kern w:val="0"/>
                <w:sz w:val="20"/>
                <w:szCs w:val="20"/>
              </w:rPr>
            </w:pPr>
            <w:r w:rsidRPr="00A46805">
              <w:rPr>
                <w:rFonts w:ascii="Arial" w:hAnsi="Arial" w:cs="Arial"/>
                <w:color w:val="222222"/>
                <w:kern w:val="0"/>
                <w:sz w:val="20"/>
                <w:szCs w:val="20"/>
              </w:rPr>
              <w:t>——</w:t>
            </w:r>
          </w:p>
        </w:tc>
        <w:tc>
          <w:tcPr>
            <w:tcW w:w="158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color w:val="000000"/>
                <w:kern w:val="0"/>
                <w:sz w:val="18"/>
                <w:szCs w:val="18"/>
              </w:rPr>
            </w:pPr>
            <w:r w:rsidRPr="00A46805">
              <w:rPr>
                <w:rFonts w:ascii="宋体" w:hAnsi="宋体" w:cs="宋体" w:hint="eastAsia"/>
                <w:color w:val="000000"/>
                <w:kern w:val="0"/>
                <w:sz w:val="18"/>
                <w:szCs w:val="18"/>
              </w:rPr>
              <w:t xml:space="preserve">　</w:t>
            </w:r>
          </w:p>
        </w:tc>
        <w:tc>
          <w:tcPr>
            <w:tcW w:w="880" w:type="dxa"/>
            <w:tcBorders>
              <w:top w:val="nil"/>
              <w:left w:val="nil"/>
              <w:bottom w:val="single" w:sz="4" w:space="0" w:color="auto"/>
              <w:right w:val="single" w:sz="4" w:space="0" w:color="auto"/>
            </w:tcBorders>
            <w:shd w:val="clear" w:color="auto" w:fill="auto"/>
            <w:noWrap/>
            <w:vAlign w:val="center"/>
            <w:hideMark/>
          </w:tcPr>
          <w:p w:rsidR="00A46805" w:rsidRPr="00A46805" w:rsidRDefault="00A46805" w:rsidP="00A46805">
            <w:pPr>
              <w:widowControl/>
              <w:jc w:val="center"/>
              <w:rPr>
                <w:rFonts w:ascii="Arial" w:hAnsi="Arial" w:cs="Arial" w:hint="eastAsia"/>
                <w:color w:val="222222"/>
                <w:kern w:val="0"/>
                <w:sz w:val="20"/>
                <w:szCs w:val="20"/>
              </w:rPr>
            </w:pPr>
            <w:r w:rsidRPr="00A46805">
              <w:rPr>
                <w:rFonts w:ascii="Arial" w:hAnsi="Arial" w:cs="Arial"/>
                <w:color w:val="222222"/>
                <w:kern w:val="0"/>
                <w:sz w:val="20"/>
                <w:szCs w:val="20"/>
              </w:rPr>
              <w:t>——</w:t>
            </w:r>
          </w:p>
        </w:tc>
      </w:tr>
      <w:tr w:rsidR="00A46805" w:rsidRPr="00A46805" w:rsidTr="00A46805">
        <w:trPr>
          <w:trHeight w:val="270"/>
        </w:trPr>
        <w:tc>
          <w:tcPr>
            <w:tcW w:w="1060" w:type="dxa"/>
            <w:gridSpan w:val="2"/>
            <w:vMerge/>
            <w:tcBorders>
              <w:top w:val="single" w:sz="4" w:space="0" w:color="auto"/>
              <w:left w:val="single" w:sz="4" w:space="0" w:color="auto"/>
              <w:bottom w:val="single" w:sz="4" w:space="0" w:color="000000"/>
              <w:right w:val="single" w:sz="4" w:space="0" w:color="000000"/>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color w:val="000000"/>
                <w:kern w:val="0"/>
                <w:sz w:val="18"/>
                <w:szCs w:val="18"/>
              </w:rPr>
            </w:pPr>
            <w:r w:rsidRPr="00A46805">
              <w:rPr>
                <w:rFonts w:ascii="宋体" w:hAnsi="宋体" w:cs="宋体" w:hint="eastAsia"/>
                <w:color w:val="000000"/>
                <w:kern w:val="0"/>
                <w:sz w:val="18"/>
                <w:szCs w:val="18"/>
              </w:rPr>
              <w:t>其他资金</w:t>
            </w:r>
          </w:p>
        </w:tc>
        <w:tc>
          <w:tcPr>
            <w:tcW w:w="120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left"/>
              <w:rPr>
                <w:rFonts w:ascii="宋体" w:hAnsi="宋体" w:cs="宋体" w:hint="eastAsia"/>
                <w:color w:val="000000"/>
                <w:kern w:val="0"/>
                <w:sz w:val="18"/>
                <w:szCs w:val="18"/>
              </w:rPr>
            </w:pPr>
            <w:r w:rsidRPr="00A46805">
              <w:rPr>
                <w:rFonts w:ascii="宋体" w:hAnsi="宋体" w:cs="宋体" w:hint="eastAsia"/>
                <w:color w:val="000000"/>
                <w:kern w:val="0"/>
                <w:sz w:val="18"/>
                <w:szCs w:val="18"/>
              </w:rPr>
              <w:t>0</w:t>
            </w:r>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0</w:t>
            </w:r>
          </w:p>
        </w:tc>
        <w:tc>
          <w:tcPr>
            <w:tcW w:w="176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rsidR="00A46805" w:rsidRPr="00A46805" w:rsidRDefault="00A46805" w:rsidP="00A46805">
            <w:pPr>
              <w:widowControl/>
              <w:jc w:val="center"/>
              <w:rPr>
                <w:rFonts w:ascii="Arial" w:hAnsi="Arial" w:cs="Arial" w:hint="eastAsia"/>
                <w:color w:val="222222"/>
                <w:kern w:val="0"/>
                <w:sz w:val="20"/>
                <w:szCs w:val="20"/>
              </w:rPr>
            </w:pPr>
            <w:r w:rsidRPr="00A46805">
              <w:rPr>
                <w:rFonts w:ascii="Arial" w:hAnsi="Arial" w:cs="Arial"/>
                <w:color w:val="222222"/>
                <w:kern w:val="0"/>
                <w:sz w:val="20"/>
                <w:szCs w:val="20"/>
              </w:rPr>
              <w:t>——</w:t>
            </w:r>
          </w:p>
        </w:tc>
        <w:tc>
          <w:tcPr>
            <w:tcW w:w="1580" w:type="dxa"/>
            <w:gridSpan w:val="2"/>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color w:val="000000"/>
                <w:kern w:val="0"/>
                <w:sz w:val="18"/>
                <w:szCs w:val="18"/>
              </w:rPr>
            </w:pPr>
            <w:r w:rsidRPr="00A46805">
              <w:rPr>
                <w:rFonts w:ascii="宋体" w:hAnsi="宋体" w:cs="宋体" w:hint="eastAsia"/>
                <w:color w:val="000000"/>
                <w:kern w:val="0"/>
                <w:sz w:val="18"/>
                <w:szCs w:val="18"/>
              </w:rPr>
              <w:t>0</w:t>
            </w:r>
          </w:p>
        </w:tc>
        <w:tc>
          <w:tcPr>
            <w:tcW w:w="880" w:type="dxa"/>
            <w:tcBorders>
              <w:top w:val="nil"/>
              <w:left w:val="nil"/>
              <w:bottom w:val="single" w:sz="4" w:space="0" w:color="auto"/>
              <w:right w:val="single" w:sz="4" w:space="0" w:color="auto"/>
            </w:tcBorders>
            <w:shd w:val="clear" w:color="auto" w:fill="auto"/>
            <w:noWrap/>
            <w:vAlign w:val="center"/>
            <w:hideMark/>
          </w:tcPr>
          <w:p w:rsidR="00A46805" w:rsidRPr="00A46805" w:rsidRDefault="00A46805" w:rsidP="00A46805">
            <w:pPr>
              <w:widowControl/>
              <w:jc w:val="center"/>
              <w:rPr>
                <w:rFonts w:ascii="Arial" w:hAnsi="Arial" w:cs="Arial" w:hint="eastAsia"/>
                <w:color w:val="222222"/>
                <w:kern w:val="0"/>
                <w:sz w:val="20"/>
                <w:szCs w:val="20"/>
              </w:rPr>
            </w:pPr>
            <w:r w:rsidRPr="00A46805">
              <w:rPr>
                <w:rFonts w:ascii="Arial" w:hAnsi="Arial" w:cs="Arial"/>
                <w:color w:val="222222"/>
                <w:kern w:val="0"/>
                <w:sz w:val="20"/>
                <w:szCs w:val="20"/>
              </w:rPr>
              <w:t>——</w:t>
            </w:r>
          </w:p>
        </w:tc>
      </w:tr>
      <w:tr w:rsidR="00A46805" w:rsidRPr="00A46805" w:rsidTr="00A46805">
        <w:trPr>
          <w:trHeight w:val="270"/>
        </w:trPr>
        <w:tc>
          <w:tcPr>
            <w:tcW w:w="10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color w:val="000000"/>
                <w:kern w:val="0"/>
                <w:sz w:val="18"/>
                <w:szCs w:val="18"/>
              </w:rPr>
            </w:pPr>
            <w:r w:rsidRPr="00A46805">
              <w:rPr>
                <w:rFonts w:ascii="宋体" w:hAnsi="宋体" w:cs="宋体" w:hint="eastAsia"/>
                <w:color w:val="000000"/>
                <w:kern w:val="0"/>
                <w:sz w:val="18"/>
                <w:szCs w:val="18"/>
              </w:rPr>
              <w:t>年度总体目标</w:t>
            </w:r>
          </w:p>
        </w:tc>
        <w:tc>
          <w:tcPr>
            <w:tcW w:w="4720" w:type="dxa"/>
            <w:gridSpan w:val="5"/>
            <w:tcBorders>
              <w:top w:val="single" w:sz="4" w:space="0" w:color="auto"/>
              <w:left w:val="nil"/>
              <w:bottom w:val="single" w:sz="4" w:space="0" w:color="auto"/>
              <w:right w:val="single" w:sz="4" w:space="0" w:color="000000"/>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预期目标</w:t>
            </w:r>
          </w:p>
        </w:tc>
        <w:tc>
          <w:tcPr>
            <w:tcW w:w="4220" w:type="dxa"/>
            <w:gridSpan w:val="5"/>
            <w:tcBorders>
              <w:top w:val="single" w:sz="4" w:space="0" w:color="auto"/>
              <w:left w:val="nil"/>
              <w:bottom w:val="single" w:sz="4" w:space="0" w:color="auto"/>
              <w:right w:val="single" w:sz="4" w:space="0" w:color="000000"/>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实际完成情况</w:t>
            </w:r>
          </w:p>
        </w:tc>
      </w:tr>
      <w:tr w:rsidR="00A46805" w:rsidRPr="00A46805" w:rsidTr="00A46805">
        <w:trPr>
          <w:trHeight w:val="1080"/>
        </w:trPr>
        <w:tc>
          <w:tcPr>
            <w:tcW w:w="1060" w:type="dxa"/>
            <w:gridSpan w:val="2"/>
            <w:vMerge/>
            <w:tcBorders>
              <w:top w:val="single" w:sz="4" w:space="0" w:color="auto"/>
              <w:left w:val="single" w:sz="4" w:space="0" w:color="auto"/>
              <w:bottom w:val="single" w:sz="4" w:space="0" w:color="auto"/>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4720" w:type="dxa"/>
            <w:gridSpan w:val="5"/>
            <w:tcBorders>
              <w:top w:val="single" w:sz="4" w:space="0" w:color="auto"/>
              <w:left w:val="nil"/>
              <w:bottom w:val="single" w:sz="4" w:space="0" w:color="auto"/>
              <w:right w:val="single" w:sz="4" w:space="0" w:color="000000"/>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组织政协委员、专家学者对政协协商议政调研视察</w:t>
            </w:r>
            <w:proofErr w:type="gramStart"/>
            <w:r w:rsidRPr="00A46805">
              <w:rPr>
                <w:rFonts w:ascii="宋体" w:hAnsi="宋体" w:cs="宋体" w:hint="eastAsia"/>
                <w:color w:val="000000"/>
                <w:kern w:val="0"/>
                <w:sz w:val="18"/>
                <w:szCs w:val="18"/>
              </w:rPr>
              <w:t>课题赴</w:t>
            </w:r>
            <w:proofErr w:type="gramEnd"/>
            <w:r w:rsidRPr="00A46805">
              <w:rPr>
                <w:rFonts w:ascii="宋体" w:hAnsi="宋体" w:cs="宋体" w:hint="eastAsia"/>
                <w:color w:val="000000"/>
                <w:kern w:val="0"/>
                <w:sz w:val="18"/>
                <w:szCs w:val="18"/>
              </w:rPr>
              <w:t>外地及各旗县进行调研视察等活动，并在常委会上进行发言汇报，对重点提案进行督查，向市委政府提交调研报告，促进全市经济社会重点领域发展。</w:t>
            </w:r>
          </w:p>
        </w:tc>
        <w:tc>
          <w:tcPr>
            <w:tcW w:w="4220" w:type="dxa"/>
            <w:gridSpan w:val="5"/>
            <w:tcBorders>
              <w:top w:val="single" w:sz="4" w:space="0" w:color="auto"/>
              <w:left w:val="nil"/>
              <w:bottom w:val="single" w:sz="4" w:space="0" w:color="auto"/>
              <w:right w:val="single" w:sz="4" w:space="0" w:color="000000"/>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组织政协委员、专家学者对政协协商议政调研视察</w:t>
            </w:r>
            <w:proofErr w:type="gramStart"/>
            <w:r w:rsidRPr="00A46805">
              <w:rPr>
                <w:rFonts w:ascii="宋体" w:hAnsi="宋体" w:cs="宋体" w:hint="eastAsia"/>
                <w:color w:val="000000"/>
                <w:kern w:val="0"/>
                <w:sz w:val="18"/>
                <w:szCs w:val="18"/>
              </w:rPr>
              <w:t>课题赴</w:t>
            </w:r>
            <w:proofErr w:type="gramEnd"/>
            <w:r w:rsidRPr="00A46805">
              <w:rPr>
                <w:rFonts w:ascii="宋体" w:hAnsi="宋体" w:cs="宋体" w:hint="eastAsia"/>
                <w:color w:val="000000"/>
                <w:kern w:val="0"/>
                <w:sz w:val="18"/>
                <w:szCs w:val="18"/>
              </w:rPr>
              <w:t>外地及各旗县进行调研视察等活动，并在常委会上进行发言汇报，对重点提案进行督查，向市委政府提交调研报告，促进全市经济社会重点领域发展。</w:t>
            </w:r>
          </w:p>
        </w:tc>
      </w:tr>
      <w:tr w:rsidR="00A46805" w:rsidRPr="00A46805" w:rsidTr="00A46805">
        <w:trPr>
          <w:trHeight w:val="450"/>
        </w:trPr>
        <w:tc>
          <w:tcPr>
            <w:tcW w:w="600" w:type="dxa"/>
            <w:tcBorders>
              <w:top w:val="nil"/>
              <w:left w:val="single" w:sz="4" w:space="0" w:color="auto"/>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绩效指标</w:t>
            </w:r>
          </w:p>
        </w:tc>
        <w:tc>
          <w:tcPr>
            <w:tcW w:w="46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一级指标</w:t>
            </w: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二级指标</w:t>
            </w:r>
          </w:p>
        </w:tc>
        <w:tc>
          <w:tcPr>
            <w:tcW w:w="120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三级指标</w:t>
            </w: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指标性质</w:t>
            </w: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指标方向</w:t>
            </w: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年度指标值</w:t>
            </w: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实际完成值</w:t>
            </w: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计量单位</w:t>
            </w:r>
          </w:p>
        </w:tc>
        <w:tc>
          <w:tcPr>
            <w:tcW w:w="82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分值</w:t>
            </w:r>
          </w:p>
        </w:tc>
        <w:tc>
          <w:tcPr>
            <w:tcW w:w="76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得分</w:t>
            </w:r>
          </w:p>
        </w:tc>
        <w:tc>
          <w:tcPr>
            <w:tcW w:w="880" w:type="dxa"/>
            <w:tcBorders>
              <w:top w:val="nil"/>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left"/>
              <w:rPr>
                <w:rFonts w:ascii="宋体" w:hAnsi="宋体" w:cs="宋体" w:hint="eastAsia"/>
                <w:color w:val="000000"/>
                <w:kern w:val="0"/>
                <w:sz w:val="18"/>
                <w:szCs w:val="18"/>
              </w:rPr>
            </w:pPr>
            <w:r w:rsidRPr="00A46805">
              <w:rPr>
                <w:rFonts w:ascii="宋体" w:hAnsi="宋体" w:cs="宋体" w:hint="eastAsia"/>
                <w:color w:val="000000"/>
                <w:kern w:val="0"/>
                <w:sz w:val="18"/>
                <w:szCs w:val="18"/>
              </w:rPr>
              <w:t>偏差原因分析及改进措施</w:t>
            </w:r>
          </w:p>
        </w:tc>
      </w:tr>
      <w:tr w:rsidR="00A46805" w:rsidRPr="00A46805" w:rsidTr="00A46805">
        <w:trPr>
          <w:trHeight w:val="270"/>
        </w:trPr>
        <w:tc>
          <w:tcPr>
            <w:tcW w:w="600" w:type="dxa"/>
            <w:vMerge w:val="restart"/>
            <w:tcBorders>
              <w:top w:val="nil"/>
              <w:left w:val="single" w:sz="4" w:space="0" w:color="auto"/>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绩效指标</w:t>
            </w:r>
          </w:p>
        </w:tc>
        <w:tc>
          <w:tcPr>
            <w:tcW w:w="460" w:type="dxa"/>
            <w:vMerge w:val="restart"/>
            <w:tcBorders>
              <w:top w:val="nil"/>
              <w:left w:val="single" w:sz="4" w:space="0" w:color="auto"/>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产出指标</w:t>
            </w:r>
          </w:p>
        </w:tc>
        <w:tc>
          <w:tcPr>
            <w:tcW w:w="880" w:type="dxa"/>
            <w:vMerge w:val="restart"/>
            <w:tcBorders>
              <w:top w:val="nil"/>
              <w:left w:val="single" w:sz="4" w:space="0" w:color="auto"/>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数量指标</w:t>
            </w:r>
          </w:p>
        </w:tc>
        <w:tc>
          <w:tcPr>
            <w:tcW w:w="1200" w:type="dxa"/>
            <w:tcBorders>
              <w:top w:val="nil"/>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外出调研人次</w:t>
            </w:r>
          </w:p>
        </w:tc>
        <w:tc>
          <w:tcPr>
            <w:tcW w:w="880" w:type="dxa"/>
            <w:tcBorders>
              <w:top w:val="nil"/>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正向</w:t>
            </w:r>
          </w:p>
        </w:tc>
        <w:tc>
          <w:tcPr>
            <w:tcW w:w="880" w:type="dxa"/>
            <w:tcBorders>
              <w:top w:val="nil"/>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大于等于</w:t>
            </w:r>
          </w:p>
        </w:tc>
        <w:tc>
          <w:tcPr>
            <w:tcW w:w="880" w:type="dxa"/>
            <w:tcBorders>
              <w:top w:val="nil"/>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150</w:t>
            </w:r>
          </w:p>
        </w:tc>
        <w:tc>
          <w:tcPr>
            <w:tcW w:w="880" w:type="dxa"/>
            <w:tcBorders>
              <w:top w:val="nil"/>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150</w:t>
            </w:r>
          </w:p>
        </w:tc>
        <w:tc>
          <w:tcPr>
            <w:tcW w:w="880" w:type="dxa"/>
            <w:tcBorders>
              <w:top w:val="nil"/>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人次</w:t>
            </w:r>
          </w:p>
        </w:tc>
        <w:tc>
          <w:tcPr>
            <w:tcW w:w="820" w:type="dxa"/>
            <w:tcBorders>
              <w:top w:val="nil"/>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8</w:t>
            </w:r>
          </w:p>
        </w:tc>
        <w:tc>
          <w:tcPr>
            <w:tcW w:w="760" w:type="dxa"/>
            <w:tcBorders>
              <w:top w:val="nil"/>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8</w:t>
            </w:r>
          </w:p>
        </w:tc>
        <w:tc>
          <w:tcPr>
            <w:tcW w:w="880" w:type="dxa"/>
            <w:tcBorders>
              <w:top w:val="nil"/>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r>
      <w:tr w:rsidR="00A46805" w:rsidRPr="00A46805" w:rsidTr="00A46805">
        <w:trPr>
          <w:trHeight w:val="270"/>
        </w:trPr>
        <w:tc>
          <w:tcPr>
            <w:tcW w:w="60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46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88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120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市内调研人次</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正向</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大于等于</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180</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180</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人次</w:t>
            </w:r>
          </w:p>
        </w:tc>
        <w:tc>
          <w:tcPr>
            <w:tcW w:w="82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7</w:t>
            </w:r>
          </w:p>
        </w:tc>
        <w:tc>
          <w:tcPr>
            <w:tcW w:w="76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7</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r>
      <w:tr w:rsidR="00A46805" w:rsidRPr="00A46805" w:rsidTr="00A46805">
        <w:trPr>
          <w:trHeight w:val="480"/>
        </w:trPr>
        <w:tc>
          <w:tcPr>
            <w:tcW w:w="60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46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880" w:type="dxa"/>
            <w:vMerge w:val="restart"/>
            <w:tcBorders>
              <w:top w:val="single" w:sz="4" w:space="0" w:color="auto"/>
              <w:left w:val="single" w:sz="4" w:space="0" w:color="auto"/>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质量指标</w:t>
            </w:r>
          </w:p>
        </w:tc>
        <w:tc>
          <w:tcPr>
            <w:tcW w:w="120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调研报告上报率</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正向</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大于等于</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95</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95</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w:t>
            </w:r>
          </w:p>
        </w:tc>
        <w:tc>
          <w:tcPr>
            <w:tcW w:w="82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8</w:t>
            </w:r>
          </w:p>
        </w:tc>
        <w:tc>
          <w:tcPr>
            <w:tcW w:w="76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8</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r>
      <w:tr w:rsidR="00A46805" w:rsidRPr="00A46805" w:rsidTr="00A46805">
        <w:trPr>
          <w:trHeight w:val="390"/>
        </w:trPr>
        <w:tc>
          <w:tcPr>
            <w:tcW w:w="60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46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880" w:type="dxa"/>
            <w:vMerge/>
            <w:tcBorders>
              <w:top w:val="single" w:sz="4" w:space="0" w:color="auto"/>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120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调研数据准确性</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正向</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大于等于</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95</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95</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w:t>
            </w:r>
          </w:p>
        </w:tc>
        <w:tc>
          <w:tcPr>
            <w:tcW w:w="82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7</w:t>
            </w:r>
          </w:p>
        </w:tc>
        <w:tc>
          <w:tcPr>
            <w:tcW w:w="76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7</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r>
      <w:tr w:rsidR="00A46805" w:rsidRPr="00A46805" w:rsidTr="00A46805">
        <w:trPr>
          <w:trHeight w:val="375"/>
        </w:trPr>
        <w:tc>
          <w:tcPr>
            <w:tcW w:w="60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46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880" w:type="dxa"/>
            <w:vMerge w:val="restart"/>
            <w:tcBorders>
              <w:top w:val="single" w:sz="4" w:space="0" w:color="auto"/>
              <w:left w:val="single" w:sz="4" w:space="0" w:color="auto"/>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时效指标</w:t>
            </w:r>
          </w:p>
        </w:tc>
        <w:tc>
          <w:tcPr>
            <w:tcW w:w="120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调研视察完成时间</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定性</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11月底</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11月底</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c>
          <w:tcPr>
            <w:tcW w:w="82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5</w:t>
            </w:r>
          </w:p>
        </w:tc>
        <w:tc>
          <w:tcPr>
            <w:tcW w:w="76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5</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r>
      <w:tr w:rsidR="00A46805" w:rsidRPr="00A46805" w:rsidTr="00A46805">
        <w:trPr>
          <w:trHeight w:val="540"/>
        </w:trPr>
        <w:tc>
          <w:tcPr>
            <w:tcW w:w="60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46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880" w:type="dxa"/>
            <w:vMerge/>
            <w:tcBorders>
              <w:top w:val="single" w:sz="4" w:space="0" w:color="auto"/>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120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调研报告上报时间</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定性</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12月底</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12月底</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c>
          <w:tcPr>
            <w:tcW w:w="82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5</w:t>
            </w:r>
          </w:p>
        </w:tc>
        <w:tc>
          <w:tcPr>
            <w:tcW w:w="76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5</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r>
      <w:tr w:rsidR="00A46805" w:rsidRPr="00A46805" w:rsidTr="00A46805">
        <w:trPr>
          <w:trHeight w:val="405"/>
        </w:trPr>
        <w:tc>
          <w:tcPr>
            <w:tcW w:w="60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46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880" w:type="dxa"/>
            <w:vMerge w:val="restart"/>
            <w:tcBorders>
              <w:top w:val="single" w:sz="4" w:space="0" w:color="auto"/>
              <w:left w:val="single" w:sz="4" w:space="0" w:color="auto"/>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成本指标</w:t>
            </w:r>
          </w:p>
        </w:tc>
        <w:tc>
          <w:tcPr>
            <w:tcW w:w="120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外出调研补助成本</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反向</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小于等于</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180</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0</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元/人/天</w:t>
            </w:r>
          </w:p>
        </w:tc>
        <w:tc>
          <w:tcPr>
            <w:tcW w:w="82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5</w:t>
            </w:r>
          </w:p>
        </w:tc>
        <w:tc>
          <w:tcPr>
            <w:tcW w:w="76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5</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r>
      <w:tr w:rsidR="00A46805" w:rsidRPr="00A46805" w:rsidTr="00A46805">
        <w:trPr>
          <w:trHeight w:val="270"/>
        </w:trPr>
        <w:tc>
          <w:tcPr>
            <w:tcW w:w="60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46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880" w:type="dxa"/>
            <w:vMerge/>
            <w:tcBorders>
              <w:top w:val="single" w:sz="4" w:space="0" w:color="auto"/>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120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市内调研成本</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反向</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小于等于</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420</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0</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元/人/天</w:t>
            </w:r>
          </w:p>
        </w:tc>
        <w:tc>
          <w:tcPr>
            <w:tcW w:w="82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5</w:t>
            </w:r>
          </w:p>
        </w:tc>
        <w:tc>
          <w:tcPr>
            <w:tcW w:w="76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5</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r>
      <w:tr w:rsidR="00A46805" w:rsidRPr="00A46805" w:rsidTr="00A46805">
        <w:trPr>
          <w:trHeight w:val="525"/>
        </w:trPr>
        <w:tc>
          <w:tcPr>
            <w:tcW w:w="60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460" w:type="dxa"/>
            <w:vMerge w:val="restart"/>
            <w:tcBorders>
              <w:top w:val="single" w:sz="4" w:space="0" w:color="auto"/>
              <w:left w:val="single" w:sz="4" w:space="0" w:color="auto"/>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效益指标</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社会效益指标</w:t>
            </w:r>
          </w:p>
        </w:tc>
        <w:tc>
          <w:tcPr>
            <w:tcW w:w="120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政协参政议政程度</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定性</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有所提升</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有所提升</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c>
          <w:tcPr>
            <w:tcW w:w="82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15</w:t>
            </w:r>
          </w:p>
        </w:tc>
        <w:tc>
          <w:tcPr>
            <w:tcW w:w="76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15</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r>
      <w:tr w:rsidR="00A46805" w:rsidRPr="00A46805" w:rsidTr="00A46805">
        <w:trPr>
          <w:trHeight w:val="570"/>
        </w:trPr>
        <w:tc>
          <w:tcPr>
            <w:tcW w:w="60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460" w:type="dxa"/>
            <w:vMerge/>
            <w:tcBorders>
              <w:top w:val="single" w:sz="4" w:space="0" w:color="auto"/>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可持续影响指标</w:t>
            </w:r>
          </w:p>
        </w:tc>
        <w:tc>
          <w:tcPr>
            <w:tcW w:w="120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对赤峰经济社会发展建言程度</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定性</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持续提升</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持续提升</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c>
          <w:tcPr>
            <w:tcW w:w="82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15</w:t>
            </w:r>
          </w:p>
        </w:tc>
        <w:tc>
          <w:tcPr>
            <w:tcW w:w="76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15</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r>
      <w:tr w:rsidR="00A46805" w:rsidRPr="00A46805" w:rsidTr="00A46805">
        <w:trPr>
          <w:trHeight w:val="555"/>
        </w:trPr>
        <w:tc>
          <w:tcPr>
            <w:tcW w:w="600" w:type="dxa"/>
            <w:vMerge/>
            <w:tcBorders>
              <w:top w:val="nil"/>
              <w:left w:val="single" w:sz="4" w:space="0" w:color="auto"/>
              <w:bottom w:val="nil"/>
              <w:right w:val="single" w:sz="4" w:space="0" w:color="auto"/>
            </w:tcBorders>
            <w:vAlign w:val="center"/>
            <w:hideMark/>
          </w:tcPr>
          <w:p w:rsidR="00A46805" w:rsidRPr="00A46805" w:rsidRDefault="00A46805" w:rsidP="00A46805">
            <w:pPr>
              <w:widowControl/>
              <w:jc w:val="left"/>
              <w:rPr>
                <w:rFonts w:ascii="宋体" w:hAnsi="宋体" w:cs="宋体"/>
                <w:color w:val="000000"/>
                <w:kern w:val="0"/>
                <w:sz w:val="18"/>
                <w:szCs w:val="18"/>
              </w:rPr>
            </w:pPr>
          </w:p>
        </w:tc>
        <w:tc>
          <w:tcPr>
            <w:tcW w:w="46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满意度指标</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服务对象满意度指标</w:t>
            </w:r>
          </w:p>
        </w:tc>
        <w:tc>
          <w:tcPr>
            <w:tcW w:w="120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调研人员满意度</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正向</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大于等于</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95</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95</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w:t>
            </w:r>
          </w:p>
        </w:tc>
        <w:tc>
          <w:tcPr>
            <w:tcW w:w="82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10</w:t>
            </w:r>
          </w:p>
        </w:tc>
        <w:tc>
          <w:tcPr>
            <w:tcW w:w="76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10</w:t>
            </w:r>
          </w:p>
        </w:tc>
        <w:tc>
          <w:tcPr>
            <w:tcW w:w="880" w:type="dxa"/>
            <w:tcBorders>
              <w:top w:val="single" w:sz="4" w:space="0" w:color="auto"/>
              <w:left w:val="nil"/>
              <w:bottom w:val="nil"/>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r>
      <w:tr w:rsidR="00A46805" w:rsidRPr="00A46805" w:rsidTr="008F7038">
        <w:trPr>
          <w:trHeight w:val="459"/>
        </w:trPr>
        <w:tc>
          <w:tcPr>
            <w:tcW w:w="754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总分</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100</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99.96</w:t>
            </w:r>
          </w:p>
        </w:tc>
        <w:tc>
          <w:tcPr>
            <w:tcW w:w="880" w:type="dxa"/>
            <w:tcBorders>
              <w:top w:val="single" w:sz="4" w:space="0" w:color="auto"/>
              <w:left w:val="nil"/>
              <w:bottom w:val="single" w:sz="4" w:space="0" w:color="auto"/>
              <w:right w:val="single" w:sz="4" w:space="0" w:color="auto"/>
            </w:tcBorders>
            <w:shd w:val="clear" w:color="auto" w:fill="auto"/>
            <w:vAlign w:val="center"/>
            <w:hideMark/>
          </w:tcPr>
          <w:p w:rsidR="00A46805" w:rsidRPr="00A46805" w:rsidRDefault="00A46805" w:rsidP="00A46805">
            <w:pPr>
              <w:widowControl/>
              <w:jc w:val="center"/>
              <w:rPr>
                <w:rFonts w:ascii="宋体" w:hAnsi="宋体" w:cs="宋体" w:hint="eastAsia"/>
                <w:color w:val="000000"/>
                <w:kern w:val="0"/>
                <w:sz w:val="18"/>
                <w:szCs w:val="18"/>
              </w:rPr>
            </w:pPr>
            <w:r w:rsidRPr="00A46805">
              <w:rPr>
                <w:rFonts w:ascii="宋体" w:hAnsi="宋体" w:cs="宋体" w:hint="eastAsia"/>
                <w:color w:val="000000"/>
                <w:kern w:val="0"/>
                <w:sz w:val="18"/>
                <w:szCs w:val="18"/>
              </w:rPr>
              <w:t xml:space="preserve">　</w:t>
            </w:r>
          </w:p>
        </w:tc>
      </w:tr>
    </w:tbl>
    <w:p w:rsidR="00A46805" w:rsidRDefault="00A46805" w:rsidP="0059231F">
      <w:pPr>
        <w:widowControl/>
        <w:spacing w:before="240" w:after="240"/>
        <w:ind w:firstLineChars="200" w:firstLine="640"/>
        <w:rPr>
          <w:rFonts w:ascii="仿宋_GB2312" w:eastAsia="仿宋_GB2312" w:hAnsi="仿宋_GB2312" w:cs="仿宋_GB2312"/>
          <w:kern w:val="0"/>
          <w:sz w:val="32"/>
          <w:szCs w:val="32"/>
        </w:rPr>
      </w:pPr>
    </w:p>
    <w:tbl>
      <w:tblPr>
        <w:tblW w:w="8840" w:type="dxa"/>
        <w:tblInd w:w="113" w:type="dxa"/>
        <w:tblLook w:val="04A0" w:firstRow="1" w:lastRow="0" w:firstColumn="1" w:lastColumn="0" w:noHBand="0" w:noVBand="1"/>
      </w:tblPr>
      <w:tblGrid>
        <w:gridCol w:w="516"/>
        <w:gridCol w:w="555"/>
        <w:gridCol w:w="967"/>
        <w:gridCol w:w="1406"/>
        <w:gridCol w:w="690"/>
        <w:gridCol w:w="690"/>
        <w:gridCol w:w="696"/>
        <w:gridCol w:w="696"/>
        <w:gridCol w:w="700"/>
        <w:gridCol w:w="558"/>
        <w:gridCol w:w="666"/>
        <w:gridCol w:w="700"/>
      </w:tblGrid>
      <w:tr w:rsidR="004600B0" w:rsidRPr="004600B0" w:rsidTr="004600B0">
        <w:trPr>
          <w:trHeight w:val="510"/>
        </w:trPr>
        <w:tc>
          <w:tcPr>
            <w:tcW w:w="884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b/>
                <w:bCs/>
                <w:color w:val="000000"/>
                <w:kern w:val="0"/>
                <w:sz w:val="40"/>
                <w:szCs w:val="40"/>
              </w:rPr>
            </w:pPr>
            <w:r w:rsidRPr="004600B0">
              <w:rPr>
                <w:rFonts w:ascii="宋体" w:hAnsi="宋体" w:cs="宋体" w:hint="eastAsia"/>
                <w:b/>
                <w:bCs/>
                <w:color w:val="000000"/>
                <w:kern w:val="0"/>
                <w:sz w:val="40"/>
                <w:szCs w:val="40"/>
              </w:rPr>
              <w:lastRenderedPageBreak/>
              <w:t>项目支出绩效自评表</w:t>
            </w:r>
          </w:p>
        </w:tc>
      </w:tr>
      <w:tr w:rsidR="004600B0" w:rsidRPr="004600B0" w:rsidTr="004600B0">
        <w:trPr>
          <w:trHeight w:val="270"/>
        </w:trPr>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right"/>
              <w:rPr>
                <w:rFonts w:ascii="宋体" w:hAnsi="宋体" w:cs="宋体" w:hint="eastAsia"/>
                <w:color w:val="000000"/>
                <w:kern w:val="0"/>
                <w:sz w:val="18"/>
                <w:szCs w:val="18"/>
              </w:rPr>
            </w:pPr>
            <w:r w:rsidRPr="004600B0">
              <w:rPr>
                <w:rFonts w:ascii="宋体" w:hAnsi="宋体" w:cs="宋体" w:hint="eastAsia"/>
                <w:color w:val="000000"/>
                <w:kern w:val="0"/>
                <w:sz w:val="18"/>
                <w:szCs w:val="18"/>
              </w:rPr>
              <w:t>项目名称</w:t>
            </w:r>
          </w:p>
        </w:tc>
        <w:tc>
          <w:tcPr>
            <w:tcW w:w="7760" w:type="dxa"/>
            <w:gridSpan w:val="10"/>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文史工作专项经费</w:t>
            </w:r>
          </w:p>
        </w:tc>
      </w:tr>
      <w:tr w:rsidR="004600B0" w:rsidRPr="004600B0" w:rsidTr="004600B0">
        <w:trPr>
          <w:trHeight w:val="465"/>
        </w:trPr>
        <w:tc>
          <w:tcPr>
            <w:tcW w:w="10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right"/>
              <w:rPr>
                <w:rFonts w:ascii="宋体" w:hAnsi="宋体" w:cs="宋体" w:hint="eastAsia"/>
                <w:color w:val="000000"/>
                <w:kern w:val="0"/>
                <w:sz w:val="18"/>
                <w:szCs w:val="18"/>
              </w:rPr>
            </w:pPr>
            <w:r w:rsidRPr="004600B0">
              <w:rPr>
                <w:rFonts w:ascii="宋体" w:hAnsi="宋体" w:cs="宋体" w:hint="eastAsia"/>
                <w:color w:val="000000"/>
                <w:kern w:val="0"/>
                <w:sz w:val="18"/>
                <w:szCs w:val="18"/>
              </w:rPr>
              <w:t>主管部门</w:t>
            </w:r>
          </w:p>
        </w:tc>
        <w:tc>
          <w:tcPr>
            <w:tcW w:w="3820" w:type="dxa"/>
            <w:gridSpan w:val="4"/>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政协赤峰市委员会办公室（部门）</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right"/>
              <w:rPr>
                <w:rFonts w:ascii="宋体" w:hAnsi="宋体" w:cs="宋体" w:hint="eastAsia"/>
                <w:color w:val="000000"/>
                <w:kern w:val="0"/>
                <w:sz w:val="18"/>
                <w:szCs w:val="18"/>
              </w:rPr>
            </w:pPr>
            <w:r w:rsidRPr="004600B0">
              <w:rPr>
                <w:rFonts w:ascii="宋体" w:hAnsi="宋体" w:cs="宋体" w:hint="eastAsia"/>
                <w:color w:val="000000"/>
                <w:kern w:val="0"/>
                <w:sz w:val="18"/>
                <w:szCs w:val="18"/>
              </w:rPr>
              <w:t>实施单位</w:t>
            </w:r>
          </w:p>
        </w:tc>
        <w:tc>
          <w:tcPr>
            <w:tcW w:w="2540" w:type="dxa"/>
            <w:gridSpan w:val="4"/>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政协赤峰市委员会办公室</w:t>
            </w:r>
          </w:p>
        </w:tc>
      </w:tr>
      <w:tr w:rsidR="004600B0" w:rsidRPr="004600B0" w:rsidTr="004600B0">
        <w:trPr>
          <w:trHeight w:val="465"/>
        </w:trPr>
        <w:tc>
          <w:tcPr>
            <w:tcW w:w="10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项目资金</w:t>
            </w:r>
            <w:r w:rsidRPr="004600B0">
              <w:rPr>
                <w:rFonts w:ascii="宋体" w:hAnsi="宋体" w:cs="宋体" w:hint="eastAsia"/>
                <w:color w:val="000000"/>
                <w:kern w:val="0"/>
                <w:sz w:val="18"/>
                <w:szCs w:val="18"/>
              </w:rPr>
              <w:br/>
              <w:t>（万元）</w:t>
            </w:r>
          </w:p>
        </w:tc>
        <w:tc>
          <w:tcPr>
            <w:tcW w:w="98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144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年初预算数</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全年预算数</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全年执行数</w:t>
            </w:r>
          </w:p>
        </w:tc>
        <w:tc>
          <w:tcPr>
            <w:tcW w:w="70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分值</w:t>
            </w:r>
          </w:p>
        </w:tc>
        <w:tc>
          <w:tcPr>
            <w:tcW w:w="114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执行率（%）</w:t>
            </w:r>
          </w:p>
        </w:tc>
        <w:tc>
          <w:tcPr>
            <w:tcW w:w="70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得分</w:t>
            </w:r>
          </w:p>
        </w:tc>
      </w:tr>
      <w:tr w:rsidR="004600B0" w:rsidRPr="004600B0" w:rsidTr="004600B0">
        <w:trPr>
          <w:trHeight w:val="270"/>
        </w:trPr>
        <w:tc>
          <w:tcPr>
            <w:tcW w:w="1080" w:type="dxa"/>
            <w:gridSpan w:val="2"/>
            <w:vMerge/>
            <w:tcBorders>
              <w:top w:val="single" w:sz="4" w:space="0" w:color="auto"/>
              <w:left w:val="single" w:sz="4" w:space="0" w:color="auto"/>
              <w:bottom w:val="single" w:sz="4" w:space="0" w:color="000000"/>
              <w:right w:val="single" w:sz="4" w:space="0" w:color="000000"/>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年度资金总额</w:t>
            </w:r>
          </w:p>
        </w:tc>
        <w:tc>
          <w:tcPr>
            <w:tcW w:w="144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0</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50</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37.84</w:t>
            </w:r>
          </w:p>
        </w:tc>
        <w:tc>
          <w:tcPr>
            <w:tcW w:w="70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w:t>
            </w:r>
          </w:p>
        </w:tc>
        <w:tc>
          <w:tcPr>
            <w:tcW w:w="114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75.68</w:t>
            </w:r>
          </w:p>
        </w:tc>
        <w:tc>
          <w:tcPr>
            <w:tcW w:w="70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7.57</w:t>
            </w:r>
          </w:p>
        </w:tc>
      </w:tr>
      <w:tr w:rsidR="004600B0" w:rsidRPr="004600B0" w:rsidTr="004600B0">
        <w:trPr>
          <w:trHeight w:val="270"/>
        </w:trPr>
        <w:tc>
          <w:tcPr>
            <w:tcW w:w="1080" w:type="dxa"/>
            <w:gridSpan w:val="2"/>
            <w:vMerge/>
            <w:tcBorders>
              <w:top w:val="single" w:sz="4" w:space="0" w:color="auto"/>
              <w:left w:val="single" w:sz="4" w:space="0" w:color="auto"/>
              <w:bottom w:val="single" w:sz="4" w:space="0" w:color="000000"/>
              <w:right w:val="single" w:sz="4" w:space="0" w:color="000000"/>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其中：财政拨款</w:t>
            </w:r>
          </w:p>
        </w:tc>
        <w:tc>
          <w:tcPr>
            <w:tcW w:w="144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0</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50</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37.84</w:t>
            </w:r>
          </w:p>
        </w:tc>
        <w:tc>
          <w:tcPr>
            <w:tcW w:w="70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c>
          <w:tcPr>
            <w:tcW w:w="114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75.68</w:t>
            </w:r>
          </w:p>
        </w:tc>
        <w:tc>
          <w:tcPr>
            <w:tcW w:w="70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r>
      <w:tr w:rsidR="004600B0" w:rsidRPr="004600B0" w:rsidTr="004600B0">
        <w:trPr>
          <w:trHeight w:val="270"/>
        </w:trPr>
        <w:tc>
          <w:tcPr>
            <w:tcW w:w="1080" w:type="dxa"/>
            <w:gridSpan w:val="2"/>
            <w:vMerge/>
            <w:tcBorders>
              <w:top w:val="single" w:sz="4" w:space="0" w:color="auto"/>
              <w:left w:val="single" w:sz="4" w:space="0" w:color="auto"/>
              <w:bottom w:val="single" w:sz="4" w:space="0" w:color="000000"/>
              <w:right w:val="single" w:sz="4" w:space="0" w:color="000000"/>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上年结转资金</w:t>
            </w:r>
          </w:p>
        </w:tc>
        <w:tc>
          <w:tcPr>
            <w:tcW w:w="144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70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c>
          <w:tcPr>
            <w:tcW w:w="114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 xml:space="preserve">　</w:t>
            </w:r>
          </w:p>
        </w:tc>
        <w:tc>
          <w:tcPr>
            <w:tcW w:w="70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r>
      <w:tr w:rsidR="004600B0" w:rsidRPr="004600B0" w:rsidTr="004600B0">
        <w:trPr>
          <w:trHeight w:val="270"/>
        </w:trPr>
        <w:tc>
          <w:tcPr>
            <w:tcW w:w="1080" w:type="dxa"/>
            <w:gridSpan w:val="2"/>
            <w:vMerge/>
            <w:tcBorders>
              <w:top w:val="single" w:sz="4" w:space="0" w:color="auto"/>
              <w:left w:val="single" w:sz="4" w:space="0" w:color="auto"/>
              <w:bottom w:val="single" w:sz="4" w:space="0" w:color="000000"/>
              <w:right w:val="single" w:sz="4" w:space="0" w:color="000000"/>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8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其他资金</w:t>
            </w:r>
          </w:p>
        </w:tc>
        <w:tc>
          <w:tcPr>
            <w:tcW w:w="144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0</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0</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0</w:t>
            </w:r>
          </w:p>
        </w:tc>
        <w:tc>
          <w:tcPr>
            <w:tcW w:w="70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c>
          <w:tcPr>
            <w:tcW w:w="114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0</w:t>
            </w:r>
          </w:p>
        </w:tc>
        <w:tc>
          <w:tcPr>
            <w:tcW w:w="70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r>
      <w:tr w:rsidR="004600B0" w:rsidRPr="004600B0" w:rsidTr="004600B0">
        <w:trPr>
          <w:trHeight w:val="270"/>
        </w:trPr>
        <w:tc>
          <w:tcPr>
            <w:tcW w:w="10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年度总体目标</w:t>
            </w:r>
          </w:p>
        </w:tc>
        <w:tc>
          <w:tcPr>
            <w:tcW w:w="4520" w:type="dxa"/>
            <w:gridSpan w:val="5"/>
            <w:tcBorders>
              <w:top w:val="single" w:sz="4" w:space="0" w:color="auto"/>
              <w:left w:val="nil"/>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预期目标</w:t>
            </w:r>
          </w:p>
        </w:tc>
        <w:tc>
          <w:tcPr>
            <w:tcW w:w="3240" w:type="dxa"/>
            <w:gridSpan w:val="5"/>
            <w:tcBorders>
              <w:top w:val="single" w:sz="4" w:space="0" w:color="auto"/>
              <w:left w:val="nil"/>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实际完成情况</w:t>
            </w:r>
          </w:p>
        </w:tc>
      </w:tr>
      <w:tr w:rsidR="004600B0" w:rsidRPr="004600B0" w:rsidTr="004600B0">
        <w:trPr>
          <w:trHeight w:val="825"/>
        </w:trPr>
        <w:tc>
          <w:tcPr>
            <w:tcW w:w="1080" w:type="dxa"/>
            <w:gridSpan w:val="2"/>
            <w:vMerge/>
            <w:tcBorders>
              <w:top w:val="single" w:sz="4" w:space="0" w:color="auto"/>
              <w:left w:val="single" w:sz="4" w:space="0" w:color="auto"/>
              <w:bottom w:val="single" w:sz="4" w:space="0" w:color="auto"/>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4520" w:type="dxa"/>
            <w:gridSpan w:val="5"/>
            <w:tcBorders>
              <w:top w:val="single" w:sz="4" w:space="0" w:color="auto"/>
              <w:left w:val="nil"/>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为切实提高赤峰文史工作水平，举办“走过芳华向未来—赤峰市产业发展老照片展，为赤峰高质量发展注入强劲精神动力。</w:t>
            </w:r>
          </w:p>
        </w:tc>
        <w:tc>
          <w:tcPr>
            <w:tcW w:w="3240" w:type="dxa"/>
            <w:gridSpan w:val="5"/>
            <w:tcBorders>
              <w:top w:val="single" w:sz="4" w:space="0" w:color="auto"/>
              <w:left w:val="nil"/>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为切实提高赤峰文史工作水平，举办“走过芳华向未来—赤峰市产业发展老照片展，为赤峰高质量发展注入强劲精神动力。</w:t>
            </w:r>
          </w:p>
        </w:tc>
      </w:tr>
      <w:tr w:rsidR="004600B0" w:rsidRPr="004600B0" w:rsidTr="004600B0">
        <w:trPr>
          <w:trHeight w:val="525"/>
        </w:trPr>
        <w:tc>
          <w:tcPr>
            <w:tcW w:w="520" w:type="dxa"/>
            <w:tcBorders>
              <w:top w:val="nil"/>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绩效指标</w:t>
            </w:r>
          </w:p>
        </w:tc>
        <w:tc>
          <w:tcPr>
            <w:tcW w:w="5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一级指标</w:t>
            </w:r>
          </w:p>
        </w:tc>
        <w:tc>
          <w:tcPr>
            <w:tcW w:w="98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二级指标</w:t>
            </w:r>
          </w:p>
        </w:tc>
        <w:tc>
          <w:tcPr>
            <w:tcW w:w="144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三级指标</w:t>
            </w:r>
          </w:p>
        </w:tc>
        <w:tc>
          <w:tcPr>
            <w:tcW w:w="70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指标性质</w:t>
            </w:r>
          </w:p>
        </w:tc>
        <w:tc>
          <w:tcPr>
            <w:tcW w:w="70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指标方向</w:t>
            </w:r>
          </w:p>
        </w:tc>
        <w:tc>
          <w:tcPr>
            <w:tcW w:w="70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年度指标值</w:t>
            </w:r>
          </w:p>
        </w:tc>
        <w:tc>
          <w:tcPr>
            <w:tcW w:w="70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实际完成值</w:t>
            </w:r>
          </w:p>
        </w:tc>
        <w:tc>
          <w:tcPr>
            <w:tcW w:w="70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计量单位</w:t>
            </w:r>
          </w:p>
        </w:tc>
        <w:tc>
          <w:tcPr>
            <w:tcW w:w="5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分值</w:t>
            </w:r>
          </w:p>
        </w:tc>
        <w:tc>
          <w:tcPr>
            <w:tcW w:w="58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得分</w:t>
            </w:r>
          </w:p>
        </w:tc>
        <w:tc>
          <w:tcPr>
            <w:tcW w:w="70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偏差原因分析及改进措施</w:t>
            </w:r>
          </w:p>
        </w:tc>
      </w:tr>
      <w:tr w:rsidR="004600B0" w:rsidRPr="004600B0" w:rsidTr="004600B0">
        <w:trPr>
          <w:trHeight w:val="315"/>
        </w:trPr>
        <w:tc>
          <w:tcPr>
            <w:tcW w:w="520" w:type="dxa"/>
            <w:vMerge w:val="restart"/>
            <w:tcBorders>
              <w:top w:val="nil"/>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绩效指标</w:t>
            </w:r>
          </w:p>
        </w:tc>
        <w:tc>
          <w:tcPr>
            <w:tcW w:w="560" w:type="dxa"/>
            <w:vMerge w:val="restart"/>
            <w:tcBorders>
              <w:top w:val="nil"/>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产出指标</w:t>
            </w:r>
          </w:p>
        </w:tc>
        <w:tc>
          <w:tcPr>
            <w:tcW w:w="980" w:type="dxa"/>
            <w:vMerge w:val="restart"/>
            <w:tcBorders>
              <w:top w:val="nil"/>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数量指标</w:t>
            </w:r>
          </w:p>
        </w:tc>
        <w:tc>
          <w:tcPr>
            <w:tcW w:w="144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文思宣传时间</w:t>
            </w:r>
          </w:p>
        </w:tc>
        <w:tc>
          <w:tcPr>
            <w:tcW w:w="70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70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大于等于</w:t>
            </w:r>
          </w:p>
        </w:tc>
        <w:tc>
          <w:tcPr>
            <w:tcW w:w="70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20</w:t>
            </w:r>
          </w:p>
        </w:tc>
        <w:tc>
          <w:tcPr>
            <w:tcW w:w="70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20</w:t>
            </w:r>
          </w:p>
        </w:tc>
        <w:tc>
          <w:tcPr>
            <w:tcW w:w="70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天</w:t>
            </w:r>
          </w:p>
        </w:tc>
        <w:tc>
          <w:tcPr>
            <w:tcW w:w="56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7</w:t>
            </w:r>
          </w:p>
        </w:tc>
        <w:tc>
          <w:tcPr>
            <w:tcW w:w="58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7</w:t>
            </w:r>
          </w:p>
        </w:tc>
        <w:tc>
          <w:tcPr>
            <w:tcW w:w="70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85"/>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56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8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14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举办文史宣传</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大于等于</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次</w:t>
            </w:r>
          </w:p>
        </w:tc>
        <w:tc>
          <w:tcPr>
            <w:tcW w:w="5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8</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8</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30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56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80" w:type="dxa"/>
            <w:vMerge w:val="restart"/>
            <w:tcBorders>
              <w:top w:val="single" w:sz="4" w:space="0" w:color="auto"/>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质量指标</w:t>
            </w:r>
          </w:p>
        </w:tc>
        <w:tc>
          <w:tcPr>
            <w:tcW w:w="14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文史宣传参与率</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大于等于</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60</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60</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w:t>
            </w:r>
          </w:p>
        </w:tc>
        <w:tc>
          <w:tcPr>
            <w:tcW w:w="5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7</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7</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56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80" w:type="dxa"/>
            <w:vMerge/>
            <w:tcBorders>
              <w:top w:val="single" w:sz="4" w:space="0" w:color="auto"/>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14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参观讲解率</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大于等于</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95</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95</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w:t>
            </w:r>
          </w:p>
        </w:tc>
        <w:tc>
          <w:tcPr>
            <w:tcW w:w="5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8</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8</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56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80" w:type="dxa"/>
            <w:vMerge w:val="restart"/>
            <w:tcBorders>
              <w:top w:val="single" w:sz="4" w:space="0" w:color="auto"/>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时效指标</w:t>
            </w:r>
          </w:p>
        </w:tc>
        <w:tc>
          <w:tcPr>
            <w:tcW w:w="14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宣传时间</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定性</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9月底</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9月底</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5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54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56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80" w:type="dxa"/>
            <w:vMerge/>
            <w:tcBorders>
              <w:top w:val="single" w:sz="4" w:space="0" w:color="auto"/>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14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文史馆升级改造完成时间</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定性</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12月底</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12月底</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5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42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56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80" w:type="dxa"/>
            <w:vMerge w:val="restart"/>
            <w:tcBorders>
              <w:top w:val="single" w:sz="4" w:space="0" w:color="auto"/>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成本指标</w:t>
            </w:r>
          </w:p>
        </w:tc>
        <w:tc>
          <w:tcPr>
            <w:tcW w:w="14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老照片装裱成本</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反向</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小于等于</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500</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500</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元/张</w:t>
            </w:r>
          </w:p>
        </w:tc>
        <w:tc>
          <w:tcPr>
            <w:tcW w:w="5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330"/>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56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80" w:type="dxa"/>
            <w:vMerge/>
            <w:tcBorders>
              <w:top w:val="single" w:sz="4" w:space="0" w:color="auto"/>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14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宣传成本</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反向</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小于等于</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3000</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3000</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元/组</w:t>
            </w:r>
          </w:p>
        </w:tc>
        <w:tc>
          <w:tcPr>
            <w:tcW w:w="5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465"/>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560" w:type="dxa"/>
            <w:vMerge w:val="restart"/>
            <w:tcBorders>
              <w:top w:val="single" w:sz="4" w:space="0" w:color="auto"/>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效益指标</w:t>
            </w:r>
          </w:p>
        </w:tc>
        <w:tc>
          <w:tcPr>
            <w:tcW w:w="9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社会效益指标</w:t>
            </w:r>
          </w:p>
        </w:tc>
        <w:tc>
          <w:tcPr>
            <w:tcW w:w="14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加强文史馆品牌建设</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定性</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有所提升</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有所提升</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5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465"/>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560" w:type="dxa"/>
            <w:vMerge/>
            <w:tcBorders>
              <w:top w:val="single" w:sz="4" w:space="0" w:color="auto"/>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可持续影响指标</w:t>
            </w:r>
          </w:p>
        </w:tc>
        <w:tc>
          <w:tcPr>
            <w:tcW w:w="14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发挥政协史料价值</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定性</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持续提升</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持续提升</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5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315"/>
        </w:trPr>
        <w:tc>
          <w:tcPr>
            <w:tcW w:w="52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5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满意度指标</w:t>
            </w:r>
          </w:p>
        </w:tc>
        <w:tc>
          <w:tcPr>
            <w:tcW w:w="9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服务对象满意度指标</w:t>
            </w:r>
          </w:p>
        </w:tc>
        <w:tc>
          <w:tcPr>
            <w:tcW w:w="14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参观人员满意度</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大于等于</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95</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95</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w:t>
            </w:r>
          </w:p>
        </w:tc>
        <w:tc>
          <w:tcPr>
            <w:tcW w:w="5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w:t>
            </w:r>
          </w:p>
        </w:tc>
        <w:tc>
          <w:tcPr>
            <w:tcW w:w="7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390"/>
        </w:trPr>
        <w:tc>
          <w:tcPr>
            <w:tcW w:w="700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总分</w:t>
            </w:r>
          </w:p>
        </w:tc>
        <w:tc>
          <w:tcPr>
            <w:tcW w:w="560" w:type="dxa"/>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97.57</w:t>
            </w:r>
          </w:p>
        </w:tc>
        <w:tc>
          <w:tcPr>
            <w:tcW w:w="700" w:type="dxa"/>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bl>
    <w:p w:rsidR="008F7038" w:rsidRDefault="008F7038" w:rsidP="0059231F">
      <w:pPr>
        <w:widowControl/>
        <w:spacing w:before="240" w:after="240"/>
        <w:ind w:firstLineChars="200" w:firstLine="640"/>
        <w:rPr>
          <w:rFonts w:ascii="仿宋_GB2312" w:eastAsia="仿宋_GB2312" w:hAnsi="仿宋_GB2312" w:cs="仿宋_GB2312"/>
          <w:kern w:val="0"/>
          <w:sz w:val="32"/>
          <w:szCs w:val="32"/>
        </w:rPr>
      </w:pPr>
    </w:p>
    <w:p w:rsidR="004600B0" w:rsidRDefault="004600B0" w:rsidP="0059231F">
      <w:pPr>
        <w:widowControl/>
        <w:spacing w:before="240" w:after="240"/>
        <w:ind w:firstLineChars="200" w:firstLine="640"/>
        <w:rPr>
          <w:rFonts w:ascii="仿宋_GB2312" w:eastAsia="仿宋_GB2312" w:hAnsi="仿宋_GB2312" w:cs="仿宋_GB2312"/>
          <w:kern w:val="0"/>
          <w:sz w:val="32"/>
          <w:szCs w:val="32"/>
        </w:rPr>
      </w:pPr>
    </w:p>
    <w:tbl>
      <w:tblPr>
        <w:tblW w:w="8680" w:type="dxa"/>
        <w:tblInd w:w="113" w:type="dxa"/>
        <w:tblLook w:val="04A0" w:firstRow="1" w:lastRow="0" w:firstColumn="1" w:lastColumn="0" w:noHBand="0" w:noVBand="1"/>
      </w:tblPr>
      <w:tblGrid>
        <w:gridCol w:w="566"/>
        <w:gridCol w:w="592"/>
        <w:gridCol w:w="932"/>
        <w:gridCol w:w="1012"/>
        <w:gridCol w:w="622"/>
        <w:gridCol w:w="733"/>
        <w:gridCol w:w="747"/>
        <w:gridCol w:w="747"/>
        <w:gridCol w:w="640"/>
        <w:gridCol w:w="573"/>
        <w:gridCol w:w="756"/>
        <w:gridCol w:w="760"/>
      </w:tblGrid>
      <w:tr w:rsidR="004600B0" w:rsidRPr="004600B0" w:rsidTr="004600B0">
        <w:trPr>
          <w:trHeight w:val="510"/>
        </w:trPr>
        <w:tc>
          <w:tcPr>
            <w:tcW w:w="8680"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b/>
                <w:bCs/>
                <w:color w:val="000000"/>
                <w:kern w:val="0"/>
                <w:sz w:val="40"/>
                <w:szCs w:val="40"/>
              </w:rPr>
            </w:pPr>
            <w:r w:rsidRPr="004600B0">
              <w:rPr>
                <w:rFonts w:ascii="宋体" w:hAnsi="宋体" w:cs="宋体" w:hint="eastAsia"/>
                <w:b/>
                <w:bCs/>
                <w:color w:val="000000"/>
                <w:kern w:val="0"/>
                <w:sz w:val="40"/>
                <w:szCs w:val="40"/>
              </w:rPr>
              <w:lastRenderedPageBreak/>
              <w:t>项目支出绩效自评表</w:t>
            </w:r>
          </w:p>
        </w:tc>
      </w:tr>
      <w:tr w:rsidR="004600B0" w:rsidRPr="004600B0" w:rsidTr="004600B0">
        <w:trPr>
          <w:trHeight w:val="270"/>
        </w:trPr>
        <w:tc>
          <w:tcPr>
            <w:tcW w:w="11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right"/>
              <w:rPr>
                <w:rFonts w:ascii="宋体" w:hAnsi="宋体" w:cs="宋体" w:hint="eastAsia"/>
                <w:color w:val="000000"/>
                <w:kern w:val="0"/>
                <w:sz w:val="18"/>
                <w:szCs w:val="18"/>
              </w:rPr>
            </w:pPr>
            <w:r w:rsidRPr="004600B0">
              <w:rPr>
                <w:rFonts w:ascii="宋体" w:hAnsi="宋体" w:cs="宋体" w:hint="eastAsia"/>
                <w:color w:val="000000"/>
                <w:kern w:val="0"/>
                <w:sz w:val="18"/>
                <w:szCs w:val="18"/>
              </w:rPr>
              <w:t>项目名称</w:t>
            </w:r>
          </w:p>
        </w:tc>
        <w:tc>
          <w:tcPr>
            <w:tcW w:w="7500" w:type="dxa"/>
            <w:gridSpan w:val="10"/>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《赤峰文史》期刊发行费</w:t>
            </w:r>
          </w:p>
        </w:tc>
      </w:tr>
      <w:tr w:rsidR="004600B0" w:rsidRPr="004600B0" w:rsidTr="004600B0">
        <w:trPr>
          <w:trHeight w:val="270"/>
        </w:trPr>
        <w:tc>
          <w:tcPr>
            <w:tcW w:w="11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right"/>
              <w:rPr>
                <w:rFonts w:ascii="宋体" w:hAnsi="宋体" w:cs="宋体" w:hint="eastAsia"/>
                <w:color w:val="000000"/>
                <w:kern w:val="0"/>
                <w:sz w:val="18"/>
                <w:szCs w:val="18"/>
              </w:rPr>
            </w:pPr>
            <w:r w:rsidRPr="004600B0">
              <w:rPr>
                <w:rFonts w:ascii="宋体" w:hAnsi="宋体" w:cs="宋体" w:hint="eastAsia"/>
                <w:color w:val="000000"/>
                <w:kern w:val="0"/>
                <w:sz w:val="18"/>
                <w:szCs w:val="18"/>
              </w:rPr>
              <w:t>主管部门</w:t>
            </w:r>
          </w:p>
        </w:tc>
        <w:tc>
          <w:tcPr>
            <w:tcW w:w="3420" w:type="dxa"/>
            <w:gridSpan w:val="4"/>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政协赤峰市委员会办公室（部门）</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right"/>
              <w:rPr>
                <w:rFonts w:ascii="宋体" w:hAnsi="宋体" w:cs="宋体" w:hint="eastAsia"/>
                <w:color w:val="000000"/>
                <w:kern w:val="0"/>
                <w:sz w:val="18"/>
                <w:szCs w:val="18"/>
              </w:rPr>
            </w:pPr>
            <w:r w:rsidRPr="004600B0">
              <w:rPr>
                <w:rFonts w:ascii="宋体" w:hAnsi="宋体" w:cs="宋体" w:hint="eastAsia"/>
                <w:color w:val="000000"/>
                <w:kern w:val="0"/>
                <w:sz w:val="18"/>
                <w:szCs w:val="18"/>
              </w:rPr>
              <w:t>实施单位</w:t>
            </w:r>
          </w:p>
        </w:tc>
        <w:tc>
          <w:tcPr>
            <w:tcW w:w="2560" w:type="dxa"/>
            <w:gridSpan w:val="4"/>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政协赤峰市委员会办公室</w:t>
            </w:r>
          </w:p>
        </w:tc>
      </w:tr>
      <w:tr w:rsidR="004600B0" w:rsidRPr="004600B0" w:rsidTr="004600B0">
        <w:trPr>
          <w:trHeight w:val="270"/>
        </w:trPr>
        <w:tc>
          <w:tcPr>
            <w:tcW w:w="118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项目资金</w:t>
            </w:r>
            <w:r w:rsidRPr="004600B0">
              <w:rPr>
                <w:rFonts w:ascii="宋体" w:hAnsi="宋体" w:cs="宋体" w:hint="eastAsia"/>
                <w:color w:val="000000"/>
                <w:kern w:val="0"/>
                <w:sz w:val="18"/>
                <w:szCs w:val="18"/>
              </w:rPr>
              <w:br/>
              <w:t>（万元）</w:t>
            </w:r>
          </w:p>
        </w:tc>
        <w:tc>
          <w:tcPr>
            <w:tcW w:w="9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10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年初预算数</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全年预算数</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全年执行数</w:t>
            </w:r>
          </w:p>
        </w:tc>
        <w:tc>
          <w:tcPr>
            <w:tcW w:w="64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分值</w:t>
            </w:r>
          </w:p>
        </w:tc>
        <w:tc>
          <w:tcPr>
            <w:tcW w:w="116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执行率（%）</w:t>
            </w:r>
          </w:p>
        </w:tc>
        <w:tc>
          <w:tcPr>
            <w:tcW w:w="7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得分</w:t>
            </w:r>
          </w:p>
        </w:tc>
      </w:tr>
      <w:tr w:rsidR="004600B0" w:rsidRPr="004600B0" w:rsidTr="004600B0">
        <w:trPr>
          <w:trHeight w:val="270"/>
        </w:trPr>
        <w:tc>
          <w:tcPr>
            <w:tcW w:w="1180" w:type="dxa"/>
            <w:gridSpan w:val="2"/>
            <w:vMerge/>
            <w:tcBorders>
              <w:top w:val="single" w:sz="4" w:space="0" w:color="auto"/>
              <w:left w:val="single" w:sz="4" w:space="0" w:color="auto"/>
              <w:bottom w:val="single" w:sz="4" w:space="0" w:color="000000"/>
              <w:right w:val="single" w:sz="4" w:space="0" w:color="000000"/>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年度资金总额</w:t>
            </w:r>
          </w:p>
        </w:tc>
        <w:tc>
          <w:tcPr>
            <w:tcW w:w="10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49</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49</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49</w:t>
            </w:r>
          </w:p>
        </w:tc>
        <w:tc>
          <w:tcPr>
            <w:tcW w:w="64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w:t>
            </w:r>
          </w:p>
        </w:tc>
        <w:tc>
          <w:tcPr>
            <w:tcW w:w="116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100</w:t>
            </w:r>
          </w:p>
        </w:tc>
        <w:tc>
          <w:tcPr>
            <w:tcW w:w="7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w:t>
            </w:r>
          </w:p>
        </w:tc>
      </w:tr>
      <w:tr w:rsidR="004600B0" w:rsidRPr="004600B0" w:rsidTr="004600B0">
        <w:trPr>
          <w:trHeight w:val="270"/>
        </w:trPr>
        <w:tc>
          <w:tcPr>
            <w:tcW w:w="1180" w:type="dxa"/>
            <w:gridSpan w:val="2"/>
            <w:vMerge/>
            <w:tcBorders>
              <w:top w:val="single" w:sz="4" w:space="0" w:color="auto"/>
              <w:left w:val="single" w:sz="4" w:space="0" w:color="auto"/>
              <w:bottom w:val="single" w:sz="4" w:space="0" w:color="000000"/>
              <w:right w:val="single" w:sz="4" w:space="0" w:color="000000"/>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其中：财政拨款</w:t>
            </w:r>
          </w:p>
        </w:tc>
        <w:tc>
          <w:tcPr>
            <w:tcW w:w="10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49</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49</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49</w:t>
            </w:r>
          </w:p>
        </w:tc>
        <w:tc>
          <w:tcPr>
            <w:tcW w:w="64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c>
          <w:tcPr>
            <w:tcW w:w="116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100</w:t>
            </w:r>
          </w:p>
        </w:tc>
        <w:tc>
          <w:tcPr>
            <w:tcW w:w="76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r>
      <w:tr w:rsidR="004600B0" w:rsidRPr="004600B0" w:rsidTr="004600B0">
        <w:trPr>
          <w:trHeight w:val="270"/>
        </w:trPr>
        <w:tc>
          <w:tcPr>
            <w:tcW w:w="1180" w:type="dxa"/>
            <w:gridSpan w:val="2"/>
            <w:vMerge/>
            <w:tcBorders>
              <w:top w:val="single" w:sz="4" w:space="0" w:color="auto"/>
              <w:left w:val="single" w:sz="4" w:space="0" w:color="auto"/>
              <w:bottom w:val="single" w:sz="4" w:space="0" w:color="000000"/>
              <w:right w:val="single" w:sz="4" w:space="0" w:color="000000"/>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上年结转资金</w:t>
            </w:r>
          </w:p>
        </w:tc>
        <w:tc>
          <w:tcPr>
            <w:tcW w:w="10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64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c>
          <w:tcPr>
            <w:tcW w:w="116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 xml:space="preserve">　</w:t>
            </w:r>
          </w:p>
        </w:tc>
        <w:tc>
          <w:tcPr>
            <w:tcW w:w="76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r>
      <w:tr w:rsidR="004600B0" w:rsidRPr="004600B0" w:rsidTr="004600B0">
        <w:trPr>
          <w:trHeight w:val="270"/>
        </w:trPr>
        <w:tc>
          <w:tcPr>
            <w:tcW w:w="1180" w:type="dxa"/>
            <w:gridSpan w:val="2"/>
            <w:vMerge/>
            <w:tcBorders>
              <w:top w:val="single" w:sz="4" w:space="0" w:color="auto"/>
              <w:left w:val="single" w:sz="4" w:space="0" w:color="auto"/>
              <w:bottom w:val="single" w:sz="4" w:space="0" w:color="000000"/>
              <w:right w:val="single" w:sz="4" w:space="0" w:color="000000"/>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其他资金</w:t>
            </w:r>
          </w:p>
        </w:tc>
        <w:tc>
          <w:tcPr>
            <w:tcW w:w="10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0</w:t>
            </w:r>
          </w:p>
        </w:tc>
        <w:tc>
          <w:tcPr>
            <w:tcW w:w="140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0</w:t>
            </w:r>
          </w:p>
        </w:tc>
        <w:tc>
          <w:tcPr>
            <w:tcW w:w="152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0</w:t>
            </w:r>
          </w:p>
        </w:tc>
        <w:tc>
          <w:tcPr>
            <w:tcW w:w="64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c>
          <w:tcPr>
            <w:tcW w:w="1160" w:type="dxa"/>
            <w:gridSpan w:val="2"/>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0</w:t>
            </w:r>
          </w:p>
        </w:tc>
        <w:tc>
          <w:tcPr>
            <w:tcW w:w="760" w:type="dxa"/>
            <w:tcBorders>
              <w:top w:val="nil"/>
              <w:left w:val="nil"/>
              <w:bottom w:val="single" w:sz="4" w:space="0" w:color="auto"/>
              <w:right w:val="single" w:sz="4" w:space="0" w:color="auto"/>
            </w:tcBorders>
            <w:shd w:val="clear" w:color="auto" w:fill="auto"/>
            <w:noWrap/>
            <w:vAlign w:val="center"/>
            <w:hideMark/>
          </w:tcPr>
          <w:p w:rsidR="004600B0" w:rsidRPr="004600B0" w:rsidRDefault="004600B0" w:rsidP="004600B0">
            <w:pPr>
              <w:widowControl/>
              <w:jc w:val="center"/>
              <w:rPr>
                <w:rFonts w:ascii="Arial" w:hAnsi="Arial" w:cs="Arial" w:hint="eastAsia"/>
                <w:color w:val="222222"/>
                <w:kern w:val="0"/>
                <w:sz w:val="20"/>
                <w:szCs w:val="20"/>
              </w:rPr>
            </w:pPr>
            <w:r w:rsidRPr="004600B0">
              <w:rPr>
                <w:rFonts w:ascii="Arial" w:hAnsi="Arial" w:cs="Arial"/>
                <w:color w:val="222222"/>
                <w:kern w:val="0"/>
                <w:sz w:val="20"/>
                <w:szCs w:val="20"/>
              </w:rPr>
              <w:t>——</w:t>
            </w:r>
          </w:p>
        </w:tc>
      </w:tr>
      <w:tr w:rsidR="004600B0" w:rsidRPr="004600B0" w:rsidTr="004600B0">
        <w:trPr>
          <w:trHeight w:val="270"/>
        </w:trPr>
        <w:tc>
          <w:tcPr>
            <w:tcW w:w="11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color w:val="000000"/>
                <w:kern w:val="0"/>
                <w:sz w:val="18"/>
                <w:szCs w:val="18"/>
              </w:rPr>
            </w:pPr>
            <w:r w:rsidRPr="004600B0">
              <w:rPr>
                <w:rFonts w:ascii="宋体" w:hAnsi="宋体" w:cs="宋体" w:hint="eastAsia"/>
                <w:color w:val="000000"/>
                <w:kern w:val="0"/>
                <w:sz w:val="18"/>
                <w:szCs w:val="18"/>
              </w:rPr>
              <w:t>年度总体目标</w:t>
            </w:r>
          </w:p>
        </w:tc>
        <w:tc>
          <w:tcPr>
            <w:tcW w:w="4180" w:type="dxa"/>
            <w:gridSpan w:val="5"/>
            <w:tcBorders>
              <w:top w:val="single" w:sz="4" w:space="0" w:color="auto"/>
              <w:left w:val="nil"/>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预期目标</w:t>
            </w:r>
          </w:p>
        </w:tc>
        <w:tc>
          <w:tcPr>
            <w:tcW w:w="3320" w:type="dxa"/>
            <w:gridSpan w:val="5"/>
            <w:tcBorders>
              <w:top w:val="single" w:sz="4" w:space="0" w:color="auto"/>
              <w:left w:val="nil"/>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实际完成情况</w:t>
            </w:r>
          </w:p>
        </w:tc>
      </w:tr>
      <w:tr w:rsidR="004600B0" w:rsidRPr="004600B0" w:rsidTr="004600B0">
        <w:trPr>
          <w:trHeight w:val="735"/>
        </w:trPr>
        <w:tc>
          <w:tcPr>
            <w:tcW w:w="1180" w:type="dxa"/>
            <w:gridSpan w:val="2"/>
            <w:vMerge/>
            <w:tcBorders>
              <w:top w:val="single" w:sz="4" w:space="0" w:color="auto"/>
              <w:left w:val="single" w:sz="4" w:space="0" w:color="auto"/>
              <w:bottom w:val="single" w:sz="4" w:space="0" w:color="auto"/>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4180" w:type="dxa"/>
            <w:gridSpan w:val="5"/>
            <w:tcBorders>
              <w:top w:val="single" w:sz="4" w:space="0" w:color="auto"/>
              <w:left w:val="nil"/>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用于《赤峰文史》期刊5期编辑出版发行费用，组织委员及所联系的各界人士撰写“三亲”史料，编辑出版文史资料。</w:t>
            </w:r>
          </w:p>
        </w:tc>
        <w:tc>
          <w:tcPr>
            <w:tcW w:w="3320" w:type="dxa"/>
            <w:gridSpan w:val="5"/>
            <w:tcBorders>
              <w:top w:val="single" w:sz="4" w:space="0" w:color="auto"/>
              <w:left w:val="nil"/>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，组织委员及所联系的各界人士撰写“三亲”史料，编辑出版文史资料。</w:t>
            </w:r>
          </w:p>
        </w:tc>
      </w:tr>
      <w:tr w:rsidR="004600B0" w:rsidRPr="004600B0" w:rsidTr="004600B0">
        <w:trPr>
          <w:trHeight w:val="450"/>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绩效指标</w:t>
            </w:r>
          </w:p>
        </w:tc>
        <w:tc>
          <w:tcPr>
            <w:tcW w:w="60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一级指标</w:t>
            </w:r>
          </w:p>
        </w:tc>
        <w:tc>
          <w:tcPr>
            <w:tcW w:w="9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二级指标</w:t>
            </w:r>
          </w:p>
        </w:tc>
        <w:tc>
          <w:tcPr>
            <w:tcW w:w="10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三级指标</w:t>
            </w:r>
          </w:p>
        </w:tc>
        <w:tc>
          <w:tcPr>
            <w:tcW w:w="64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指标性质</w:t>
            </w:r>
          </w:p>
        </w:tc>
        <w:tc>
          <w:tcPr>
            <w:tcW w:w="7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指标方向</w:t>
            </w:r>
          </w:p>
        </w:tc>
        <w:tc>
          <w:tcPr>
            <w:tcW w:w="7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年度指标值</w:t>
            </w:r>
          </w:p>
        </w:tc>
        <w:tc>
          <w:tcPr>
            <w:tcW w:w="7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实际完成值</w:t>
            </w:r>
          </w:p>
        </w:tc>
        <w:tc>
          <w:tcPr>
            <w:tcW w:w="64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计量单位</w:t>
            </w:r>
          </w:p>
        </w:tc>
        <w:tc>
          <w:tcPr>
            <w:tcW w:w="58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分值</w:t>
            </w:r>
          </w:p>
        </w:tc>
        <w:tc>
          <w:tcPr>
            <w:tcW w:w="58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得分</w:t>
            </w:r>
          </w:p>
        </w:tc>
        <w:tc>
          <w:tcPr>
            <w:tcW w:w="760" w:type="dxa"/>
            <w:tcBorders>
              <w:top w:val="nil"/>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left"/>
              <w:rPr>
                <w:rFonts w:ascii="宋体" w:hAnsi="宋体" w:cs="宋体" w:hint="eastAsia"/>
                <w:color w:val="000000"/>
                <w:kern w:val="0"/>
                <w:sz w:val="18"/>
                <w:szCs w:val="18"/>
              </w:rPr>
            </w:pPr>
            <w:r w:rsidRPr="004600B0">
              <w:rPr>
                <w:rFonts w:ascii="宋体" w:hAnsi="宋体" w:cs="宋体" w:hint="eastAsia"/>
                <w:color w:val="000000"/>
                <w:kern w:val="0"/>
                <w:sz w:val="18"/>
                <w:szCs w:val="18"/>
              </w:rPr>
              <w:t>偏差原因分析及改进措施</w:t>
            </w:r>
          </w:p>
        </w:tc>
      </w:tr>
      <w:tr w:rsidR="004600B0" w:rsidRPr="004600B0" w:rsidTr="004600B0">
        <w:trPr>
          <w:trHeight w:val="270"/>
        </w:trPr>
        <w:tc>
          <w:tcPr>
            <w:tcW w:w="580" w:type="dxa"/>
            <w:vMerge w:val="restart"/>
            <w:tcBorders>
              <w:top w:val="nil"/>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绩效指标</w:t>
            </w:r>
          </w:p>
        </w:tc>
        <w:tc>
          <w:tcPr>
            <w:tcW w:w="600" w:type="dxa"/>
            <w:vMerge w:val="restart"/>
            <w:tcBorders>
              <w:top w:val="nil"/>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产出指标</w:t>
            </w:r>
          </w:p>
        </w:tc>
        <w:tc>
          <w:tcPr>
            <w:tcW w:w="960" w:type="dxa"/>
            <w:vMerge w:val="restart"/>
            <w:tcBorders>
              <w:top w:val="nil"/>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数量指标</w:t>
            </w:r>
          </w:p>
        </w:tc>
        <w:tc>
          <w:tcPr>
            <w:tcW w:w="106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印刷册数</w:t>
            </w:r>
          </w:p>
        </w:tc>
        <w:tc>
          <w:tcPr>
            <w:tcW w:w="64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76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大于等于</w:t>
            </w:r>
          </w:p>
        </w:tc>
        <w:tc>
          <w:tcPr>
            <w:tcW w:w="76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2000</w:t>
            </w:r>
          </w:p>
        </w:tc>
        <w:tc>
          <w:tcPr>
            <w:tcW w:w="76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2000</w:t>
            </w:r>
          </w:p>
        </w:tc>
        <w:tc>
          <w:tcPr>
            <w:tcW w:w="64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册</w:t>
            </w:r>
          </w:p>
        </w:tc>
        <w:tc>
          <w:tcPr>
            <w:tcW w:w="58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8</w:t>
            </w:r>
          </w:p>
        </w:tc>
        <w:tc>
          <w:tcPr>
            <w:tcW w:w="58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8</w:t>
            </w:r>
          </w:p>
        </w:tc>
        <w:tc>
          <w:tcPr>
            <w:tcW w:w="760" w:type="dxa"/>
            <w:tcBorders>
              <w:top w:val="nil"/>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8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0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6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10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印刷页数</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大于等于</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90</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90</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页</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7</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7</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8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0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60" w:type="dxa"/>
            <w:vMerge w:val="restart"/>
            <w:tcBorders>
              <w:top w:val="single" w:sz="4" w:space="0" w:color="auto"/>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质量指标</w:t>
            </w:r>
          </w:p>
        </w:tc>
        <w:tc>
          <w:tcPr>
            <w:tcW w:w="10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文稿验收合格率</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等于</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100</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100</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8</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8</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8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0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60" w:type="dxa"/>
            <w:vMerge/>
            <w:tcBorders>
              <w:top w:val="single" w:sz="4" w:space="0" w:color="auto"/>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10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印刷验收合格率</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等于</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100</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100</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7</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7</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8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0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60" w:type="dxa"/>
            <w:vMerge w:val="restart"/>
            <w:tcBorders>
              <w:top w:val="single" w:sz="4" w:space="0" w:color="auto"/>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时效指标</w:t>
            </w:r>
          </w:p>
        </w:tc>
        <w:tc>
          <w:tcPr>
            <w:tcW w:w="10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编辑完成时间</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定性</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11月底</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11月底</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8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0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60" w:type="dxa"/>
            <w:vMerge/>
            <w:tcBorders>
              <w:top w:val="single" w:sz="4" w:space="0" w:color="auto"/>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10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出版完成时间</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定性</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12月底</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12月底</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8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0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60" w:type="dxa"/>
            <w:vMerge w:val="restart"/>
            <w:tcBorders>
              <w:top w:val="single" w:sz="4" w:space="0" w:color="auto"/>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成本指标</w:t>
            </w:r>
          </w:p>
        </w:tc>
        <w:tc>
          <w:tcPr>
            <w:tcW w:w="10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每册发行成本</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等于</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元</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8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0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60" w:type="dxa"/>
            <w:vMerge/>
            <w:tcBorders>
              <w:top w:val="single" w:sz="4" w:space="0" w:color="auto"/>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10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每册印刷成本</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等于</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18</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18</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元</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5</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450"/>
        </w:trPr>
        <w:tc>
          <w:tcPr>
            <w:tcW w:w="58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00" w:type="dxa"/>
            <w:vMerge w:val="restart"/>
            <w:tcBorders>
              <w:top w:val="single" w:sz="4" w:space="0" w:color="auto"/>
              <w:left w:val="single" w:sz="4" w:space="0" w:color="auto"/>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效益指标</w:t>
            </w:r>
          </w:p>
        </w:tc>
        <w:tc>
          <w:tcPr>
            <w:tcW w:w="9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社会效益指标</w:t>
            </w:r>
          </w:p>
        </w:tc>
        <w:tc>
          <w:tcPr>
            <w:tcW w:w="10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研究整理宣传赤峰历史文化</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定性</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有所提升</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有所提升</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8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00" w:type="dxa"/>
            <w:vMerge/>
            <w:tcBorders>
              <w:top w:val="single" w:sz="4" w:space="0" w:color="auto"/>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9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可持续影响指标</w:t>
            </w:r>
          </w:p>
        </w:tc>
        <w:tc>
          <w:tcPr>
            <w:tcW w:w="10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赤峰文史影响力</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定性</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持续提升</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持续提升</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15</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580" w:type="dxa"/>
            <w:vMerge/>
            <w:tcBorders>
              <w:top w:val="nil"/>
              <w:left w:val="single" w:sz="4" w:space="0" w:color="auto"/>
              <w:bottom w:val="nil"/>
              <w:right w:val="single" w:sz="4" w:space="0" w:color="auto"/>
            </w:tcBorders>
            <w:vAlign w:val="center"/>
            <w:hideMark/>
          </w:tcPr>
          <w:p w:rsidR="004600B0" w:rsidRPr="004600B0" w:rsidRDefault="004600B0" w:rsidP="004600B0">
            <w:pPr>
              <w:widowControl/>
              <w:jc w:val="left"/>
              <w:rPr>
                <w:rFonts w:ascii="宋体" w:hAnsi="宋体" w:cs="宋体"/>
                <w:color w:val="000000"/>
                <w:kern w:val="0"/>
                <w:sz w:val="18"/>
                <w:szCs w:val="18"/>
              </w:rPr>
            </w:pPr>
          </w:p>
        </w:tc>
        <w:tc>
          <w:tcPr>
            <w:tcW w:w="60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满意度指标(10分)</w:t>
            </w:r>
          </w:p>
        </w:tc>
        <w:tc>
          <w:tcPr>
            <w:tcW w:w="9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服务对象满意度指标</w:t>
            </w:r>
          </w:p>
        </w:tc>
        <w:tc>
          <w:tcPr>
            <w:tcW w:w="10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社会各界人士满意度</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正向</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大于等于</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95</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95</w:t>
            </w:r>
          </w:p>
        </w:tc>
        <w:tc>
          <w:tcPr>
            <w:tcW w:w="64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w:t>
            </w:r>
          </w:p>
        </w:tc>
        <w:tc>
          <w:tcPr>
            <w:tcW w:w="58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w:t>
            </w:r>
          </w:p>
        </w:tc>
        <w:tc>
          <w:tcPr>
            <w:tcW w:w="760" w:type="dxa"/>
            <w:tcBorders>
              <w:top w:val="single" w:sz="4" w:space="0" w:color="auto"/>
              <w:left w:val="nil"/>
              <w:bottom w:val="nil"/>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r w:rsidR="004600B0" w:rsidRPr="004600B0" w:rsidTr="004600B0">
        <w:trPr>
          <w:trHeight w:val="270"/>
        </w:trPr>
        <w:tc>
          <w:tcPr>
            <w:tcW w:w="6760"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总分</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100</w:t>
            </w:r>
          </w:p>
        </w:tc>
        <w:tc>
          <w:tcPr>
            <w:tcW w:w="580" w:type="dxa"/>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100.00</w:t>
            </w:r>
          </w:p>
        </w:tc>
        <w:tc>
          <w:tcPr>
            <w:tcW w:w="760" w:type="dxa"/>
            <w:tcBorders>
              <w:top w:val="single" w:sz="4" w:space="0" w:color="auto"/>
              <w:left w:val="nil"/>
              <w:bottom w:val="single" w:sz="4" w:space="0" w:color="auto"/>
              <w:right w:val="single" w:sz="4" w:space="0" w:color="auto"/>
            </w:tcBorders>
            <w:shd w:val="clear" w:color="auto" w:fill="auto"/>
            <w:vAlign w:val="center"/>
            <w:hideMark/>
          </w:tcPr>
          <w:p w:rsidR="004600B0" w:rsidRPr="004600B0" w:rsidRDefault="004600B0" w:rsidP="004600B0">
            <w:pPr>
              <w:widowControl/>
              <w:jc w:val="center"/>
              <w:rPr>
                <w:rFonts w:ascii="宋体" w:hAnsi="宋体" w:cs="宋体" w:hint="eastAsia"/>
                <w:color w:val="000000"/>
                <w:kern w:val="0"/>
                <w:sz w:val="18"/>
                <w:szCs w:val="18"/>
              </w:rPr>
            </w:pPr>
            <w:r w:rsidRPr="004600B0">
              <w:rPr>
                <w:rFonts w:ascii="宋体" w:hAnsi="宋体" w:cs="宋体" w:hint="eastAsia"/>
                <w:color w:val="000000"/>
                <w:kern w:val="0"/>
                <w:sz w:val="18"/>
                <w:szCs w:val="18"/>
              </w:rPr>
              <w:t xml:space="preserve">　</w:t>
            </w:r>
          </w:p>
        </w:tc>
      </w:tr>
    </w:tbl>
    <w:p w:rsidR="004600B0" w:rsidRDefault="004600B0" w:rsidP="0059231F">
      <w:pPr>
        <w:widowControl/>
        <w:spacing w:before="240" w:after="240"/>
        <w:ind w:firstLineChars="200" w:firstLine="640"/>
        <w:rPr>
          <w:rFonts w:ascii="仿宋_GB2312" w:eastAsia="仿宋_GB2312" w:hAnsi="仿宋_GB2312" w:cs="仿宋_GB2312" w:hint="eastAsia"/>
          <w:kern w:val="0"/>
          <w:sz w:val="32"/>
          <w:szCs w:val="32"/>
        </w:rPr>
      </w:pPr>
    </w:p>
    <w:p w:rsidR="008F7038" w:rsidRDefault="008F7038" w:rsidP="004600B0">
      <w:pPr>
        <w:widowControl/>
        <w:spacing w:before="240" w:after="240"/>
        <w:rPr>
          <w:rFonts w:ascii="仿宋_GB2312" w:eastAsia="仿宋_GB2312" w:hAnsi="仿宋_GB2312" w:cs="仿宋_GB2312" w:hint="eastAsia"/>
          <w:kern w:val="0"/>
          <w:sz w:val="32"/>
          <w:szCs w:val="32"/>
        </w:rPr>
      </w:pPr>
    </w:p>
    <w:tbl>
      <w:tblPr>
        <w:tblW w:w="8381" w:type="dxa"/>
        <w:tblInd w:w="113" w:type="dxa"/>
        <w:tblLook w:val="04A0" w:firstRow="1" w:lastRow="0" w:firstColumn="1" w:lastColumn="0" w:noHBand="0" w:noVBand="1"/>
      </w:tblPr>
      <w:tblGrid>
        <w:gridCol w:w="452"/>
        <w:gridCol w:w="606"/>
        <w:gridCol w:w="776"/>
        <w:gridCol w:w="1057"/>
        <w:gridCol w:w="609"/>
        <w:gridCol w:w="605"/>
        <w:gridCol w:w="666"/>
        <w:gridCol w:w="687"/>
        <w:gridCol w:w="676"/>
        <w:gridCol w:w="604"/>
        <w:gridCol w:w="910"/>
        <w:gridCol w:w="733"/>
      </w:tblGrid>
      <w:tr w:rsidR="00A54D56" w:rsidRPr="00A54D56" w:rsidTr="004600B0">
        <w:trPr>
          <w:trHeight w:val="510"/>
        </w:trPr>
        <w:tc>
          <w:tcPr>
            <w:tcW w:w="8381"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b/>
                <w:bCs/>
                <w:color w:val="000000"/>
                <w:kern w:val="0"/>
                <w:sz w:val="40"/>
                <w:szCs w:val="40"/>
              </w:rPr>
            </w:pPr>
            <w:r w:rsidRPr="00A54D56">
              <w:rPr>
                <w:rFonts w:ascii="宋体" w:hAnsi="宋体" w:cs="宋体" w:hint="eastAsia"/>
                <w:b/>
                <w:bCs/>
                <w:color w:val="000000"/>
                <w:kern w:val="0"/>
                <w:sz w:val="40"/>
                <w:szCs w:val="40"/>
              </w:rPr>
              <w:lastRenderedPageBreak/>
              <w:t>项目支出绩效自评表</w:t>
            </w:r>
          </w:p>
        </w:tc>
      </w:tr>
      <w:tr w:rsidR="00A54D56" w:rsidRPr="00A54D56" w:rsidTr="004600B0">
        <w:trPr>
          <w:trHeight w:val="270"/>
        </w:trPr>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4D56" w:rsidRPr="00A54D56" w:rsidRDefault="00A54D56" w:rsidP="00A54D56">
            <w:pPr>
              <w:widowControl/>
              <w:jc w:val="right"/>
              <w:rPr>
                <w:rFonts w:ascii="宋体" w:hAnsi="宋体" w:cs="宋体" w:hint="eastAsia"/>
                <w:color w:val="000000"/>
                <w:kern w:val="0"/>
                <w:sz w:val="18"/>
                <w:szCs w:val="18"/>
              </w:rPr>
            </w:pPr>
            <w:r w:rsidRPr="00A54D56">
              <w:rPr>
                <w:rFonts w:ascii="宋体" w:hAnsi="宋体" w:cs="宋体" w:hint="eastAsia"/>
                <w:color w:val="000000"/>
                <w:kern w:val="0"/>
                <w:sz w:val="18"/>
                <w:szCs w:val="18"/>
              </w:rPr>
              <w:t>项目名称</w:t>
            </w:r>
          </w:p>
        </w:tc>
        <w:tc>
          <w:tcPr>
            <w:tcW w:w="7323" w:type="dxa"/>
            <w:gridSpan w:val="10"/>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left"/>
              <w:rPr>
                <w:rFonts w:ascii="宋体" w:hAnsi="宋体" w:cs="宋体" w:hint="eastAsia"/>
                <w:color w:val="000000"/>
                <w:kern w:val="0"/>
                <w:sz w:val="18"/>
                <w:szCs w:val="18"/>
              </w:rPr>
            </w:pPr>
            <w:r w:rsidRPr="00A54D56">
              <w:rPr>
                <w:rFonts w:ascii="宋体" w:hAnsi="宋体" w:cs="宋体" w:hint="eastAsia"/>
                <w:color w:val="000000"/>
                <w:kern w:val="0"/>
                <w:sz w:val="18"/>
                <w:szCs w:val="18"/>
              </w:rPr>
              <w:t>《口述史》制作</w:t>
            </w:r>
          </w:p>
        </w:tc>
      </w:tr>
      <w:tr w:rsidR="00A54D56" w:rsidRPr="00A54D56" w:rsidTr="004600B0">
        <w:trPr>
          <w:trHeight w:val="270"/>
        </w:trPr>
        <w:tc>
          <w:tcPr>
            <w:tcW w:w="1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54D56" w:rsidRPr="00A54D56" w:rsidRDefault="00A54D56" w:rsidP="00A54D56">
            <w:pPr>
              <w:widowControl/>
              <w:jc w:val="right"/>
              <w:rPr>
                <w:rFonts w:ascii="宋体" w:hAnsi="宋体" w:cs="宋体" w:hint="eastAsia"/>
                <w:color w:val="000000"/>
                <w:kern w:val="0"/>
                <w:sz w:val="18"/>
                <w:szCs w:val="18"/>
              </w:rPr>
            </w:pPr>
            <w:r w:rsidRPr="00A54D56">
              <w:rPr>
                <w:rFonts w:ascii="宋体" w:hAnsi="宋体" w:cs="宋体" w:hint="eastAsia"/>
                <w:color w:val="000000"/>
                <w:kern w:val="0"/>
                <w:sz w:val="18"/>
                <w:szCs w:val="18"/>
              </w:rPr>
              <w:t>主管部门</w:t>
            </w:r>
          </w:p>
        </w:tc>
        <w:tc>
          <w:tcPr>
            <w:tcW w:w="3047" w:type="dxa"/>
            <w:gridSpan w:val="4"/>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left"/>
              <w:rPr>
                <w:rFonts w:ascii="宋体" w:hAnsi="宋体" w:cs="宋体" w:hint="eastAsia"/>
                <w:color w:val="000000"/>
                <w:kern w:val="0"/>
                <w:sz w:val="18"/>
                <w:szCs w:val="18"/>
              </w:rPr>
            </w:pPr>
            <w:r w:rsidRPr="00A54D56">
              <w:rPr>
                <w:rFonts w:ascii="宋体" w:hAnsi="宋体" w:cs="宋体" w:hint="eastAsia"/>
                <w:color w:val="000000"/>
                <w:kern w:val="0"/>
                <w:sz w:val="18"/>
                <w:szCs w:val="18"/>
              </w:rPr>
              <w:t>政协赤峰市委员会办公室（部门）</w:t>
            </w:r>
          </w:p>
        </w:tc>
        <w:tc>
          <w:tcPr>
            <w:tcW w:w="1353"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right"/>
              <w:rPr>
                <w:rFonts w:ascii="宋体" w:hAnsi="宋体" w:cs="宋体" w:hint="eastAsia"/>
                <w:color w:val="000000"/>
                <w:kern w:val="0"/>
                <w:sz w:val="18"/>
                <w:szCs w:val="18"/>
              </w:rPr>
            </w:pPr>
            <w:r w:rsidRPr="00A54D56">
              <w:rPr>
                <w:rFonts w:ascii="宋体" w:hAnsi="宋体" w:cs="宋体" w:hint="eastAsia"/>
                <w:color w:val="000000"/>
                <w:kern w:val="0"/>
                <w:sz w:val="18"/>
                <w:szCs w:val="18"/>
              </w:rPr>
              <w:t>实施单位</w:t>
            </w:r>
          </w:p>
        </w:tc>
        <w:tc>
          <w:tcPr>
            <w:tcW w:w="2923" w:type="dxa"/>
            <w:gridSpan w:val="4"/>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left"/>
              <w:rPr>
                <w:rFonts w:ascii="宋体" w:hAnsi="宋体" w:cs="宋体" w:hint="eastAsia"/>
                <w:color w:val="000000"/>
                <w:kern w:val="0"/>
                <w:sz w:val="18"/>
                <w:szCs w:val="18"/>
              </w:rPr>
            </w:pPr>
            <w:r w:rsidRPr="00A54D56">
              <w:rPr>
                <w:rFonts w:ascii="宋体" w:hAnsi="宋体" w:cs="宋体" w:hint="eastAsia"/>
                <w:color w:val="000000"/>
                <w:kern w:val="0"/>
                <w:sz w:val="18"/>
                <w:szCs w:val="18"/>
              </w:rPr>
              <w:t>政协赤峰市委员会办公室</w:t>
            </w:r>
          </w:p>
        </w:tc>
      </w:tr>
      <w:tr w:rsidR="00A54D56" w:rsidRPr="00A54D56" w:rsidTr="004600B0">
        <w:trPr>
          <w:trHeight w:val="270"/>
        </w:trPr>
        <w:tc>
          <w:tcPr>
            <w:tcW w:w="1058"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项目资金</w:t>
            </w:r>
            <w:r w:rsidRPr="00A54D56">
              <w:rPr>
                <w:rFonts w:ascii="宋体" w:hAnsi="宋体" w:cs="宋体" w:hint="eastAsia"/>
                <w:color w:val="000000"/>
                <w:kern w:val="0"/>
                <w:sz w:val="18"/>
                <w:szCs w:val="18"/>
              </w:rPr>
              <w:br/>
              <w:t>（万元）</w:t>
            </w:r>
          </w:p>
        </w:tc>
        <w:tc>
          <w:tcPr>
            <w:tcW w:w="776"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left"/>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c>
          <w:tcPr>
            <w:tcW w:w="1057"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年初预算数</w:t>
            </w:r>
          </w:p>
        </w:tc>
        <w:tc>
          <w:tcPr>
            <w:tcW w:w="1214"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全年预算数</w:t>
            </w:r>
          </w:p>
        </w:tc>
        <w:tc>
          <w:tcPr>
            <w:tcW w:w="1353"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全年执行数</w:t>
            </w:r>
          </w:p>
        </w:tc>
        <w:tc>
          <w:tcPr>
            <w:tcW w:w="676"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分值</w:t>
            </w:r>
          </w:p>
        </w:tc>
        <w:tc>
          <w:tcPr>
            <w:tcW w:w="1514"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执行率（%）</w:t>
            </w:r>
          </w:p>
        </w:tc>
        <w:tc>
          <w:tcPr>
            <w:tcW w:w="733"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得分</w:t>
            </w:r>
          </w:p>
        </w:tc>
      </w:tr>
      <w:tr w:rsidR="00A54D56" w:rsidRPr="00A54D56" w:rsidTr="004600B0">
        <w:trPr>
          <w:trHeight w:val="450"/>
        </w:trPr>
        <w:tc>
          <w:tcPr>
            <w:tcW w:w="1058" w:type="dxa"/>
            <w:gridSpan w:val="2"/>
            <w:vMerge/>
            <w:tcBorders>
              <w:top w:val="single" w:sz="4" w:space="0" w:color="auto"/>
              <w:left w:val="single" w:sz="4" w:space="0" w:color="auto"/>
              <w:bottom w:val="single" w:sz="4" w:space="0" w:color="000000"/>
              <w:right w:val="single" w:sz="4" w:space="0" w:color="000000"/>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776"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年度资金总额</w:t>
            </w:r>
          </w:p>
        </w:tc>
        <w:tc>
          <w:tcPr>
            <w:tcW w:w="1057"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left"/>
              <w:rPr>
                <w:rFonts w:ascii="宋体" w:hAnsi="宋体" w:cs="宋体" w:hint="eastAsia"/>
                <w:color w:val="000000"/>
                <w:kern w:val="0"/>
                <w:sz w:val="18"/>
                <w:szCs w:val="18"/>
              </w:rPr>
            </w:pPr>
            <w:r w:rsidRPr="00A54D56">
              <w:rPr>
                <w:rFonts w:ascii="宋体" w:hAnsi="宋体" w:cs="宋体" w:hint="eastAsia"/>
                <w:color w:val="000000"/>
                <w:kern w:val="0"/>
                <w:sz w:val="18"/>
                <w:szCs w:val="18"/>
              </w:rPr>
              <w:t>4</w:t>
            </w:r>
          </w:p>
        </w:tc>
        <w:tc>
          <w:tcPr>
            <w:tcW w:w="1214"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4</w:t>
            </w:r>
          </w:p>
        </w:tc>
        <w:tc>
          <w:tcPr>
            <w:tcW w:w="1353"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4</w:t>
            </w:r>
          </w:p>
        </w:tc>
        <w:tc>
          <w:tcPr>
            <w:tcW w:w="676"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w:t>
            </w:r>
          </w:p>
        </w:tc>
        <w:tc>
          <w:tcPr>
            <w:tcW w:w="1514"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100</w:t>
            </w:r>
          </w:p>
        </w:tc>
        <w:tc>
          <w:tcPr>
            <w:tcW w:w="733"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w:t>
            </w:r>
          </w:p>
        </w:tc>
      </w:tr>
      <w:tr w:rsidR="00A54D56" w:rsidRPr="00A54D56" w:rsidTr="004600B0">
        <w:trPr>
          <w:trHeight w:val="450"/>
        </w:trPr>
        <w:tc>
          <w:tcPr>
            <w:tcW w:w="1058" w:type="dxa"/>
            <w:gridSpan w:val="2"/>
            <w:vMerge/>
            <w:tcBorders>
              <w:top w:val="single" w:sz="4" w:space="0" w:color="auto"/>
              <w:left w:val="single" w:sz="4" w:space="0" w:color="auto"/>
              <w:bottom w:val="single" w:sz="4" w:space="0" w:color="000000"/>
              <w:right w:val="single" w:sz="4" w:space="0" w:color="000000"/>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776"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left"/>
              <w:rPr>
                <w:rFonts w:ascii="宋体" w:hAnsi="宋体" w:cs="宋体" w:hint="eastAsia"/>
                <w:color w:val="000000"/>
                <w:kern w:val="0"/>
                <w:sz w:val="18"/>
                <w:szCs w:val="18"/>
              </w:rPr>
            </w:pPr>
            <w:r w:rsidRPr="00A54D56">
              <w:rPr>
                <w:rFonts w:ascii="宋体" w:hAnsi="宋体" w:cs="宋体" w:hint="eastAsia"/>
                <w:color w:val="000000"/>
                <w:kern w:val="0"/>
                <w:sz w:val="18"/>
                <w:szCs w:val="18"/>
              </w:rPr>
              <w:t>其中：财政拨款</w:t>
            </w:r>
          </w:p>
        </w:tc>
        <w:tc>
          <w:tcPr>
            <w:tcW w:w="1057"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left"/>
              <w:rPr>
                <w:rFonts w:ascii="宋体" w:hAnsi="宋体" w:cs="宋体" w:hint="eastAsia"/>
                <w:color w:val="000000"/>
                <w:kern w:val="0"/>
                <w:sz w:val="18"/>
                <w:szCs w:val="18"/>
              </w:rPr>
            </w:pPr>
            <w:r w:rsidRPr="00A54D56">
              <w:rPr>
                <w:rFonts w:ascii="宋体" w:hAnsi="宋体" w:cs="宋体" w:hint="eastAsia"/>
                <w:color w:val="000000"/>
                <w:kern w:val="0"/>
                <w:sz w:val="18"/>
                <w:szCs w:val="18"/>
              </w:rPr>
              <w:t>4</w:t>
            </w:r>
          </w:p>
        </w:tc>
        <w:tc>
          <w:tcPr>
            <w:tcW w:w="1214"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4</w:t>
            </w:r>
          </w:p>
        </w:tc>
        <w:tc>
          <w:tcPr>
            <w:tcW w:w="1353"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4</w:t>
            </w:r>
          </w:p>
        </w:tc>
        <w:tc>
          <w:tcPr>
            <w:tcW w:w="676" w:type="dxa"/>
            <w:tcBorders>
              <w:top w:val="nil"/>
              <w:left w:val="nil"/>
              <w:bottom w:val="single" w:sz="4" w:space="0" w:color="auto"/>
              <w:right w:val="single" w:sz="4" w:space="0" w:color="auto"/>
            </w:tcBorders>
            <w:shd w:val="clear" w:color="auto" w:fill="auto"/>
            <w:noWrap/>
            <w:vAlign w:val="center"/>
            <w:hideMark/>
          </w:tcPr>
          <w:p w:rsidR="00A54D56" w:rsidRPr="00A54D56" w:rsidRDefault="00A54D56" w:rsidP="00A54D56">
            <w:pPr>
              <w:widowControl/>
              <w:jc w:val="center"/>
              <w:rPr>
                <w:rFonts w:ascii="Arial" w:hAnsi="Arial" w:cs="Arial" w:hint="eastAsia"/>
                <w:color w:val="222222"/>
                <w:kern w:val="0"/>
                <w:sz w:val="20"/>
                <w:szCs w:val="20"/>
              </w:rPr>
            </w:pPr>
            <w:r w:rsidRPr="00A54D56">
              <w:rPr>
                <w:rFonts w:ascii="Arial" w:hAnsi="Arial" w:cs="Arial"/>
                <w:color w:val="222222"/>
                <w:kern w:val="0"/>
                <w:sz w:val="20"/>
                <w:szCs w:val="20"/>
              </w:rPr>
              <w:t>——</w:t>
            </w:r>
          </w:p>
        </w:tc>
        <w:tc>
          <w:tcPr>
            <w:tcW w:w="1514"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color w:val="000000"/>
                <w:kern w:val="0"/>
                <w:sz w:val="18"/>
                <w:szCs w:val="18"/>
              </w:rPr>
            </w:pPr>
            <w:r w:rsidRPr="00A54D56">
              <w:rPr>
                <w:rFonts w:ascii="宋体" w:hAnsi="宋体" w:cs="宋体" w:hint="eastAsia"/>
                <w:color w:val="000000"/>
                <w:kern w:val="0"/>
                <w:sz w:val="18"/>
                <w:szCs w:val="18"/>
              </w:rPr>
              <w:t>100</w:t>
            </w:r>
          </w:p>
        </w:tc>
        <w:tc>
          <w:tcPr>
            <w:tcW w:w="733" w:type="dxa"/>
            <w:tcBorders>
              <w:top w:val="nil"/>
              <w:left w:val="nil"/>
              <w:bottom w:val="single" w:sz="4" w:space="0" w:color="auto"/>
              <w:right w:val="single" w:sz="4" w:space="0" w:color="auto"/>
            </w:tcBorders>
            <w:shd w:val="clear" w:color="auto" w:fill="auto"/>
            <w:noWrap/>
            <w:vAlign w:val="center"/>
            <w:hideMark/>
          </w:tcPr>
          <w:p w:rsidR="00A54D56" w:rsidRPr="00A54D56" w:rsidRDefault="00A54D56" w:rsidP="00A54D56">
            <w:pPr>
              <w:widowControl/>
              <w:jc w:val="center"/>
              <w:rPr>
                <w:rFonts w:ascii="Arial" w:hAnsi="Arial" w:cs="Arial" w:hint="eastAsia"/>
                <w:color w:val="222222"/>
                <w:kern w:val="0"/>
                <w:sz w:val="20"/>
                <w:szCs w:val="20"/>
              </w:rPr>
            </w:pPr>
            <w:r w:rsidRPr="00A54D56">
              <w:rPr>
                <w:rFonts w:ascii="Arial" w:hAnsi="Arial" w:cs="Arial"/>
                <w:color w:val="222222"/>
                <w:kern w:val="0"/>
                <w:sz w:val="20"/>
                <w:szCs w:val="20"/>
              </w:rPr>
              <w:t>——</w:t>
            </w:r>
          </w:p>
        </w:tc>
      </w:tr>
      <w:tr w:rsidR="00A54D56" w:rsidRPr="00A54D56" w:rsidTr="004600B0">
        <w:trPr>
          <w:trHeight w:val="450"/>
        </w:trPr>
        <w:tc>
          <w:tcPr>
            <w:tcW w:w="1058" w:type="dxa"/>
            <w:gridSpan w:val="2"/>
            <w:vMerge/>
            <w:tcBorders>
              <w:top w:val="single" w:sz="4" w:space="0" w:color="auto"/>
              <w:left w:val="single" w:sz="4" w:space="0" w:color="auto"/>
              <w:bottom w:val="single" w:sz="4" w:space="0" w:color="000000"/>
              <w:right w:val="single" w:sz="4" w:space="0" w:color="000000"/>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776"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color w:val="000000"/>
                <w:kern w:val="0"/>
                <w:sz w:val="18"/>
                <w:szCs w:val="18"/>
              </w:rPr>
            </w:pPr>
            <w:r w:rsidRPr="00A54D56">
              <w:rPr>
                <w:rFonts w:ascii="宋体" w:hAnsi="宋体" w:cs="宋体" w:hint="eastAsia"/>
                <w:color w:val="000000"/>
                <w:kern w:val="0"/>
                <w:sz w:val="18"/>
                <w:szCs w:val="18"/>
              </w:rPr>
              <w:t>上年结转资金</w:t>
            </w:r>
          </w:p>
        </w:tc>
        <w:tc>
          <w:tcPr>
            <w:tcW w:w="1057"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left"/>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c>
          <w:tcPr>
            <w:tcW w:w="1214"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c>
          <w:tcPr>
            <w:tcW w:w="1353"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c>
          <w:tcPr>
            <w:tcW w:w="676" w:type="dxa"/>
            <w:tcBorders>
              <w:top w:val="nil"/>
              <w:left w:val="nil"/>
              <w:bottom w:val="single" w:sz="4" w:space="0" w:color="auto"/>
              <w:right w:val="single" w:sz="4" w:space="0" w:color="auto"/>
            </w:tcBorders>
            <w:shd w:val="clear" w:color="auto" w:fill="auto"/>
            <w:noWrap/>
            <w:vAlign w:val="center"/>
            <w:hideMark/>
          </w:tcPr>
          <w:p w:rsidR="00A54D56" w:rsidRPr="00A54D56" w:rsidRDefault="00A54D56" w:rsidP="00A54D56">
            <w:pPr>
              <w:widowControl/>
              <w:jc w:val="center"/>
              <w:rPr>
                <w:rFonts w:ascii="Arial" w:hAnsi="Arial" w:cs="Arial" w:hint="eastAsia"/>
                <w:color w:val="222222"/>
                <w:kern w:val="0"/>
                <w:sz w:val="20"/>
                <w:szCs w:val="20"/>
              </w:rPr>
            </w:pPr>
            <w:r w:rsidRPr="00A54D56">
              <w:rPr>
                <w:rFonts w:ascii="Arial" w:hAnsi="Arial" w:cs="Arial"/>
                <w:color w:val="222222"/>
                <w:kern w:val="0"/>
                <w:sz w:val="20"/>
                <w:szCs w:val="20"/>
              </w:rPr>
              <w:t>——</w:t>
            </w:r>
          </w:p>
        </w:tc>
        <w:tc>
          <w:tcPr>
            <w:tcW w:w="1514"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color w:val="000000"/>
                <w:kern w:val="0"/>
                <w:sz w:val="18"/>
                <w:szCs w:val="18"/>
              </w:rPr>
            </w:pPr>
            <w:r w:rsidRPr="00A54D56">
              <w:rPr>
                <w:rFonts w:ascii="宋体" w:hAnsi="宋体" w:cs="宋体" w:hint="eastAsia"/>
                <w:color w:val="000000"/>
                <w:kern w:val="0"/>
                <w:sz w:val="18"/>
                <w:szCs w:val="18"/>
              </w:rPr>
              <w:t xml:space="preserve">　</w:t>
            </w:r>
          </w:p>
        </w:tc>
        <w:tc>
          <w:tcPr>
            <w:tcW w:w="733" w:type="dxa"/>
            <w:tcBorders>
              <w:top w:val="nil"/>
              <w:left w:val="nil"/>
              <w:bottom w:val="single" w:sz="4" w:space="0" w:color="auto"/>
              <w:right w:val="single" w:sz="4" w:space="0" w:color="auto"/>
            </w:tcBorders>
            <w:shd w:val="clear" w:color="auto" w:fill="auto"/>
            <w:noWrap/>
            <w:vAlign w:val="center"/>
            <w:hideMark/>
          </w:tcPr>
          <w:p w:rsidR="00A54D56" w:rsidRPr="00A54D56" w:rsidRDefault="00A54D56" w:rsidP="00A54D56">
            <w:pPr>
              <w:widowControl/>
              <w:jc w:val="center"/>
              <w:rPr>
                <w:rFonts w:ascii="Arial" w:hAnsi="Arial" w:cs="Arial" w:hint="eastAsia"/>
                <w:color w:val="222222"/>
                <w:kern w:val="0"/>
                <w:sz w:val="20"/>
                <w:szCs w:val="20"/>
              </w:rPr>
            </w:pPr>
            <w:r w:rsidRPr="00A54D56">
              <w:rPr>
                <w:rFonts w:ascii="Arial" w:hAnsi="Arial" w:cs="Arial"/>
                <w:color w:val="222222"/>
                <w:kern w:val="0"/>
                <w:sz w:val="20"/>
                <w:szCs w:val="20"/>
              </w:rPr>
              <w:t>——</w:t>
            </w:r>
          </w:p>
        </w:tc>
      </w:tr>
      <w:tr w:rsidR="00A54D56" w:rsidRPr="00A54D56" w:rsidTr="004600B0">
        <w:trPr>
          <w:trHeight w:val="270"/>
        </w:trPr>
        <w:tc>
          <w:tcPr>
            <w:tcW w:w="1058" w:type="dxa"/>
            <w:gridSpan w:val="2"/>
            <w:vMerge/>
            <w:tcBorders>
              <w:top w:val="single" w:sz="4" w:space="0" w:color="auto"/>
              <w:left w:val="single" w:sz="4" w:space="0" w:color="auto"/>
              <w:bottom w:val="single" w:sz="4" w:space="0" w:color="000000"/>
              <w:right w:val="single" w:sz="4" w:space="0" w:color="000000"/>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776"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color w:val="000000"/>
                <w:kern w:val="0"/>
                <w:sz w:val="18"/>
                <w:szCs w:val="18"/>
              </w:rPr>
            </w:pPr>
            <w:r w:rsidRPr="00A54D56">
              <w:rPr>
                <w:rFonts w:ascii="宋体" w:hAnsi="宋体" w:cs="宋体" w:hint="eastAsia"/>
                <w:color w:val="000000"/>
                <w:kern w:val="0"/>
                <w:sz w:val="18"/>
                <w:szCs w:val="18"/>
              </w:rPr>
              <w:t>其他资金</w:t>
            </w:r>
          </w:p>
        </w:tc>
        <w:tc>
          <w:tcPr>
            <w:tcW w:w="1057"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left"/>
              <w:rPr>
                <w:rFonts w:ascii="宋体" w:hAnsi="宋体" w:cs="宋体" w:hint="eastAsia"/>
                <w:color w:val="000000"/>
                <w:kern w:val="0"/>
                <w:sz w:val="18"/>
                <w:szCs w:val="18"/>
              </w:rPr>
            </w:pPr>
            <w:r w:rsidRPr="00A54D56">
              <w:rPr>
                <w:rFonts w:ascii="宋体" w:hAnsi="宋体" w:cs="宋体" w:hint="eastAsia"/>
                <w:color w:val="000000"/>
                <w:kern w:val="0"/>
                <w:sz w:val="18"/>
                <w:szCs w:val="18"/>
              </w:rPr>
              <w:t>0</w:t>
            </w:r>
          </w:p>
        </w:tc>
        <w:tc>
          <w:tcPr>
            <w:tcW w:w="1214"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0</w:t>
            </w:r>
          </w:p>
        </w:tc>
        <w:tc>
          <w:tcPr>
            <w:tcW w:w="1353"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0</w:t>
            </w:r>
          </w:p>
        </w:tc>
        <w:tc>
          <w:tcPr>
            <w:tcW w:w="676" w:type="dxa"/>
            <w:tcBorders>
              <w:top w:val="nil"/>
              <w:left w:val="nil"/>
              <w:bottom w:val="single" w:sz="4" w:space="0" w:color="auto"/>
              <w:right w:val="single" w:sz="4" w:space="0" w:color="auto"/>
            </w:tcBorders>
            <w:shd w:val="clear" w:color="auto" w:fill="auto"/>
            <w:noWrap/>
            <w:vAlign w:val="center"/>
            <w:hideMark/>
          </w:tcPr>
          <w:p w:rsidR="00A54D56" w:rsidRPr="00A54D56" w:rsidRDefault="00A54D56" w:rsidP="00A54D56">
            <w:pPr>
              <w:widowControl/>
              <w:jc w:val="center"/>
              <w:rPr>
                <w:rFonts w:ascii="Arial" w:hAnsi="Arial" w:cs="Arial" w:hint="eastAsia"/>
                <w:color w:val="222222"/>
                <w:kern w:val="0"/>
                <w:sz w:val="20"/>
                <w:szCs w:val="20"/>
              </w:rPr>
            </w:pPr>
            <w:r w:rsidRPr="00A54D56">
              <w:rPr>
                <w:rFonts w:ascii="Arial" w:hAnsi="Arial" w:cs="Arial"/>
                <w:color w:val="222222"/>
                <w:kern w:val="0"/>
                <w:sz w:val="20"/>
                <w:szCs w:val="20"/>
              </w:rPr>
              <w:t>——</w:t>
            </w:r>
          </w:p>
        </w:tc>
        <w:tc>
          <w:tcPr>
            <w:tcW w:w="1514" w:type="dxa"/>
            <w:gridSpan w:val="2"/>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color w:val="000000"/>
                <w:kern w:val="0"/>
                <w:sz w:val="18"/>
                <w:szCs w:val="18"/>
              </w:rPr>
            </w:pPr>
            <w:r w:rsidRPr="00A54D56">
              <w:rPr>
                <w:rFonts w:ascii="宋体" w:hAnsi="宋体" w:cs="宋体" w:hint="eastAsia"/>
                <w:color w:val="000000"/>
                <w:kern w:val="0"/>
                <w:sz w:val="18"/>
                <w:szCs w:val="18"/>
              </w:rPr>
              <w:t>0</w:t>
            </w:r>
          </w:p>
        </w:tc>
        <w:tc>
          <w:tcPr>
            <w:tcW w:w="733" w:type="dxa"/>
            <w:tcBorders>
              <w:top w:val="nil"/>
              <w:left w:val="nil"/>
              <w:bottom w:val="single" w:sz="4" w:space="0" w:color="auto"/>
              <w:right w:val="single" w:sz="4" w:space="0" w:color="auto"/>
            </w:tcBorders>
            <w:shd w:val="clear" w:color="auto" w:fill="auto"/>
            <w:noWrap/>
            <w:vAlign w:val="center"/>
            <w:hideMark/>
          </w:tcPr>
          <w:p w:rsidR="00A54D56" w:rsidRPr="00A54D56" w:rsidRDefault="00A54D56" w:rsidP="00A54D56">
            <w:pPr>
              <w:widowControl/>
              <w:jc w:val="center"/>
              <w:rPr>
                <w:rFonts w:ascii="Arial" w:hAnsi="Arial" w:cs="Arial" w:hint="eastAsia"/>
                <w:color w:val="222222"/>
                <w:kern w:val="0"/>
                <w:sz w:val="20"/>
                <w:szCs w:val="20"/>
              </w:rPr>
            </w:pPr>
            <w:r w:rsidRPr="00A54D56">
              <w:rPr>
                <w:rFonts w:ascii="Arial" w:hAnsi="Arial" w:cs="Arial"/>
                <w:color w:val="222222"/>
                <w:kern w:val="0"/>
                <w:sz w:val="20"/>
                <w:szCs w:val="20"/>
              </w:rPr>
              <w:t>——</w:t>
            </w:r>
          </w:p>
        </w:tc>
      </w:tr>
      <w:tr w:rsidR="00A54D56" w:rsidRPr="00A54D56" w:rsidTr="004600B0">
        <w:trPr>
          <w:trHeight w:val="270"/>
        </w:trPr>
        <w:tc>
          <w:tcPr>
            <w:tcW w:w="105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color w:val="000000"/>
                <w:kern w:val="0"/>
                <w:sz w:val="18"/>
                <w:szCs w:val="18"/>
              </w:rPr>
            </w:pPr>
            <w:r w:rsidRPr="00A54D56">
              <w:rPr>
                <w:rFonts w:ascii="宋体" w:hAnsi="宋体" w:cs="宋体" w:hint="eastAsia"/>
                <w:color w:val="000000"/>
                <w:kern w:val="0"/>
                <w:sz w:val="18"/>
                <w:szCs w:val="18"/>
              </w:rPr>
              <w:t>年度总体目标</w:t>
            </w:r>
          </w:p>
        </w:tc>
        <w:tc>
          <w:tcPr>
            <w:tcW w:w="3713" w:type="dxa"/>
            <w:gridSpan w:val="5"/>
            <w:tcBorders>
              <w:top w:val="single" w:sz="4" w:space="0" w:color="auto"/>
              <w:left w:val="nil"/>
              <w:bottom w:val="single" w:sz="4" w:space="0" w:color="auto"/>
              <w:right w:val="single" w:sz="4" w:space="0" w:color="000000"/>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预期目标</w:t>
            </w:r>
          </w:p>
        </w:tc>
        <w:tc>
          <w:tcPr>
            <w:tcW w:w="3610" w:type="dxa"/>
            <w:gridSpan w:val="5"/>
            <w:tcBorders>
              <w:top w:val="single" w:sz="4" w:space="0" w:color="auto"/>
              <w:left w:val="nil"/>
              <w:bottom w:val="single" w:sz="4" w:space="0" w:color="auto"/>
              <w:right w:val="single" w:sz="4" w:space="0" w:color="000000"/>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实际完成情况</w:t>
            </w:r>
          </w:p>
        </w:tc>
      </w:tr>
      <w:tr w:rsidR="00A54D56" w:rsidRPr="00A54D56" w:rsidTr="004600B0">
        <w:trPr>
          <w:trHeight w:val="930"/>
        </w:trPr>
        <w:tc>
          <w:tcPr>
            <w:tcW w:w="1058" w:type="dxa"/>
            <w:gridSpan w:val="2"/>
            <w:vMerge/>
            <w:tcBorders>
              <w:top w:val="single" w:sz="4" w:space="0" w:color="auto"/>
              <w:left w:val="single" w:sz="4" w:space="0" w:color="auto"/>
              <w:bottom w:val="single" w:sz="4" w:space="0" w:color="auto"/>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3713" w:type="dxa"/>
            <w:gridSpan w:val="5"/>
            <w:tcBorders>
              <w:top w:val="single" w:sz="4" w:space="0" w:color="auto"/>
              <w:left w:val="nil"/>
              <w:bottom w:val="single" w:sz="4" w:space="0" w:color="auto"/>
              <w:right w:val="single" w:sz="4" w:space="0" w:color="000000"/>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制作《口述史》10期，每月一期;以影音资料的形式保存对赤峰有影响力的老干部、抗战老兵等人物的资料，展现我市近代文化历史水平，保护珍贵的影音资料。宣传我市政协文史工作。</w:t>
            </w:r>
          </w:p>
        </w:tc>
        <w:tc>
          <w:tcPr>
            <w:tcW w:w="3610" w:type="dxa"/>
            <w:gridSpan w:val="5"/>
            <w:tcBorders>
              <w:top w:val="single" w:sz="4" w:space="0" w:color="auto"/>
              <w:left w:val="nil"/>
              <w:bottom w:val="single" w:sz="4" w:space="0" w:color="auto"/>
              <w:right w:val="single" w:sz="4" w:space="0" w:color="000000"/>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制作《口述史》10期，每月一期;以影音资料的形式保存对赤峰有影响力的老干部、抗战老兵等人物的资料，展现我市近代文化历史水平，保护珍贵的影音资料。宣传我市政协文史工作。</w:t>
            </w:r>
          </w:p>
        </w:tc>
      </w:tr>
      <w:tr w:rsidR="00A54D56" w:rsidRPr="00A54D56" w:rsidTr="004600B0">
        <w:trPr>
          <w:trHeight w:val="900"/>
        </w:trPr>
        <w:tc>
          <w:tcPr>
            <w:tcW w:w="452" w:type="dxa"/>
            <w:tcBorders>
              <w:top w:val="nil"/>
              <w:left w:val="single" w:sz="4" w:space="0" w:color="auto"/>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绩效指标</w:t>
            </w:r>
          </w:p>
        </w:tc>
        <w:tc>
          <w:tcPr>
            <w:tcW w:w="606"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一级指标</w:t>
            </w:r>
          </w:p>
        </w:tc>
        <w:tc>
          <w:tcPr>
            <w:tcW w:w="776"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二级指标</w:t>
            </w:r>
          </w:p>
        </w:tc>
        <w:tc>
          <w:tcPr>
            <w:tcW w:w="1057"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三级指标</w:t>
            </w:r>
          </w:p>
        </w:tc>
        <w:tc>
          <w:tcPr>
            <w:tcW w:w="609"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指标性质</w:t>
            </w:r>
          </w:p>
        </w:tc>
        <w:tc>
          <w:tcPr>
            <w:tcW w:w="605"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指标方向</w:t>
            </w:r>
          </w:p>
        </w:tc>
        <w:tc>
          <w:tcPr>
            <w:tcW w:w="666"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年度指标值</w:t>
            </w:r>
          </w:p>
        </w:tc>
        <w:tc>
          <w:tcPr>
            <w:tcW w:w="687"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实际完成值</w:t>
            </w:r>
          </w:p>
        </w:tc>
        <w:tc>
          <w:tcPr>
            <w:tcW w:w="676"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计量单位</w:t>
            </w:r>
          </w:p>
        </w:tc>
        <w:tc>
          <w:tcPr>
            <w:tcW w:w="604"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分值</w:t>
            </w:r>
          </w:p>
        </w:tc>
        <w:tc>
          <w:tcPr>
            <w:tcW w:w="910"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得分</w:t>
            </w:r>
          </w:p>
        </w:tc>
        <w:tc>
          <w:tcPr>
            <w:tcW w:w="733" w:type="dxa"/>
            <w:tcBorders>
              <w:top w:val="nil"/>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left"/>
              <w:rPr>
                <w:rFonts w:ascii="宋体" w:hAnsi="宋体" w:cs="宋体" w:hint="eastAsia"/>
                <w:color w:val="000000"/>
                <w:kern w:val="0"/>
                <w:sz w:val="18"/>
                <w:szCs w:val="18"/>
              </w:rPr>
            </w:pPr>
            <w:r w:rsidRPr="00A54D56">
              <w:rPr>
                <w:rFonts w:ascii="宋体" w:hAnsi="宋体" w:cs="宋体" w:hint="eastAsia"/>
                <w:color w:val="000000"/>
                <w:kern w:val="0"/>
                <w:sz w:val="18"/>
                <w:szCs w:val="18"/>
              </w:rPr>
              <w:t>偏差原因分析及改进措施</w:t>
            </w:r>
          </w:p>
        </w:tc>
      </w:tr>
      <w:tr w:rsidR="00A54D56" w:rsidRPr="00A54D56" w:rsidTr="004600B0">
        <w:trPr>
          <w:trHeight w:val="270"/>
        </w:trPr>
        <w:tc>
          <w:tcPr>
            <w:tcW w:w="452" w:type="dxa"/>
            <w:vMerge w:val="restart"/>
            <w:tcBorders>
              <w:top w:val="nil"/>
              <w:left w:val="single" w:sz="4" w:space="0" w:color="auto"/>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绩效指标</w:t>
            </w:r>
          </w:p>
        </w:tc>
        <w:tc>
          <w:tcPr>
            <w:tcW w:w="606" w:type="dxa"/>
            <w:vMerge w:val="restart"/>
            <w:tcBorders>
              <w:top w:val="nil"/>
              <w:left w:val="single" w:sz="4" w:space="0" w:color="auto"/>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产出指标</w:t>
            </w:r>
          </w:p>
        </w:tc>
        <w:tc>
          <w:tcPr>
            <w:tcW w:w="776" w:type="dxa"/>
            <w:vMerge w:val="restart"/>
            <w:tcBorders>
              <w:top w:val="nil"/>
              <w:left w:val="single" w:sz="4" w:space="0" w:color="auto"/>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数量指标</w:t>
            </w:r>
          </w:p>
        </w:tc>
        <w:tc>
          <w:tcPr>
            <w:tcW w:w="1057" w:type="dxa"/>
            <w:tcBorders>
              <w:top w:val="nil"/>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口述</w:t>
            </w:r>
            <w:proofErr w:type="gramStart"/>
            <w:r w:rsidRPr="00A54D56">
              <w:rPr>
                <w:rFonts w:ascii="宋体" w:hAnsi="宋体" w:cs="宋体" w:hint="eastAsia"/>
                <w:color w:val="000000"/>
                <w:kern w:val="0"/>
                <w:sz w:val="18"/>
                <w:szCs w:val="18"/>
              </w:rPr>
              <w:t>史制作数</w:t>
            </w:r>
            <w:proofErr w:type="gramEnd"/>
          </w:p>
        </w:tc>
        <w:tc>
          <w:tcPr>
            <w:tcW w:w="609" w:type="dxa"/>
            <w:tcBorders>
              <w:top w:val="nil"/>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正向</w:t>
            </w:r>
          </w:p>
        </w:tc>
        <w:tc>
          <w:tcPr>
            <w:tcW w:w="605" w:type="dxa"/>
            <w:tcBorders>
              <w:top w:val="nil"/>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等于</w:t>
            </w:r>
          </w:p>
        </w:tc>
        <w:tc>
          <w:tcPr>
            <w:tcW w:w="666" w:type="dxa"/>
            <w:tcBorders>
              <w:top w:val="nil"/>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w:t>
            </w:r>
          </w:p>
        </w:tc>
        <w:tc>
          <w:tcPr>
            <w:tcW w:w="687" w:type="dxa"/>
            <w:tcBorders>
              <w:top w:val="nil"/>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w:t>
            </w:r>
          </w:p>
        </w:tc>
        <w:tc>
          <w:tcPr>
            <w:tcW w:w="676" w:type="dxa"/>
            <w:tcBorders>
              <w:top w:val="nil"/>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期</w:t>
            </w:r>
          </w:p>
        </w:tc>
        <w:tc>
          <w:tcPr>
            <w:tcW w:w="604" w:type="dxa"/>
            <w:tcBorders>
              <w:top w:val="nil"/>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w:t>
            </w:r>
          </w:p>
        </w:tc>
        <w:tc>
          <w:tcPr>
            <w:tcW w:w="910" w:type="dxa"/>
            <w:tcBorders>
              <w:top w:val="nil"/>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w:t>
            </w:r>
          </w:p>
        </w:tc>
        <w:tc>
          <w:tcPr>
            <w:tcW w:w="733" w:type="dxa"/>
            <w:tcBorders>
              <w:top w:val="nil"/>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r>
      <w:tr w:rsidR="00A54D56" w:rsidRPr="00A54D56" w:rsidTr="004600B0">
        <w:trPr>
          <w:trHeight w:val="450"/>
        </w:trPr>
        <w:tc>
          <w:tcPr>
            <w:tcW w:w="452"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606"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776"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105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采访人数</w:t>
            </w:r>
          </w:p>
        </w:tc>
        <w:tc>
          <w:tcPr>
            <w:tcW w:w="609"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正向</w:t>
            </w:r>
          </w:p>
        </w:tc>
        <w:tc>
          <w:tcPr>
            <w:tcW w:w="605"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大于等于</w:t>
            </w:r>
          </w:p>
        </w:tc>
        <w:tc>
          <w:tcPr>
            <w:tcW w:w="66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w:t>
            </w:r>
          </w:p>
        </w:tc>
        <w:tc>
          <w:tcPr>
            <w:tcW w:w="68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w:t>
            </w:r>
          </w:p>
        </w:tc>
        <w:tc>
          <w:tcPr>
            <w:tcW w:w="67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人</w:t>
            </w:r>
          </w:p>
        </w:tc>
        <w:tc>
          <w:tcPr>
            <w:tcW w:w="604"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5</w:t>
            </w:r>
          </w:p>
        </w:tc>
        <w:tc>
          <w:tcPr>
            <w:tcW w:w="910"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5</w:t>
            </w:r>
          </w:p>
        </w:tc>
        <w:tc>
          <w:tcPr>
            <w:tcW w:w="733"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r>
      <w:tr w:rsidR="00A54D56" w:rsidRPr="00A54D56" w:rsidTr="004600B0">
        <w:trPr>
          <w:trHeight w:val="450"/>
        </w:trPr>
        <w:tc>
          <w:tcPr>
            <w:tcW w:w="452"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606"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776" w:type="dxa"/>
            <w:vMerge w:val="restart"/>
            <w:tcBorders>
              <w:top w:val="single" w:sz="4" w:space="0" w:color="auto"/>
              <w:left w:val="single" w:sz="4" w:space="0" w:color="auto"/>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质量指标</w:t>
            </w:r>
          </w:p>
        </w:tc>
        <w:tc>
          <w:tcPr>
            <w:tcW w:w="105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人员采访准确率</w:t>
            </w:r>
          </w:p>
        </w:tc>
        <w:tc>
          <w:tcPr>
            <w:tcW w:w="609"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正向</w:t>
            </w:r>
          </w:p>
        </w:tc>
        <w:tc>
          <w:tcPr>
            <w:tcW w:w="605"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大于等于</w:t>
            </w:r>
          </w:p>
        </w:tc>
        <w:tc>
          <w:tcPr>
            <w:tcW w:w="66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95</w:t>
            </w:r>
          </w:p>
        </w:tc>
        <w:tc>
          <w:tcPr>
            <w:tcW w:w="68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95</w:t>
            </w:r>
          </w:p>
        </w:tc>
        <w:tc>
          <w:tcPr>
            <w:tcW w:w="67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w:t>
            </w:r>
          </w:p>
        </w:tc>
        <w:tc>
          <w:tcPr>
            <w:tcW w:w="604"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7</w:t>
            </w:r>
          </w:p>
        </w:tc>
        <w:tc>
          <w:tcPr>
            <w:tcW w:w="910"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7</w:t>
            </w:r>
          </w:p>
        </w:tc>
        <w:tc>
          <w:tcPr>
            <w:tcW w:w="733"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r>
      <w:tr w:rsidR="00A54D56" w:rsidRPr="00A54D56" w:rsidTr="004600B0">
        <w:trPr>
          <w:trHeight w:val="450"/>
        </w:trPr>
        <w:tc>
          <w:tcPr>
            <w:tcW w:w="452"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606"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776" w:type="dxa"/>
            <w:vMerge/>
            <w:tcBorders>
              <w:top w:val="single" w:sz="4" w:space="0" w:color="auto"/>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105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验收合格率</w:t>
            </w:r>
          </w:p>
        </w:tc>
        <w:tc>
          <w:tcPr>
            <w:tcW w:w="609"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正向</w:t>
            </w:r>
          </w:p>
        </w:tc>
        <w:tc>
          <w:tcPr>
            <w:tcW w:w="605"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大于等于</w:t>
            </w:r>
          </w:p>
        </w:tc>
        <w:tc>
          <w:tcPr>
            <w:tcW w:w="66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95</w:t>
            </w:r>
          </w:p>
        </w:tc>
        <w:tc>
          <w:tcPr>
            <w:tcW w:w="68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95</w:t>
            </w:r>
          </w:p>
        </w:tc>
        <w:tc>
          <w:tcPr>
            <w:tcW w:w="67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w:t>
            </w:r>
          </w:p>
        </w:tc>
        <w:tc>
          <w:tcPr>
            <w:tcW w:w="604"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8</w:t>
            </w:r>
          </w:p>
        </w:tc>
        <w:tc>
          <w:tcPr>
            <w:tcW w:w="910"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8</w:t>
            </w:r>
          </w:p>
        </w:tc>
        <w:tc>
          <w:tcPr>
            <w:tcW w:w="733"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r>
      <w:tr w:rsidR="00A54D56" w:rsidRPr="00A54D56" w:rsidTr="004600B0">
        <w:trPr>
          <w:trHeight w:val="450"/>
        </w:trPr>
        <w:tc>
          <w:tcPr>
            <w:tcW w:w="452"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606"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776" w:type="dxa"/>
            <w:vMerge w:val="restart"/>
            <w:tcBorders>
              <w:top w:val="single" w:sz="4" w:space="0" w:color="auto"/>
              <w:left w:val="single" w:sz="4" w:space="0" w:color="auto"/>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时效指标</w:t>
            </w:r>
          </w:p>
        </w:tc>
        <w:tc>
          <w:tcPr>
            <w:tcW w:w="105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采访完成时间</w:t>
            </w:r>
          </w:p>
        </w:tc>
        <w:tc>
          <w:tcPr>
            <w:tcW w:w="609"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定性</w:t>
            </w:r>
          </w:p>
        </w:tc>
        <w:tc>
          <w:tcPr>
            <w:tcW w:w="605"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c>
          <w:tcPr>
            <w:tcW w:w="66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11月底</w:t>
            </w:r>
          </w:p>
        </w:tc>
        <w:tc>
          <w:tcPr>
            <w:tcW w:w="68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11月底</w:t>
            </w:r>
          </w:p>
        </w:tc>
        <w:tc>
          <w:tcPr>
            <w:tcW w:w="67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c>
          <w:tcPr>
            <w:tcW w:w="604"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5</w:t>
            </w:r>
          </w:p>
        </w:tc>
        <w:tc>
          <w:tcPr>
            <w:tcW w:w="910"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5</w:t>
            </w:r>
          </w:p>
        </w:tc>
        <w:tc>
          <w:tcPr>
            <w:tcW w:w="733"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r>
      <w:tr w:rsidR="00A54D56" w:rsidRPr="00A54D56" w:rsidTr="004600B0">
        <w:trPr>
          <w:trHeight w:val="450"/>
        </w:trPr>
        <w:tc>
          <w:tcPr>
            <w:tcW w:w="452"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606"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776" w:type="dxa"/>
            <w:vMerge/>
            <w:tcBorders>
              <w:top w:val="single" w:sz="4" w:space="0" w:color="auto"/>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105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口述</w:t>
            </w:r>
            <w:proofErr w:type="gramStart"/>
            <w:r w:rsidRPr="00A54D56">
              <w:rPr>
                <w:rFonts w:ascii="宋体" w:hAnsi="宋体" w:cs="宋体" w:hint="eastAsia"/>
                <w:color w:val="000000"/>
                <w:kern w:val="0"/>
                <w:sz w:val="18"/>
                <w:szCs w:val="18"/>
              </w:rPr>
              <w:t>史制作</w:t>
            </w:r>
            <w:proofErr w:type="gramEnd"/>
            <w:r w:rsidRPr="00A54D56">
              <w:rPr>
                <w:rFonts w:ascii="宋体" w:hAnsi="宋体" w:cs="宋体" w:hint="eastAsia"/>
                <w:color w:val="000000"/>
                <w:kern w:val="0"/>
                <w:sz w:val="18"/>
                <w:szCs w:val="18"/>
              </w:rPr>
              <w:t>完成时间</w:t>
            </w:r>
          </w:p>
        </w:tc>
        <w:tc>
          <w:tcPr>
            <w:tcW w:w="609"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定性</w:t>
            </w:r>
          </w:p>
        </w:tc>
        <w:tc>
          <w:tcPr>
            <w:tcW w:w="605"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c>
          <w:tcPr>
            <w:tcW w:w="66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12月底</w:t>
            </w:r>
          </w:p>
        </w:tc>
        <w:tc>
          <w:tcPr>
            <w:tcW w:w="68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12月底</w:t>
            </w:r>
          </w:p>
        </w:tc>
        <w:tc>
          <w:tcPr>
            <w:tcW w:w="67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c>
          <w:tcPr>
            <w:tcW w:w="604"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5</w:t>
            </w:r>
          </w:p>
        </w:tc>
        <w:tc>
          <w:tcPr>
            <w:tcW w:w="910"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5</w:t>
            </w:r>
          </w:p>
        </w:tc>
        <w:tc>
          <w:tcPr>
            <w:tcW w:w="733"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r>
      <w:tr w:rsidR="00A54D56" w:rsidRPr="00A54D56" w:rsidTr="004600B0">
        <w:trPr>
          <w:trHeight w:val="450"/>
        </w:trPr>
        <w:tc>
          <w:tcPr>
            <w:tcW w:w="452"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606"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776" w:type="dxa"/>
            <w:vMerge w:val="restart"/>
            <w:tcBorders>
              <w:top w:val="single" w:sz="4" w:space="0" w:color="auto"/>
              <w:left w:val="single" w:sz="4" w:space="0" w:color="auto"/>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成本指标</w:t>
            </w:r>
          </w:p>
        </w:tc>
        <w:tc>
          <w:tcPr>
            <w:tcW w:w="105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每期费用</w:t>
            </w:r>
          </w:p>
        </w:tc>
        <w:tc>
          <w:tcPr>
            <w:tcW w:w="609"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反向</w:t>
            </w:r>
          </w:p>
        </w:tc>
        <w:tc>
          <w:tcPr>
            <w:tcW w:w="605"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小于等于</w:t>
            </w:r>
          </w:p>
        </w:tc>
        <w:tc>
          <w:tcPr>
            <w:tcW w:w="66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10000</w:t>
            </w:r>
          </w:p>
        </w:tc>
        <w:tc>
          <w:tcPr>
            <w:tcW w:w="68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10000</w:t>
            </w:r>
          </w:p>
        </w:tc>
        <w:tc>
          <w:tcPr>
            <w:tcW w:w="67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元</w:t>
            </w:r>
          </w:p>
        </w:tc>
        <w:tc>
          <w:tcPr>
            <w:tcW w:w="604"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5</w:t>
            </w:r>
          </w:p>
        </w:tc>
        <w:tc>
          <w:tcPr>
            <w:tcW w:w="910"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5</w:t>
            </w:r>
          </w:p>
        </w:tc>
        <w:tc>
          <w:tcPr>
            <w:tcW w:w="733"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r>
      <w:tr w:rsidR="00A54D56" w:rsidRPr="00A54D56" w:rsidTr="004600B0">
        <w:trPr>
          <w:trHeight w:val="450"/>
        </w:trPr>
        <w:tc>
          <w:tcPr>
            <w:tcW w:w="452"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606"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776" w:type="dxa"/>
            <w:vMerge/>
            <w:tcBorders>
              <w:top w:val="single" w:sz="4" w:space="0" w:color="auto"/>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105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录音费用</w:t>
            </w:r>
          </w:p>
        </w:tc>
        <w:tc>
          <w:tcPr>
            <w:tcW w:w="609"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反向</w:t>
            </w:r>
          </w:p>
        </w:tc>
        <w:tc>
          <w:tcPr>
            <w:tcW w:w="605"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小于等于</w:t>
            </w:r>
          </w:p>
        </w:tc>
        <w:tc>
          <w:tcPr>
            <w:tcW w:w="66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3000</w:t>
            </w:r>
          </w:p>
        </w:tc>
        <w:tc>
          <w:tcPr>
            <w:tcW w:w="68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3000</w:t>
            </w:r>
          </w:p>
        </w:tc>
        <w:tc>
          <w:tcPr>
            <w:tcW w:w="67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元</w:t>
            </w:r>
          </w:p>
        </w:tc>
        <w:tc>
          <w:tcPr>
            <w:tcW w:w="604"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5</w:t>
            </w:r>
          </w:p>
        </w:tc>
        <w:tc>
          <w:tcPr>
            <w:tcW w:w="910"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5</w:t>
            </w:r>
          </w:p>
        </w:tc>
        <w:tc>
          <w:tcPr>
            <w:tcW w:w="733"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r>
      <w:tr w:rsidR="00A54D56" w:rsidRPr="00A54D56" w:rsidTr="004600B0">
        <w:trPr>
          <w:trHeight w:val="450"/>
        </w:trPr>
        <w:tc>
          <w:tcPr>
            <w:tcW w:w="452"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606" w:type="dxa"/>
            <w:vMerge w:val="restart"/>
            <w:tcBorders>
              <w:top w:val="single" w:sz="4" w:space="0" w:color="auto"/>
              <w:left w:val="single" w:sz="4" w:space="0" w:color="auto"/>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效益指标</w:t>
            </w:r>
          </w:p>
        </w:tc>
        <w:tc>
          <w:tcPr>
            <w:tcW w:w="77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社会效益指标</w:t>
            </w:r>
          </w:p>
        </w:tc>
        <w:tc>
          <w:tcPr>
            <w:tcW w:w="105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保护宣传赤峰近现代史</w:t>
            </w:r>
          </w:p>
        </w:tc>
        <w:tc>
          <w:tcPr>
            <w:tcW w:w="609"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定性</w:t>
            </w:r>
          </w:p>
        </w:tc>
        <w:tc>
          <w:tcPr>
            <w:tcW w:w="605"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c>
          <w:tcPr>
            <w:tcW w:w="66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有所提升</w:t>
            </w:r>
          </w:p>
        </w:tc>
        <w:tc>
          <w:tcPr>
            <w:tcW w:w="68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有所提升</w:t>
            </w:r>
          </w:p>
        </w:tc>
        <w:tc>
          <w:tcPr>
            <w:tcW w:w="67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c>
          <w:tcPr>
            <w:tcW w:w="604"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15</w:t>
            </w:r>
          </w:p>
        </w:tc>
        <w:tc>
          <w:tcPr>
            <w:tcW w:w="910"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15</w:t>
            </w:r>
          </w:p>
        </w:tc>
        <w:tc>
          <w:tcPr>
            <w:tcW w:w="733"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r>
      <w:tr w:rsidR="00A54D56" w:rsidRPr="00A54D56" w:rsidTr="004600B0">
        <w:trPr>
          <w:trHeight w:val="556"/>
        </w:trPr>
        <w:tc>
          <w:tcPr>
            <w:tcW w:w="452"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606" w:type="dxa"/>
            <w:vMerge/>
            <w:tcBorders>
              <w:top w:val="single" w:sz="4" w:space="0" w:color="auto"/>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77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可持续影响指标</w:t>
            </w:r>
          </w:p>
        </w:tc>
        <w:tc>
          <w:tcPr>
            <w:tcW w:w="105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研究我市历史文化水平</w:t>
            </w:r>
          </w:p>
        </w:tc>
        <w:tc>
          <w:tcPr>
            <w:tcW w:w="609"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定性</w:t>
            </w:r>
          </w:p>
        </w:tc>
        <w:tc>
          <w:tcPr>
            <w:tcW w:w="605"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c>
          <w:tcPr>
            <w:tcW w:w="66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持续提升</w:t>
            </w:r>
          </w:p>
        </w:tc>
        <w:tc>
          <w:tcPr>
            <w:tcW w:w="68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持续提升</w:t>
            </w:r>
          </w:p>
        </w:tc>
        <w:tc>
          <w:tcPr>
            <w:tcW w:w="67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c>
          <w:tcPr>
            <w:tcW w:w="604"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15</w:t>
            </w:r>
          </w:p>
        </w:tc>
        <w:tc>
          <w:tcPr>
            <w:tcW w:w="910"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15</w:t>
            </w:r>
          </w:p>
        </w:tc>
        <w:tc>
          <w:tcPr>
            <w:tcW w:w="733"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r>
      <w:tr w:rsidR="00A54D56" w:rsidRPr="00A54D56" w:rsidTr="004600B0">
        <w:trPr>
          <w:trHeight w:val="978"/>
        </w:trPr>
        <w:tc>
          <w:tcPr>
            <w:tcW w:w="452" w:type="dxa"/>
            <w:vMerge/>
            <w:tcBorders>
              <w:top w:val="nil"/>
              <w:left w:val="single" w:sz="4" w:space="0" w:color="auto"/>
              <w:bottom w:val="nil"/>
              <w:right w:val="single" w:sz="4" w:space="0" w:color="auto"/>
            </w:tcBorders>
            <w:vAlign w:val="center"/>
            <w:hideMark/>
          </w:tcPr>
          <w:p w:rsidR="00A54D56" w:rsidRPr="00A54D56" w:rsidRDefault="00A54D56" w:rsidP="00A54D56">
            <w:pPr>
              <w:widowControl/>
              <w:jc w:val="left"/>
              <w:rPr>
                <w:rFonts w:ascii="宋体" w:hAnsi="宋体" w:cs="宋体"/>
                <w:color w:val="000000"/>
                <w:kern w:val="0"/>
                <w:sz w:val="18"/>
                <w:szCs w:val="18"/>
              </w:rPr>
            </w:pPr>
          </w:p>
        </w:tc>
        <w:tc>
          <w:tcPr>
            <w:tcW w:w="60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满意度指标(10分)</w:t>
            </w:r>
          </w:p>
        </w:tc>
        <w:tc>
          <w:tcPr>
            <w:tcW w:w="77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服务对象满意度指标</w:t>
            </w:r>
          </w:p>
        </w:tc>
        <w:tc>
          <w:tcPr>
            <w:tcW w:w="105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社会各界人士</w:t>
            </w:r>
          </w:p>
        </w:tc>
        <w:tc>
          <w:tcPr>
            <w:tcW w:w="609"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正向</w:t>
            </w:r>
          </w:p>
        </w:tc>
        <w:tc>
          <w:tcPr>
            <w:tcW w:w="605"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大于等于</w:t>
            </w:r>
          </w:p>
        </w:tc>
        <w:tc>
          <w:tcPr>
            <w:tcW w:w="66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95</w:t>
            </w:r>
          </w:p>
        </w:tc>
        <w:tc>
          <w:tcPr>
            <w:tcW w:w="687"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95</w:t>
            </w:r>
          </w:p>
        </w:tc>
        <w:tc>
          <w:tcPr>
            <w:tcW w:w="676"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w:t>
            </w:r>
          </w:p>
        </w:tc>
        <w:tc>
          <w:tcPr>
            <w:tcW w:w="604"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w:t>
            </w:r>
          </w:p>
        </w:tc>
        <w:tc>
          <w:tcPr>
            <w:tcW w:w="910"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w:t>
            </w:r>
          </w:p>
        </w:tc>
        <w:tc>
          <w:tcPr>
            <w:tcW w:w="733" w:type="dxa"/>
            <w:tcBorders>
              <w:top w:val="single" w:sz="4" w:space="0" w:color="auto"/>
              <w:left w:val="nil"/>
              <w:bottom w:val="nil"/>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r>
      <w:tr w:rsidR="00A54D56" w:rsidRPr="00A54D56" w:rsidTr="004600B0">
        <w:trPr>
          <w:trHeight w:val="450"/>
        </w:trPr>
        <w:tc>
          <w:tcPr>
            <w:tcW w:w="6134"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总分</w:t>
            </w:r>
          </w:p>
        </w:tc>
        <w:tc>
          <w:tcPr>
            <w:tcW w:w="604" w:type="dxa"/>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100</w:t>
            </w:r>
          </w:p>
        </w:tc>
        <w:tc>
          <w:tcPr>
            <w:tcW w:w="910" w:type="dxa"/>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100.00</w:t>
            </w:r>
          </w:p>
        </w:tc>
        <w:tc>
          <w:tcPr>
            <w:tcW w:w="733" w:type="dxa"/>
            <w:tcBorders>
              <w:top w:val="single" w:sz="4" w:space="0" w:color="auto"/>
              <w:left w:val="nil"/>
              <w:bottom w:val="single" w:sz="4" w:space="0" w:color="auto"/>
              <w:right w:val="single" w:sz="4" w:space="0" w:color="auto"/>
            </w:tcBorders>
            <w:shd w:val="clear" w:color="auto" w:fill="auto"/>
            <w:vAlign w:val="center"/>
            <w:hideMark/>
          </w:tcPr>
          <w:p w:rsidR="00A54D56" w:rsidRPr="00A54D56" w:rsidRDefault="00A54D56" w:rsidP="00A54D56">
            <w:pPr>
              <w:widowControl/>
              <w:jc w:val="center"/>
              <w:rPr>
                <w:rFonts w:ascii="宋体" w:hAnsi="宋体" w:cs="宋体" w:hint="eastAsia"/>
                <w:color w:val="000000"/>
                <w:kern w:val="0"/>
                <w:sz w:val="18"/>
                <w:szCs w:val="18"/>
              </w:rPr>
            </w:pPr>
            <w:r w:rsidRPr="00A54D56">
              <w:rPr>
                <w:rFonts w:ascii="宋体" w:hAnsi="宋体" w:cs="宋体" w:hint="eastAsia"/>
                <w:color w:val="000000"/>
                <w:kern w:val="0"/>
                <w:sz w:val="18"/>
                <w:szCs w:val="18"/>
              </w:rPr>
              <w:t xml:space="preserve">　</w:t>
            </w:r>
          </w:p>
        </w:tc>
      </w:tr>
    </w:tbl>
    <w:p w:rsidR="00C12F65" w:rsidRDefault="00702E25">
      <w:pPr>
        <w:pStyle w:val="MsoNormal0"/>
        <w:widowControl/>
        <w:spacing w:before="240" w:after="240"/>
        <w:ind w:firstLine="643"/>
        <w:jc w:val="left"/>
        <w:rPr>
          <w:rFonts w:eastAsia="Times New Roman"/>
          <w:kern w:val="0"/>
          <w:sz w:val="24"/>
        </w:rPr>
      </w:pPr>
      <w:r>
        <w:rPr>
          <w:rFonts w:ascii="KaiTi" w:eastAsia="KaiTi" w:hAnsi="KaiTi" w:cs="KaiTi"/>
          <w:b/>
          <w:bCs/>
          <w:kern w:val="0"/>
          <w:sz w:val="32"/>
          <w:szCs w:val="32"/>
        </w:rPr>
        <w:lastRenderedPageBreak/>
        <w:t>（三）部门项目绩效评价结果。</w:t>
      </w:r>
    </w:p>
    <w:p w:rsidR="0059231F" w:rsidRDefault="0059231F">
      <w:pPr>
        <w:pStyle w:val="MsoNormal0"/>
        <w:widowControl/>
        <w:spacing w:before="240" w:after="240" w:line="560" w:lineRule="atLeast"/>
        <w:ind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以《赤峰文史》期刊发行费项目为例，该项目绩效评价综合得分为100分，绩效评价结果为“优”。2025年制作《赤峰文史》期刊5期，项目共49万元。以文字图片等资料的形式保存在赤峰经济社会发展历程上有影响力的事件及任务，保护宣传赤峰近现代史，长期弘扬我市历史文化。重点项目绩效评价得分情况详见附件。</w:t>
      </w:r>
    </w:p>
    <w:p w:rsidR="00C12F65" w:rsidRDefault="00702E25">
      <w:pPr>
        <w:pStyle w:val="MsoNormal0"/>
        <w:widowControl/>
        <w:spacing w:before="240" w:after="240"/>
        <w:ind w:firstLine="643"/>
        <w:jc w:val="left"/>
        <w:rPr>
          <w:rFonts w:eastAsia="Times New Roman"/>
          <w:kern w:val="0"/>
          <w:sz w:val="24"/>
        </w:rPr>
      </w:pPr>
      <w:r>
        <w:rPr>
          <w:rFonts w:ascii="KaiTi" w:eastAsia="KaiTi" w:hAnsi="KaiTi" w:cs="KaiTi"/>
          <w:b/>
          <w:bCs/>
          <w:kern w:val="0"/>
          <w:sz w:val="32"/>
          <w:szCs w:val="32"/>
        </w:rPr>
        <w:t>（四）部门（单位）预算绩效管理制度和核心绩效指标标准体系建设情况。</w:t>
      </w:r>
    </w:p>
    <w:p w:rsidR="00C12F65" w:rsidRDefault="0059231F" w:rsidP="0059231F">
      <w:pPr>
        <w:pStyle w:val="ac"/>
        <w:widowControl/>
        <w:shd w:val="clear" w:color="auto" w:fill="FFFFFF"/>
        <w:ind w:firstLineChars="200" w:firstLine="640"/>
        <w:rPr>
          <w:rFonts w:eastAsia="Times New Roman"/>
        </w:rPr>
      </w:pPr>
      <w:r>
        <w:rPr>
          <w:rFonts w:ascii="仿宋" w:eastAsia="仿宋" w:hAnsi="仿宋" w:cs="仿宋_GB2312"/>
          <w:sz w:val="32"/>
          <w:szCs w:val="32"/>
        </w:rPr>
        <w:t>本年度单位按照财务管理办法及相关的财务规定，制定了内部控制规程等工作制度，完善了绩效管理、财务管理、预决算审核、合同管理等多项内容。按照财政要求，单位对202</w:t>
      </w:r>
      <w:r>
        <w:rPr>
          <w:rFonts w:ascii="仿宋" w:eastAsia="仿宋" w:hAnsi="仿宋" w:cs="仿宋_GB2312" w:hint="eastAsia"/>
          <w:sz w:val="32"/>
          <w:szCs w:val="32"/>
        </w:rPr>
        <w:t>5</w:t>
      </w:r>
      <w:r>
        <w:rPr>
          <w:rFonts w:ascii="仿宋" w:eastAsia="仿宋" w:hAnsi="仿宋" w:cs="仿宋_GB2312"/>
          <w:sz w:val="32"/>
          <w:szCs w:val="32"/>
        </w:rPr>
        <w:t>年度的支出进行对账，切实做到账</w:t>
      </w:r>
      <w:proofErr w:type="gramStart"/>
      <w:r>
        <w:rPr>
          <w:rFonts w:ascii="仿宋" w:eastAsia="仿宋" w:hAnsi="仿宋" w:cs="仿宋_GB2312"/>
          <w:sz w:val="32"/>
          <w:szCs w:val="32"/>
        </w:rPr>
        <w:t>账</w:t>
      </w:r>
      <w:proofErr w:type="gramEnd"/>
      <w:r>
        <w:rPr>
          <w:rFonts w:ascii="仿宋" w:eastAsia="仿宋" w:hAnsi="仿宋" w:cs="仿宋_GB2312"/>
          <w:sz w:val="32"/>
          <w:szCs w:val="32"/>
        </w:rPr>
        <w:t>相符、账证相符、账表相符，认真进行年终决算的编制和审核工作，经党组会讨论通过后上报财政。</w:t>
      </w:r>
    </w:p>
    <w:p w:rsidR="00C12F65" w:rsidRDefault="00702E25">
      <w:pPr>
        <w:pStyle w:val="2"/>
        <w:keepNext w:val="0"/>
        <w:keepLines w:val="0"/>
        <w:widowControl/>
        <w:spacing w:before="0" w:after="0" w:line="360" w:lineRule="auto"/>
        <w:jc w:val="center"/>
        <w:rPr>
          <w:rFonts w:ascii="Times New Roman" w:eastAsia="Times New Roman" w:hAnsi="Times New Roman"/>
          <w:kern w:val="0"/>
          <w:sz w:val="36"/>
          <w:szCs w:val="36"/>
        </w:rPr>
      </w:pPr>
      <w:r>
        <w:rPr>
          <w:rFonts w:ascii="方正小标宋简体" w:eastAsia="方正小标宋简体" w:hAnsi="方正小标宋简体" w:cs="方正小标宋简体"/>
          <w:kern w:val="0"/>
          <w:sz w:val="36"/>
          <w:szCs w:val="36"/>
        </w:rPr>
        <w:t>第三部分</w:t>
      </w:r>
      <w:r>
        <w:rPr>
          <w:rFonts w:ascii="Times New Roman" w:eastAsia="Times New Roman" w:hAnsi="Times New Roman"/>
          <w:kern w:val="0"/>
          <w:sz w:val="36"/>
          <w:szCs w:val="36"/>
        </w:rPr>
        <w:t> </w:t>
      </w:r>
      <w:r>
        <w:rPr>
          <w:rFonts w:ascii="方正小标宋简体" w:eastAsia="方正小标宋简体" w:hAnsi="方正小标宋简体" w:cs="方正小标宋简体"/>
          <w:b w:val="0"/>
          <w:bCs w:val="0"/>
          <w:kern w:val="0"/>
          <w:sz w:val="36"/>
          <w:szCs w:val="36"/>
        </w:rPr>
        <w:t xml:space="preserve"> </w:t>
      </w:r>
      <w:r>
        <w:rPr>
          <w:rFonts w:ascii="方正小标宋简体" w:eastAsia="方正小标宋简体" w:hAnsi="方正小标宋简体" w:cs="方正小标宋简体"/>
          <w:kern w:val="0"/>
          <w:sz w:val="36"/>
          <w:szCs w:val="36"/>
        </w:rPr>
        <w:t>名词解释</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t>一、财政拨款收入：</w:t>
      </w:r>
      <w:r>
        <w:rPr>
          <w:rFonts w:ascii="FangSong" w:eastAsia="FangSong" w:hAnsi="FangSong" w:cs="FangSong"/>
          <w:kern w:val="0"/>
          <w:sz w:val="32"/>
          <w:szCs w:val="32"/>
        </w:rPr>
        <w:t>从同级财政部门取得的各</w:t>
      </w:r>
      <w:proofErr w:type="gramStart"/>
      <w:r>
        <w:rPr>
          <w:rFonts w:ascii="FangSong" w:eastAsia="FangSong" w:hAnsi="FangSong" w:cs="FangSong"/>
          <w:kern w:val="0"/>
          <w:sz w:val="32"/>
          <w:szCs w:val="32"/>
        </w:rPr>
        <w:t>类财政</w:t>
      </w:r>
      <w:proofErr w:type="gramEnd"/>
      <w:r>
        <w:rPr>
          <w:rFonts w:ascii="FangSong" w:eastAsia="FangSong" w:hAnsi="FangSong" w:cs="FangSong"/>
          <w:kern w:val="0"/>
          <w:sz w:val="32"/>
          <w:szCs w:val="32"/>
        </w:rPr>
        <w:t>拨款，包括一般公共预算财政拨款、政府性基金预算财政拨款、国有资本经营预算财政拨款。</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lastRenderedPageBreak/>
        <w:t>二、上级补助收入：</w:t>
      </w:r>
      <w:r>
        <w:rPr>
          <w:rFonts w:ascii="FangSong" w:eastAsia="FangSong" w:hAnsi="FangSong" w:cs="FangSong"/>
          <w:kern w:val="0"/>
          <w:sz w:val="32"/>
          <w:szCs w:val="32"/>
        </w:rPr>
        <w:t>指事业单位从主管部门和上级单位取得的非财政补助收入。</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t>三、事业收入：</w:t>
      </w:r>
      <w:r>
        <w:rPr>
          <w:rFonts w:ascii="FangSong" w:eastAsia="FangSong" w:hAnsi="FangSong" w:cs="FangSong"/>
          <w:kern w:val="0"/>
          <w:sz w:val="32"/>
          <w:szCs w:val="32"/>
        </w:rPr>
        <w:t>指事业单位开展专业业务活动及其辅助活动取得的收入。</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t>四、经营收入：</w:t>
      </w:r>
      <w:r>
        <w:rPr>
          <w:rFonts w:ascii="FangSong" w:eastAsia="FangSong" w:hAnsi="FangSong" w:cs="FangSong"/>
          <w:kern w:val="0"/>
          <w:sz w:val="32"/>
          <w:szCs w:val="32"/>
        </w:rPr>
        <w:t>指事业单位在专业业务活动及其辅助活动之外开展非独立核算经营活动取得的收入。</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t>五、附属单位上缴收入：</w:t>
      </w:r>
      <w:r>
        <w:rPr>
          <w:rFonts w:ascii="FangSong" w:eastAsia="FangSong" w:hAnsi="FangSong" w:cs="FangSong"/>
          <w:kern w:val="0"/>
          <w:sz w:val="32"/>
          <w:szCs w:val="32"/>
        </w:rPr>
        <w:t>指事业单位取得附属独立核算单位按照有关规定上缴的收入。</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t>六、其他收入：</w:t>
      </w:r>
      <w:r>
        <w:rPr>
          <w:rFonts w:ascii="FangSong" w:eastAsia="FangSong" w:hAnsi="FangSong" w:cs="FangSong"/>
          <w:kern w:val="0"/>
          <w:sz w:val="32"/>
          <w:szCs w:val="32"/>
        </w:rPr>
        <w:t>取得的除上述财政拨款收入、上级补助收入、事业收入、经营收入、附属单位上缴收入等以外的各项收入。</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t>七、使用非财政拨款结余（含专用结余）：</w:t>
      </w:r>
      <w:r>
        <w:rPr>
          <w:rFonts w:ascii="FangSong" w:eastAsia="FangSong" w:hAnsi="FangSong" w:cs="FangSong"/>
          <w:kern w:val="0"/>
          <w:sz w:val="32"/>
          <w:szCs w:val="32"/>
        </w:rPr>
        <w:t>指事业单位按照预算管理要求使用非财政拨款结余弥补收支差额的金额，以及使用专用结余安排支出的金额。</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t>八、年初结转和结余：</w:t>
      </w:r>
      <w:r>
        <w:rPr>
          <w:rFonts w:ascii="FangSong" w:eastAsia="FangSong" w:hAnsi="FangSong" w:cs="FangSong"/>
          <w:kern w:val="0"/>
          <w:sz w:val="32"/>
          <w:szCs w:val="32"/>
        </w:rPr>
        <w:t>指单位上年结转本年使用的基本支出结转、项目支出结转和结余、经营结余。</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t>九、结余分配：</w:t>
      </w:r>
      <w:r>
        <w:rPr>
          <w:rFonts w:ascii="FangSong" w:eastAsia="FangSong" w:hAnsi="FangSong" w:cs="FangSong"/>
          <w:kern w:val="0"/>
          <w:sz w:val="32"/>
          <w:szCs w:val="32"/>
        </w:rPr>
        <w:t>指单位按规定缴纳企业所得税以及从非财政拨款结余或经营结余中提取各类结余的情况。</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lastRenderedPageBreak/>
        <w:t>十、年末结转和结余资金：</w:t>
      </w:r>
      <w:r>
        <w:rPr>
          <w:rFonts w:ascii="FangSong" w:eastAsia="FangSong" w:hAnsi="FangSong" w:cs="FangSong"/>
          <w:kern w:val="0"/>
          <w:sz w:val="32"/>
          <w:szCs w:val="32"/>
        </w:rPr>
        <w:t>指单位结转下年的基本支出结转、项目支出结转和结余、经营结余。</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t>十一、基本支出：</w:t>
      </w:r>
      <w:r>
        <w:rPr>
          <w:rFonts w:ascii="FangSong" w:eastAsia="FangSong" w:hAnsi="FangSong" w:cs="FangSong"/>
          <w:kern w:val="0"/>
          <w:sz w:val="32"/>
          <w:szCs w:val="32"/>
        </w:rPr>
        <w:t>指为保障机构正常运转、完成日常工作任务所发生的支出，包括人员经费和公用经费。</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color w:val="000000"/>
          <w:kern w:val="0"/>
          <w:sz w:val="32"/>
          <w:szCs w:val="32"/>
        </w:rPr>
        <w:t>十二、项目支出：</w:t>
      </w:r>
      <w:r>
        <w:rPr>
          <w:rFonts w:ascii="FangSong" w:eastAsia="FangSong" w:hAnsi="FangSong" w:cs="FangSong"/>
          <w:color w:val="000000"/>
          <w:kern w:val="0"/>
          <w:sz w:val="32"/>
          <w:szCs w:val="32"/>
        </w:rPr>
        <w:t>指单位为完成特定的行政工作任务或事业发展目标，在基本支出之外发生的各项支出。</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t>十三、上缴上级支出：</w:t>
      </w:r>
      <w:r>
        <w:rPr>
          <w:rFonts w:ascii="FangSong" w:eastAsia="FangSong" w:hAnsi="FangSong" w:cs="FangSong"/>
          <w:kern w:val="0"/>
          <w:sz w:val="32"/>
          <w:szCs w:val="32"/>
        </w:rPr>
        <w:t>指事业单位按照财政部门和主管部门的规定上缴上级单位的支出。</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t>十四、经营支出：</w:t>
      </w:r>
      <w:r>
        <w:rPr>
          <w:rFonts w:ascii="FangSong" w:eastAsia="FangSong" w:hAnsi="FangSong" w:cs="FangSong"/>
          <w:kern w:val="0"/>
          <w:sz w:val="32"/>
          <w:szCs w:val="32"/>
        </w:rPr>
        <w:t>指事业单位在专业业务活动及其辅助活动之外开展非独立核算经营活动发生的支出。</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t>十五、对附属单位补助支出：</w:t>
      </w:r>
      <w:r>
        <w:rPr>
          <w:rFonts w:ascii="FangSong" w:eastAsia="FangSong" w:hAnsi="FangSong" w:cs="FangSong"/>
          <w:kern w:val="0"/>
          <w:sz w:val="32"/>
          <w:szCs w:val="32"/>
        </w:rPr>
        <w:t>指事业单位用财政拨款收入之外的收入对附属单位补助发生的支出。</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t>十六、“三公”经费：</w:t>
      </w:r>
      <w:r>
        <w:rPr>
          <w:rFonts w:ascii="FangSong" w:eastAsia="FangSong" w:hAnsi="FangSong" w:cs="FangSong"/>
          <w:kern w:val="0"/>
          <w:sz w:val="32"/>
          <w:szCs w:val="32"/>
        </w:rPr>
        <w:t>指部门（单位）用财政拨款安排的因公出国（境）费、公务用车购置及运行维护费和公务接待费。其中，因公出国（境）</w:t>
      </w:r>
      <w:proofErr w:type="gramStart"/>
      <w:r>
        <w:rPr>
          <w:rFonts w:ascii="FangSong" w:eastAsia="FangSong" w:hAnsi="FangSong" w:cs="FangSong"/>
          <w:kern w:val="0"/>
          <w:sz w:val="32"/>
          <w:szCs w:val="32"/>
        </w:rPr>
        <w:t>费反映</w:t>
      </w:r>
      <w:proofErr w:type="gramEnd"/>
      <w:r>
        <w:rPr>
          <w:rFonts w:ascii="FangSong" w:eastAsia="FangSong" w:hAnsi="FangSong" w:cs="FangSong"/>
          <w:kern w:val="0"/>
          <w:sz w:val="32"/>
          <w:szCs w:val="32"/>
        </w:rPr>
        <w:t>部门（单位）公务出国（境）的国际旅费、国外城市间交通费、住宿费、伙食费、培训费、公杂费等支出；公务用车购置及运行维护费反映部门（单位）公务用车购置支出（</w:t>
      </w:r>
      <w:proofErr w:type="gramStart"/>
      <w:r>
        <w:rPr>
          <w:rFonts w:ascii="FangSong" w:eastAsia="FangSong" w:hAnsi="FangSong" w:cs="FangSong"/>
          <w:kern w:val="0"/>
          <w:sz w:val="32"/>
          <w:szCs w:val="32"/>
        </w:rPr>
        <w:t>含车辆</w:t>
      </w:r>
      <w:proofErr w:type="gramEnd"/>
      <w:r>
        <w:rPr>
          <w:rFonts w:ascii="FangSong" w:eastAsia="FangSong" w:hAnsi="FangSong" w:cs="FangSong"/>
          <w:kern w:val="0"/>
          <w:sz w:val="32"/>
          <w:szCs w:val="32"/>
        </w:rPr>
        <w:t>购置税、牌照费）以及按规定保留的公务用车燃料费、</w:t>
      </w:r>
      <w:r>
        <w:rPr>
          <w:rFonts w:ascii="FangSong" w:eastAsia="FangSong" w:hAnsi="FangSong" w:cs="FangSong"/>
          <w:color w:val="000000"/>
          <w:kern w:val="0"/>
          <w:sz w:val="32"/>
          <w:szCs w:val="32"/>
        </w:rPr>
        <w:t>新能源汽车充电费、</w:t>
      </w:r>
      <w:r>
        <w:rPr>
          <w:rFonts w:ascii="FangSong" w:eastAsia="FangSong" w:hAnsi="FangSong" w:cs="FangSong"/>
          <w:kern w:val="0"/>
          <w:sz w:val="32"/>
          <w:szCs w:val="32"/>
        </w:rPr>
        <w:t>维修费、过路过桥费、保险费、安全奖励费用等支</w:t>
      </w:r>
      <w:r>
        <w:rPr>
          <w:rFonts w:ascii="FangSong" w:eastAsia="FangSong" w:hAnsi="FangSong" w:cs="FangSong"/>
          <w:kern w:val="0"/>
          <w:sz w:val="32"/>
          <w:szCs w:val="32"/>
        </w:rPr>
        <w:lastRenderedPageBreak/>
        <w:t>出；公务接待</w:t>
      </w:r>
      <w:proofErr w:type="gramStart"/>
      <w:r>
        <w:rPr>
          <w:rFonts w:ascii="FangSong" w:eastAsia="FangSong" w:hAnsi="FangSong" w:cs="FangSong"/>
          <w:kern w:val="0"/>
          <w:sz w:val="32"/>
          <w:szCs w:val="32"/>
        </w:rPr>
        <w:t>费反映</w:t>
      </w:r>
      <w:proofErr w:type="gramEnd"/>
      <w:r>
        <w:rPr>
          <w:rFonts w:ascii="FangSong" w:eastAsia="FangSong" w:hAnsi="FangSong" w:cs="FangSong"/>
          <w:kern w:val="0"/>
          <w:sz w:val="32"/>
          <w:szCs w:val="32"/>
        </w:rPr>
        <w:t>部门（单位）按规定开支的各类公务接待（含外宾接待）费用。</w:t>
      </w:r>
    </w:p>
    <w:p w:rsidR="00C12F65" w:rsidRDefault="00702E25">
      <w:pPr>
        <w:pStyle w:val="MsoNormal0"/>
        <w:widowControl/>
        <w:spacing w:before="240" w:after="240" w:line="560" w:lineRule="atLeast"/>
        <w:ind w:firstLine="643"/>
        <w:jc w:val="left"/>
        <w:rPr>
          <w:rFonts w:eastAsia="Times New Roman"/>
          <w:kern w:val="0"/>
          <w:sz w:val="24"/>
        </w:rPr>
      </w:pPr>
      <w:r>
        <w:rPr>
          <w:rFonts w:ascii="FangSong" w:eastAsia="FangSong" w:hAnsi="FangSong" w:cs="FangSong"/>
          <w:b/>
          <w:bCs/>
          <w:kern w:val="0"/>
          <w:sz w:val="32"/>
          <w:szCs w:val="32"/>
        </w:rPr>
        <w:t>十七、机关运行经费：</w:t>
      </w:r>
      <w:r>
        <w:rPr>
          <w:rFonts w:ascii="FangSong" w:eastAsia="FangSong" w:hAnsi="FangSong" w:cs="FangSong"/>
          <w:kern w:val="0"/>
          <w:sz w:val="32"/>
          <w:szCs w:val="32"/>
        </w:rPr>
        <w:t>指行政单位和参照公务员法管理的事业单位财政拨款基本支出中的公用经费支出。</w:t>
      </w:r>
    </w:p>
    <w:p w:rsidR="00C12F65" w:rsidRDefault="00C12F65">
      <w:pPr>
        <w:widowControl/>
        <w:spacing w:before="240" w:after="240"/>
        <w:jc w:val="left"/>
        <w:rPr>
          <w:rFonts w:eastAsia="Times New Roman"/>
          <w:kern w:val="0"/>
          <w:sz w:val="24"/>
        </w:rPr>
      </w:pPr>
    </w:p>
    <w:p w:rsidR="00C12F65" w:rsidRDefault="00702E25">
      <w:pPr>
        <w:pStyle w:val="2"/>
        <w:keepNext w:val="0"/>
        <w:keepLines w:val="0"/>
        <w:widowControl/>
        <w:spacing w:before="299" w:after="299" w:line="240" w:lineRule="auto"/>
        <w:jc w:val="center"/>
        <w:rPr>
          <w:rFonts w:ascii="Times New Roman" w:eastAsia="Times New Roman" w:hAnsi="Times New Roman"/>
          <w:kern w:val="0"/>
          <w:sz w:val="36"/>
          <w:szCs w:val="36"/>
        </w:rPr>
      </w:pPr>
      <w:r>
        <w:rPr>
          <w:rFonts w:ascii="fang_zheng_xiao_biao_song_ti" w:eastAsia="fang_zheng_xiao_biao_song_ti" w:hAnsi="fang_zheng_xiao_biao_song_ti" w:cs="fang_zheng_xiao_biao_song_ti"/>
          <w:kern w:val="0"/>
          <w:sz w:val="36"/>
          <w:szCs w:val="36"/>
        </w:rPr>
        <w:t>第四部分</w:t>
      </w:r>
      <w:r>
        <w:rPr>
          <w:rFonts w:ascii="Times New Roman" w:eastAsia="Times New Roman" w:hAnsi="Times New Roman"/>
          <w:kern w:val="0"/>
          <w:sz w:val="36"/>
          <w:szCs w:val="36"/>
        </w:rPr>
        <w:t> </w:t>
      </w:r>
      <w:r>
        <w:rPr>
          <w:rFonts w:ascii="fang_zheng_xiao_biao_song_ti" w:eastAsia="fang_zheng_xiao_biao_song_ti" w:hAnsi="fang_zheng_xiao_biao_song_ti" w:cs="fang_zheng_xiao_biao_song_ti"/>
          <w:b w:val="0"/>
          <w:bCs w:val="0"/>
          <w:kern w:val="0"/>
          <w:sz w:val="36"/>
          <w:szCs w:val="36"/>
        </w:rPr>
        <w:t xml:space="preserve"> </w:t>
      </w:r>
      <w:r>
        <w:rPr>
          <w:rFonts w:ascii="fang_zheng_xiao_biao_song_ti" w:eastAsia="fang_zheng_xiao_biao_song_ti" w:hAnsi="fang_zheng_xiao_biao_song_ti" w:cs="fang_zheng_xiao_biao_song_ti"/>
          <w:kern w:val="0"/>
          <w:sz w:val="36"/>
          <w:szCs w:val="36"/>
        </w:rPr>
        <w:t>决算公开联系方式及信息反馈渠道</w:t>
      </w:r>
    </w:p>
    <w:p w:rsidR="00C12F65" w:rsidRDefault="00C12F65">
      <w:pPr>
        <w:widowControl/>
        <w:spacing w:before="240" w:after="240"/>
        <w:jc w:val="left"/>
        <w:rPr>
          <w:rFonts w:eastAsia="Times New Roman"/>
          <w:kern w:val="0"/>
          <w:sz w:val="24"/>
        </w:rPr>
      </w:pPr>
    </w:p>
    <w:p w:rsidR="00C12F65" w:rsidRDefault="00702E25">
      <w:pPr>
        <w:pStyle w:val="MsoNormal0"/>
        <w:widowControl/>
        <w:spacing w:before="240" w:after="240" w:line="560" w:lineRule="atLeast"/>
        <w:ind w:firstLine="640"/>
        <w:jc w:val="left"/>
        <w:rPr>
          <w:rFonts w:eastAsia="Times New Roman"/>
          <w:kern w:val="0"/>
          <w:sz w:val="24"/>
        </w:rPr>
      </w:pPr>
      <w:r>
        <w:rPr>
          <w:rFonts w:ascii="FangSong" w:eastAsia="FangSong" w:hAnsi="FangSong" w:cs="FangSong"/>
          <w:kern w:val="0"/>
          <w:sz w:val="32"/>
          <w:szCs w:val="32"/>
        </w:rPr>
        <w:t>本部门（单位）决算公开信息反馈和联系方式：</w:t>
      </w:r>
    </w:p>
    <w:p w:rsidR="00C12F65" w:rsidRDefault="00702E25">
      <w:pPr>
        <w:pStyle w:val="MsoNormal0"/>
        <w:widowControl/>
        <w:spacing w:before="240" w:after="240" w:line="560" w:lineRule="atLeast"/>
        <w:ind w:firstLine="640"/>
        <w:jc w:val="left"/>
        <w:rPr>
          <w:rFonts w:eastAsia="Times New Roman"/>
          <w:kern w:val="0"/>
          <w:sz w:val="24"/>
        </w:rPr>
      </w:pPr>
      <w:r>
        <w:rPr>
          <w:rFonts w:ascii="FangSong" w:eastAsia="FangSong" w:hAnsi="FangSong" w:cs="FangSong"/>
          <w:kern w:val="0"/>
          <w:sz w:val="32"/>
          <w:szCs w:val="32"/>
        </w:rPr>
        <w:t>联系人：田萌</w:t>
      </w:r>
      <w:proofErr w:type="gramStart"/>
      <w:r>
        <w:rPr>
          <w:rFonts w:ascii="FangSong" w:eastAsia="FangSong" w:hAnsi="FangSong" w:cs="FangSong"/>
          <w:kern w:val="0"/>
          <w:sz w:val="32"/>
          <w:szCs w:val="32"/>
        </w:rPr>
        <w:t>萌</w:t>
      </w:r>
      <w:proofErr w:type="gramEnd"/>
      <w:r>
        <w:rPr>
          <w:rFonts w:eastAsia="Times New Roman"/>
          <w:kern w:val="0"/>
          <w:sz w:val="32"/>
          <w:szCs w:val="32"/>
        </w:rPr>
        <w:t xml:space="preserve">              </w:t>
      </w:r>
      <w:r>
        <w:rPr>
          <w:rFonts w:ascii="FangSong" w:eastAsia="FangSong" w:hAnsi="FangSong" w:cs="FangSong"/>
          <w:kern w:val="0"/>
          <w:sz w:val="32"/>
          <w:szCs w:val="32"/>
        </w:rPr>
        <w:t>联系电话：0476-8332976-</w:t>
      </w:r>
      <w:r>
        <w:rPr>
          <w:rFonts w:ascii="Calibri" w:eastAsia="Calibri" w:hAnsi="Calibri" w:cs="Calibri"/>
          <w:kern w:val="0"/>
          <w:sz w:val="32"/>
          <w:szCs w:val="32"/>
        </w:rPr>
        <w:t> </w:t>
      </w:r>
    </w:p>
    <w:p w:rsidR="00C12F65" w:rsidRDefault="00C12F65">
      <w:pPr>
        <w:widowControl/>
        <w:spacing w:before="240" w:after="240"/>
        <w:jc w:val="left"/>
        <w:rPr>
          <w:rFonts w:eastAsia="Times New Roman"/>
          <w:kern w:val="0"/>
          <w:sz w:val="24"/>
        </w:rPr>
      </w:pPr>
    </w:p>
    <w:p w:rsidR="00C12F65" w:rsidRDefault="00702E25">
      <w:pPr>
        <w:pStyle w:val="2"/>
        <w:keepNext w:val="0"/>
        <w:keepLines w:val="0"/>
        <w:widowControl/>
        <w:spacing w:before="299" w:after="299" w:line="240" w:lineRule="auto"/>
        <w:jc w:val="center"/>
        <w:rPr>
          <w:rFonts w:ascii="Times New Roman" w:eastAsia="Times New Roman" w:hAnsi="Times New Roman"/>
          <w:kern w:val="0"/>
          <w:sz w:val="36"/>
          <w:szCs w:val="36"/>
        </w:rPr>
      </w:pPr>
      <w:r>
        <w:rPr>
          <w:rFonts w:ascii="fang_zheng_xiao_biao_song_ti" w:eastAsia="fang_zheng_xiao_biao_song_ti" w:hAnsi="fang_zheng_xiao_biao_song_ti" w:cs="fang_zheng_xiao_biao_song_ti"/>
          <w:kern w:val="0"/>
          <w:sz w:val="36"/>
          <w:szCs w:val="36"/>
        </w:rPr>
        <w:t>第五部分</w:t>
      </w:r>
      <w:r>
        <w:rPr>
          <w:rFonts w:ascii="Times New Roman" w:eastAsia="Times New Roman" w:hAnsi="Times New Roman"/>
          <w:kern w:val="0"/>
          <w:sz w:val="36"/>
          <w:szCs w:val="36"/>
        </w:rPr>
        <w:t> </w:t>
      </w:r>
      <w:r>
        <w:rPr>
          <w:rFonts w:ascii="方正小标宋简体" w:eastAsia="方正小标宋简体" w:hAnsi="方正小标宋简体" w:cs="方正小标宋简体"/>
          <w:b w:val="0"/>
          <w:bCs w:val="0"/>
          <w:kern w:val="0"/>
          <w:sz w:val="36"/>
          <w:szCs w:val="36"/>
        </w:rPr>
        <w:t xml:space="preserve"> </w:t>
      </w:r>
      <w:r>
        <w:rPr>
          <w:rFonts w:ascii="fang_zheng_xiao_biao_song_ti" w:eastAsia="fang_zheng_xiao_biao_song_ti" w:hAnsi="fang_zheng_xiao_biao_song_ti" w:cs="fang_zheng_xiao_biao_song_ti"/>
          <w:kern w:val="0"/>
          <w:sz w:val="36"/>
          <w:szCs w:val="36"/>
        </w:rPr>
        <w:t>部门（单位）决算表</w:t>
      </w:r>
    </w:p>
    <w:p w:rsidR="00C12F65" w:rsidRDefault="00702E25">
      <w:pPr>
        <w:pStyle w:val="MsoNormal0"/>
        <w:widowControl/>
        <w:spacing w:before="240" w:after="240"/>
        <w:jc w:val="center"/>
        <w:rPr>
          <w:rFonts w:eastAsia="Times New Roman"/>
          <w:kern w:val="0"/>
          <w:sz w:val="24"/>
        </w:rPr>
      </w:pPr>
      <w:r>
        <w:rPr>
          <w:rFonts w:eastAsia="Times New Roman"/>
          <w:kern w:val="0"/>
          <w:sz w:val="24"/>
        </w:rPr>
        <w:t> </w:t>
      </w:r>
    </w:p>
    <w:p w:rsidR="00C12F65" w:rsidRDefault="00702E25">
      <w:pPr>
        <w:pStyle w:val="MsoNormal0"/>
        <w:widowControl/>
        <w:spacing w:before="240" w:after="240" w:line="560" w:lineRule="atLeast"/>
        <w:ind w:firstLine="640"/>
        <w:jc w:val="left"/>
        <w:rPr>
          <w:rFonts w:eastAsia="Times New Roman"/>
          <w:kern w:val="0"/>
          <w:sz w:val="24"/>
        </w:rPr>
      </w:pPr>
      <w:r>
        <w:rPr>
          <w:rFonts w:ascii="FangSong" w:eastAsia="FangSong" w:hAnsi="FangSong" w:cs="FangSong"/>
          <w:kern w:val="0"/>
          <w:sz w:val="32"/>
          <w:szCs w:val="32"/>
        </w:rPr>
        <w:t>见附件。</w:t>
      </w:r>
    </w:p>
    <w:bookmarkEnd w:id="1"/>
    <w:p w:rsidR="00702E25" w:rsidRDefault="00702E25">
      <w:pPr>
        <w:adjustRightInd w:val="0"/>
        <w:snapToGrid w:val="0"/>
        <w:rPr>
          <w:rFonts w:ascii="宋体" w:hAnsi="宋体"/>
          <w:b/>
          <w:sz w:val="32"/>
          <w:szCs w:val="32"/>
        </w:rPr>
      </w:pPr>
    </w:p>
    <w:p w:rsidR="00702E25" w:rsidRDefault="00702E25">
      <w:pPr>
        <w:adjustRightInd w:val="0"/>
        <w:snapToGrid w:val="0"/>
        <w:rPr>
          <w:rFonts w:ascii="宋体" w:hAnsi="宋体"/>
          <w:b/>
          <w:sz w:val="32"/>
          <w:szCs w:val="32"/>
        </w:rPr>
      </w:pPr>
    </w:p>
    <w:p w:rsidR="00702E25" w:rsidRDefault="00702E25">
      <w:pPr>
        <w:tabs>
          <w:tab w:val="left" w:pos="8415"/>
        </w:tabs>
      </w:pPr>
    </w:p>
    <w:sectPr w:rsidR="00702E25" w:rsidSect="00A54D56">
      <w:footerReference w:type="default" r:id="rId11"/>
      <w:pgSz w:w="11906" w:h="16838"/>
      <w:pgMar w:top="1418" w:right="1797" w:bottom="1191" w:left="1797" w:header="0" w:footer="720"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41BB" w:rsidRDefault="00D041BB">
      <w:r>
        <w:separator/>
      </w:r>
    </w:p>
  </w:endnote>
  <w:endnote w:type="continuationSeparator" w:id="0">
    <w:p w:rsidR="00D041BB" w:rsidRDefault="00D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FangSong">
    <w:altName w:val="Cambria"/>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KaiTi">
    <w:altName w:val="Cambria"/>
    <w:panose1 w:val="00000000000000000000"/>
    <w:charset w:val="00"/>
    <w:family w:val="roman"/>
    <w:notTrueType/>
    <w:pitch w:val="default"/>
  </w:font>
  <w:font w:name="times_new_roman">
    <w:altName w:val="Times New Roman"/>
    <w:charset w:val="00"/>
    <w:family w:val="roman"/>
    <w:pitch w:val="default"/>
  </w:font>
  <w:font w:name="楷体_GB2312">
    <w:altName w:val="微软雅黑"/>
    <w:charset w:val="86"/>
    <w:family w:val="auto"/>
    <w:pitch w:val="default"/>
    <w:sig w:usb0="00000001" w:usb1="080E0000" w:usb2="00000000" w:usb3="00000000" w:csb0="00040000" w:csb1="00000000"/>
  </w:font>
  <w:font w:name="fang_zheng_xiao_biao_song_t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0B0" w:rsidRDefault="004600B0">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1</w:t>
    </w:r>
    <w:r>
      <w:rPr>
        <w:rFonts w:ascii="宋体" w:hAnsi="宋体" w:cs="宋体"/>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00B0" w:rsidRDefault="004600B0">
    <w:pPr>
      <w:jc w:val="center"/>
    </w:pPr>
    <w:r>
      <w:rPr>
        <w:rFonts w:ascii="宋体" w:hAnsi="宋体" w:cs="宋体"/>
        <w:sz w:val="18"/>
      </w:rPr>
      <w:fldChar w:fldCharType="begin"/>
    </w:r>
    <w:r>
      <w:rPr>
        <w:rFonts w:ascii="宋体" w:hAnsi="宋体" w:cs="宋体"/>
        <w:sz w:val="18"/>
      </w:rPr>
      <w:instrText xml:space="preserve"> PAGE </w:instrText>
    </w:r>
    <w:r>
      <w:rPr>
        <w:rFonts w:ascii="宋体" w:hAnsi="宋体" w:cs="宋体"/>
        <w:sz w:val="18"/>
      </w:rPr>
      <w:fldChar w:fldCharType="separate"/>
    </w:r>
    <w:r>
      <w:rPr>
        <w:rFonts w:ascii="宋体" w:hAnsi="宋体" w:cs="宋体"/>
        <w:sz w:val="18"/>
      </w:rPr>
      <w:t>30</w:t>
    </w:r>
    <w:r>
      <w:rPr>
        <w:rFonts w:ascii="宋体" w:hAnsi="宋体" w:cs="宋体"/>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41BB" w:rsidRDefault="00D041BB">
      <w:r>
        <w:separator/>
      </w:r>
    </w:p>
  </w:footnote>
  <w:footnote w:type="continuationSeparator" w:id="0">
    <w:p w:rsidR="00D041BB" w:rsidRDefault="00D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665E39"/>
    <w:multiLevelType w:val="hybridMultilevel"/>
    <w:tmpl w:val="156875E8"/>
    <w:lvl w:ilvl="0" w:tplc="AC8624AA">
      <w:start w:val="1"/>
      <w:numFmt w:val="decimal"/>
      <w:lvlText w:val="%1."/>
      <w:lvlJc w:val="left"/>
      <w:pPr>
        <w:ind w:left="1000" w:hanging="36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12F65"/>
    <w:rsid w:val="00217CF9"/>
    <w:rsid w:val="004600B0"/>
    <w:rsid w:val="0059231F"/>
    <w:rsid w:val="006D3D1E"/>
    <w:rsid w:val="00702E25"/>
    <w:rsid w:val="007F6EE7"/>
    <w:rsid w:val="008B0016"/>
    <w:rsid w:val="008F7038"/>
    <w:rsid w:val="00A46805"/>
    <w:rsid w:val="00A54D56"/>
    <w:rsid w:val="00A82490"/>
    <w:rsid w:val="00C12F65"/>
    <w:rsid w:val="00D041BB"/>
    <w:rsid w:val="00FB7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0E109"/>
  <w15:docId w15:val="{73EC7F1B-5F47-4189-93E3-BCEA79811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nhideWhenUsed="1"/>
    <w:lsdException w:name="toc 4" w:semiHidden="1" w:unhideWhenUsed="1"/>
    <w:lsdException w:name="toc 5" w:semiHidden="1" w:unhideWhenUsed="1" w:qFormat="1"/>
    <w:lsdException w:name="toc 6" w:semiHidden="1" w:unhideWhenUsed="1"/>
    <w:lsdException w:name="toc 7" w:semiHidden="1" w:unhideWhenUsed="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paragraph" w:styleId="4">
    <w:name w:val="heading 4"/>
    <w:basedOn w:val="a"/>
    <w:next w:val="a"/>
    <w:link w:val="40"/>
    <w:qFormat/>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autoRedefine/>
    <w:pPr>
      <w:ind w:left="1260"/>
      <w:jc w:val="left"/>
    </w:pPr>
    <w:rPr>
      <w:sz w:val="20"/>
      <w:szCs w:val="20"/>
    </w:rPr>
  </w:style>
  <w:style w:type="paragraph" w:styleId="a3">
    <w:name w:val="Document Map"/>
    <w:basedOn w:val="a"/>
    <w:pPr>
      <w:shd w:val="clear" w:color="auto" w:fill="000080"/>
    </w:pPr>
  </w:style>
  <w:style w:type="paragraph" w:styleId="5">
    <w:name w:val="toc 5"/>
    <w:basedOn w:val="a"/>
    <w:next w:val="a"/>
    <w:autoRedefine/>
    <w:qFormat/>
    <w:pPr>
      <w:ind w:left="840"/>
      <w:jc w:val="left"/>
    </w:pPr>
    <w:rPr>
      <w:sz w:val="20"/>
      <w:szCs w:val="20"/>
    </w:rPr>
  </w:style>
  <w:style w:type="paragraph" w:styleId="31">
    <w:name w:val="toc 3"/>
    <w:basedOn w:val="a"/>
    <w:next w:val="a"/>
    <w:pPr>
      <w:adjustRightInd w:val="0"/>
      <w:snapToGrid w:val="0"/>
      <w:spacing w:line="360" w:lineRule="auto"/>
      <w:ind w:firstLineChars="400" w:firstLine="400"/>
      <w:jc w:val="left"/>
    </w:pPr>
    <w:rPr>
      <w:sz w:val="24"/>
      <w:szCs w:val="20"/>
    </w:rPr>
  </w:style>
  <w:style w:type="paragraph" w:styleId="8">
    <w:name w:val="toc 8"/>
    <w:basedOn w:val="a"/>
    <w:next w:val="a"/>
    <w:autoRedefine/>
    <w:qFormat/>
    <w:pPr>
      <w:ind w:left="1470"/>
      <w:jc w:val="left"/>
    </w:pPr>
    <w:rPr>
      <w:sz w:val="20"/>
      <w:szCs w:val="20"/>
    </w:r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adjustRightInd w:val="0"/>
      <w:snapToGrid w:val="0"/>
      <w:spacing w:line="360" w:lineRule="auto"/>
      <w:jc w:val="left"/>
    </w:pPr>
    <w:rPr>
      <w:b/>
      <w:bCs/>
      <w:sz w:val="24"/>
      <w:szCs w:val="20"/>
    </w:rPr>
  </w:style>
  <w:style w:type="paragraph" w:styleId="41">
    <w:name w:val="toc 4"/>
    <w:basedOn w:val="a"/>
    <w:next w:val="a"/>
    <w:autoRedefine/>
    <w:pPr>
      <w:ind w:left="630"/>
      <w:jc w:val="left"/>
    </w:pPr>
    <w:rPr>
      <w:sz w:val="20"/>
      <w:szCs w:val="20"/>
    </w:rPr>
  </w:style>
  <w:style w:type="paragraph" w:styleId="6">
    <w:name w:val="toc 6"/>
    <w:basedOn w:val="a"/>
    <w:next w:val="a"/>
    <w:autoRedefine/>
    <w:pPr>
      <w:ind w:left="1050"/>
      <w:jc w:val="left"/>
    </w:pPr>
    <w:rPr>
      <w:sz w:val="20"/>
      <w:szCs w:val="20"/>
    </w:rPr>
  </w:style>
  <w:style w:type="paragraph" w:styleId="20">
    <w:name w:val="toc 2"/>
    <w:basedOn w:val="a"/>
    <w:next w:val="a"/>
    <w:pPr>
      <w:adjustRightInd w:val="0"/>
      <w:snapToGrid w:val="0"/>
      <w:spacing w:line="360" w:lineRule="auto"/>
      <w:ind w:firstLineChars="200" w:firstLine="200"/>
      <w:jc w:val="left"/>
    </w:pPr>
    <w:rPr>
      <w:iCs/>
      <w:sz w:val="24"/>
      <w:szCs w:val="20"/>
    </w:rPr>
  </w:style>
  <w:style w:type="paragraph" w:styleId="9">
    <w:name w:val="toc 9"/>
    <w:basedOn w:val="a"/>
    <w:next w:val="a"/>
    <w:autoRedefine/>
    <w:qFormat/>
    <w:pPr>
      <w:ind w:left="1680"/>
      <w:jc w:val="left"/>
    </w:pPr>
    <w:rPr>
      <w:sz w:val="20"/>
      <w:szCs w:val="20"/>
    </w:rPr>
  </w:style>
  <w:style w:type="character" w:styleId="a7">
    <w:name w:val="page number"/>
    <w:basedOn w:val="a0"/>
  </w:style>
  <w:style w:type="character" w:styleId="a8">
    <w:name w:val="Hyperlink"/>
    <w:basedOn w:val="a0"/>
    <w:qFormat/>
    <w:rPr>
      <w:color w:val="0000FF"/>
      <w:u w:val="single"/>
    </w:rPr>
  </w:style>
  <w:style w:type="character" w:customStyle="1" w:styleId="40">
    <w:name w:val="标题 4 字符"/>
    <w:basedOn w:val="a0"/>
    <w:link w:val="4"/>
    <w:rPr>
      <w:rFonts w:ascii="Cambria" w:hAnsi="Cambria"/>
      <w:b/>
      <w:bCs/>
      <w:kern w:val="2"/>
      <w:sz w:val="28"/>
      <w:szCs w:val="28"/>
    </w:rPr>
  </w:style>
  <w:style w:type="paragraph" w:styleId="a9">
    <w:name w:val="No Spacing"/>
    <w:link w:val="aa"/>
    <w:qFormat/>
    <w:pPr>
      <w:ind w:firstLineChars="200" w:firstLine="200"/>
    </w:pPr>
    <w:rPr>
      <w:rFonts w:eastAsia="仿宋_GB2312"/>
      <w:sz w:val="30"/>
      <w:szCs w:val="22"/>
    </w:rPr>
  </w:style>
  <w:style w:type="character" w:customStyle="1" w:styleId="aa">
    <w:name w:val="无间隔 字符"/>
    <w:link w:val="a9"/>
    <w:qFormat/>
    <w:locked/>
    <w:rPr>
      <w:rFonts w:eastAsia="仿宋_GB2312"/>
      <w:sz w:val="30"/>
      <w:szCs w:val="22"/>
      <w:lang w:bidi="ar-SA"/>
    </w:rPr>
  </w:style>
  <w:style w:type="character" w:customStyle="1" w:styleId="a5">
    <w:name w:val="页脚 字符"/>
    <w:basedOn w:val="a0"/>
    <w:link w:val="a4"/>
    <w:qFormat/>
    <w:rPr>
      <w:kern w:val="2"/>
      <w:sz w:val="18"/>
      <w:szCs w:val="18"/>
    </w:rPr>
  </w:style>
  <w:style w:type="paragraph" w:styleId="ab">
    <w:name w:val="List Paragraph"/>
    <w:basedOn w:val="a"/>
    <w:qFormat/>
    <w:pPr>
      <w:ind w:firstLineChars="200" w:firstLine="420"/>
    </w:pPr>
  </w:style>
  <w:style w:type="character" w:customStyle="1" w:styleId="30">
    <w:name w:val="标题 3 字符"/>
    <w:basedOn w:val="a0"/>
    <w:link w:val="3"/>
    <w:qFormat/>
    <w:rPr>
      <w:b/>
      <w:bCs/>
      <w:kern w:val="2"/>
      <w:sz w:val="32"/>
      <w:szCs w:val="32"/>
    </w:rPr>
  </w:style>
  <w:style w:type="paragraph" w:customStyle="1" w:styleId="MsoNormal0">
    <w:name w:val="MsoNormal"/>
    <w:basedOn w:val="a"/>
  </w:style>
  <w:style w:type="paragraph" w:styleId="ac">
    <w:name w:val="Normal (Web)"/>
    <w:basedOn w:val="a"/>
    <w:rsid w:val="0059231F"/>
    <w:pPr>
      <w:spacing w:beforeAutospacing="1"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893393">
      <w:bodyDiv w:val="1"/>
      <w:marLeft w:val="0"/>
      <w:marRight w:val="0"/>
      <w:marTop w:val="0"/>
      <w:marBottom w:val="0"/>
      <w:divBdr>
        <w:top w:val="none" w:sz="0" w:space="0" w:color="auto"/>
        <w:left w:val="none" w:sz="0" w:space="0" w:color="auto"/>
        <w:bottom w:val="none" w:sz="0" w:space="0" w:color="auto"/>
        <w:right w:val="none" w:sz="0" w:space="0" w:color="auto"/>
      </w:divBdr>
    </w:div>
    <w:div w:id="253638271">
      <w:bodyDiv w:val="1"/>
      <w:marLeft w:val="0"/>
      <w:marRight w:val="0"/>
      <w:marTop w:val="0"/>
      <w:marBottom w:val="0"/>
      <w:divBdr>
        <w:top w:val="none" w:sz="0" w:space="0" w:color="auto"/>
        <w:left w:val="none" w:sz="0" w:space="0" w:color="auto"/>
        <w:bottom w:val="none" w:sz="0" w:space="0" w:color="auto"/>
        <w:right w:val="none" w:sz="0" w:space="0" w:color="auto"/>
      </w:divBdr>
    </w:div>
    <w:div w:id="301740266">
      <w:bodyDiv w:val="1"/>
      <w:marLeft w:val="0"/>
      <w:marRight w:val="0"/>
      <w:marTop w:val="0"/>
      <w:marBottom w:val="0"/>
      <w:divBdr>
        <w:top w:val="none" w:sz="0" w:space="0" w:color="auto"/>
        <w:left w:val="none" w:sz="0" w:space="0" w:color="auto"/>
        <w:bottom w:val="none" w:sz="0" w:space="0" w:color="auto"/>
        <w:right w:val="none" w:sz="0" w:space="0" w:color="auto"/>
      </w:divBdr>
    </w:div>
    <w:div w:id="357511262">
      <w:bodyDiv w:val="1"/>
      <w:marLeft w:val="0"/>
      <w:marRight w:val="0"/>
      <w:marTop w:val="0"/>
      <w:marBottom w:val="0"/>
      <w:divBdr>
        <w:top w:val="none" w:sz="0" w:space="0" w:color="auto"/>
        <w:left w:val="none" w:sz="0" w:space="0" w:color="auto"/>
        <w:bottom w:val="none" w:sz="0" w:space="0" w:color="auto"/>
        <w:right w:val="none" w:sz="0" w:space="0" w:color="auto"/>
      </w:divBdr>
    </w:div>
    <w:div w:id="536158508">
      <w:bodyDiv w:val="1"/>
      <w:marLeft w:val="0"/>
      <w:marRight w:val="0"/>
      <w:marTop w:val="0"/>
      <w:marBottom w:val="0"/>
      <w:divBdr>
        <w:top w:val="none" w:sz="0" w:space="0" w:color="auto"/>
        <w:left w:val="none" w:sz="0" w:space="0" w:color="auto"/>
        <w:bottom w:val="none" w:sz="0" w:space="0" w:color="auto"/>
        <w:right w:val="none" w:sz="0" w:space="0" w:color="auto"/>
      </w:divBdr>
    </w:div>
    <w:div w:id="836573289">
      <w:bodyDiv w:val="1"/>
      <w:marLeft w:val="0"/>
      <w:marRight w:val="0"/>
      <w:marTop w:val="0"/>
      <w:marBottom w:val="0"/>
      <w:divBdr>
        <w:top w:val="none" w:sz="0" w:space="0" w:color="auto"/>
        <w:left w:val="none" w:sz="0" w:space="0" w:color="auto"/>
        <w:bottom w:val="none" w:sz="0" w:space="0" w:color="auto"/>
        <w:right w:val="none" w:sz="0" w:space="0" w:color="auto"/>
      </w:divBdr>
    </w:div>
    <w:div w:id="890463137">
      <w:bodyDiv w:val="1"/>
      <w:marLeft w:val="0"/>
      <w:marRight w:val="0"/>
      <w:marTop w:val="0"/>
      <w:marBottom w:val="0"/>
      <w:divBdr>
        <w:top w:val="none" w:sz="0" w:space="0" w:color="auto"/>
        <w:left w:val="none" w:sz="0" w:space="0" w:color="auto"/>
        <w:bottom w:val="none" w:sz="0" w:space="0" w:color="auto"/>
        <w:right w:val="none" w:sz="0" w:space="0" w:color="auto"/>
      </w:divBdr>
    </w:div>
    <w:div w:id="1288926498">
      <w:bodyDiv w:val="1"/>
      <w:marLeft w:val="0"/>
      <w:marRight w:val="0"/>
      <w:marTop w:val="0"/>
      <w:marBottom w:val="0"/>
      <w:divBdr>
        <w:top w:val="none" w:sz="0" w:space="0" w:color="auto"/>
        <w:left w:val="none" w:sz="0" w:space="0" w:color="auto"/>
        <w:bottom w:val="none" w:sz="0" w:space="0" w:color="auto"/>
        <w:right w:val="none" w:sz="0" w:space="0" w:color="auto"/>
      </w:divBdr>
    </w:div>
    <w:div w:id="1307706603">
      <w:bodyDiv w:val="1"/>
      <w:marLeft w:val="0"/>
      <w:marRight w:val="0"/>
      <w:marTop w:val="0"/>
      <w:marBottom w:val="0"/>
      <w:divBdr>
        <w:top w:val="none" w:sz="0" w:space="0" w:color="auto"/>
        <w:left w:val="none" w:sz="0" w:space="0" w:color="auto"/>
        <w:bottom w:val="none" w:sz="0" w:space="0" w:color="auto"/>
        <w:right w:val="none" w:sz="0" w:space="0" w:color="auto"/>
      </w:divBdr>
    </w:div>
    <w:div w:id="1403869156">
      <w:bodyDiv w:val="1"/>
      <w:marLeft w:val="0"/>
      <w:marRight w:val="0"/>
      <w:marTop w:val="0"/>
      <w:marBottom w:val="0"/>
      <w:divBdr>
        <w:top w:val="none" w:sz="0" w:space="0" w:color="auto"/>
        <w:left w:val="none" w:sz="0" w:space="0" w:color="auto"/>
        <w:bottom w:val="none" w:sz="0" w:space="0" w:color="auto"/>
        <w:right w:val="none" w:sz="0" w:space="0" w:color="auto"/>
      </w:divBdr>
    </w:div>
    <w:div w:id="1457527697">
      <w:bodyDiv w:val="1"/>
      <w:marLeft w:val="0"/>
      <w:marRight w:val="0"/>
      <w:marTop w:val="0"/>
      <w:marBottom w:val="0"/>
      <w:divBdr>
        <w:top w:val="none" w:sz="0" w:space="0" w:color="auto"/>
        <w:left w:val="none" w:sz="0" w:space="0" w:color="auto"/>
        <w:bottom w:val="none" w:sz="0" w:space="0" w:color="auto"/>
        <w:right w:val="none" w:sz="0" w:space="0" w:color="auto"/>
      </w:divBdr>
    </w:div>
    <w:div w:id="1540973675">
      <w:bodyDiv w:val="1"/>
      <w:marLeft w:val="0"/>
      <w:marRight w:val="0"/>
      <w:marTop w:val="0"/>
      <w:marBottom w:val="0"/>
      <w:divBdr>
        <w:top w:val="none" w:sz="0" w:space="0" w:color="auto"/>
        <w:left w:val="none" w:sz="0" w:space="0" w:color="auto"/>
        <w:bottom w:val="none" w:sz="0" w:space="0" w:color="auto"/>
        <w:right w:val="none" w:sz="0" w:space="0" w:color="auto"/>
      </w:divBdr>
    </w:div>
    <w:div w:id="1611858185">
      <w:bodyDiv w:val="1"/>
      <w:marLeft w:val="0"/>
      <w:marRight w:val="0"/>
      <w:marTop w:val="0"/>
      <w:marBottom w:val="0"/>
      <w:divBdr>
        <w:top w:val="none" w:sz="0" w:space="0" w:color="auto"/>
        <w:left w:val="none" w:sz="0" w:space="0" w:color="auto"/>
        <w:bottom w:val="none" w:sz="0" w:space="0" w:color="auto"/>
        <w:right w:val="none" w:sz="0" w:space="0" w:color="auto"/>
      </w:divBdr>
    </w:div>
    <w:div w:id="1789271568">
      <w:bodyDiv w:val="1"/>
      <w:marLeft w:val="0"/>
      <w:marRight w:val="0"/>
      <w:marTop w:val="0"/>
      <w:marBottom w:val="0"/>
      <w:divBdr>
        <w:top w:val="none" w:sz="0" w:space="0" w:color="auto"/>
        <w:left w:val="none" w:sz="0" w:space="0" w:color="auto"/>
        <w:bottom w:val="none" w:sz="0" w:space="0" w:color="auto"/>
        <w:right w:val="none" w:sz="0" w:space="0" w:color="auto"/>
      </w:divBdr>
    </w:div>
    <w:div w:id="1832912353">
      <w:bodyDiv w:val="1"/>
      <w:marLeft w:val="0"/>
      <w:marRight w:val="0"/>
      <w:marTop w:val="0"/>
      <w:marBottom w:val="0"/>
      <w:divBdr>
        <w:top w:val="none" w:sz="0" w:space="0" w:color="auto"/>
        <w:left w:val="none" w:sz="0" w:space="0" w:color="auto"/>
        <w:bottom w:val="none" w:sz="0" w:space="0" w:color="auto"/>
        <w:right w:val="none" w:sz="0" w:space="0" w:color="auto"/>
      </w:divBdr>
    </w:div>
    <w:div w:id="2047023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290C0B08-1A23-498E-9C79-1829E5BF8DA9}">
  <ds:schemaRefs>
    <ds:schemaRef ds:uri="http://schemas.openxmlformats.org/officeDocument/2006/relationships"/>
    <ds:schemaRef ds:uri="http://schemas.openxmlformats.org/wordprocessingml/2006/main"/>
    <ds:schemaRef ds:uri="http://schemas.microsoft.com/office/word/2012/wordml"/>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office/word/2010/wordprocessingShape"/>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31</Pages>
  <Words>2129</Words>
  <Characters>12138</Characters>
  <Application>Microsoft Office Word</Application>
  <DocSecurity>0</DocSecurity>
  <Lines>101</Lines>
  <Paragraphs>28</Paragraphs>
  <ScaleCrop>false</ScaleCrop>
  <Company>微软中国</Company>
  <LinksUpToDate>false</LinksUpToDate>
  <CharactersWithSpaces>14239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××年度××部门/单位</dc:title>
  <dc:creator>Administrator</dc:creator>
  <cp:lastModifiedBy>Administrator</cp:lastModifiedBy>
  <cp:revision>23</cp:revision>
  <cp:lastPrinted>2021-04-16T00:45:00Z</cp:lastPrinted>
  <dcterms:created xsi:type="dcterms:W3CDTF">2022-03-23T12:40:00Z</dcterms:created>
  <dcterms:modified xsi:type="dcterms:W3CDTF">2026-08-14T03:24:00Z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611238F30D8A411DBAB9B55681FC0BF8_12</vt:lpwstr>
  </property>
  <property fmtid="{D5CDD505-2E9C-101B-9397-08002B2CF9AE}" pid="3" name="KSOProductBuildVer">
    <vt:lpwstr>2052-12.1.0.21541</vt:lpwstr>
  </property>
  <property fmtid="{D5CDD505-2E9C-101B-9397-08002B2CF9AE}" pid="4" name="KSOTemplateDocerSaveRecord">
    <vt:lpwstr>eyJoZGlkIjoiN2YzNjBkOTgyNWQ1YTMxYzM3MzMwNWFiODNmOWIzYWMiLCJ1c2VySWQiOiI4MDUyMTE2MjkifQ==</vt:lpwstr>
  </property>
</Properties>
</file>