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pPr>
    </w:p>
    <w:p>
      <w:pPr>
        <w:pageBreakBefore w:val="0"/>
        <w:widowControl w:val="0"/>
        <w:kinsoku/>
        <w:wordWrap/>
        <w:overflowPunct/>
        <w:topLinePunct w:val="0"/>
        <w:autoSpaceDE/>
        <w:autoSpaceDN/>
        <w:bidi w:val="0"/>
        <w:adjustRightInd/>
        <w:snapToGrid/>
        <w:spacing w:line="240" w:lineRule="auto"/>
        <w:textAlignment w:val="auto"/>
      </w:pPr>
    </w:p>
    <w:p>
      <w:pPr>
        <w:pStyle w:val="2"/>
        <w:pageBreakBefore w:val="0"/>
        <w:widowControl w:val="0"/>
        <w:kinsoku/>
        <w:wordWrap/>
        <w:overflowPunct/>
        <w:topLinePunct w:val="0"/>
        <w:autoSpaceDE/>
        <w:autoSpaceDN/>
        <w:bidi w:val="0"/>
        <w:adjustRightInd/>
        <w:snapToGrid/>
        <w:spacing w:line="240" w:lineRule="auto"/>
        <w:textAlignment w:val="auto"/>
        <w:rPr>
          <w:rFonts w:hint="eastAsia"/>
          <w:sz w:val="52"/>
          <w:szCs w:val="40"/>
        </w:rPr>
      </w:pPr>
      <w:r>
        <w:rPr>
          <w:sz w:val="52"/>
          <w:szCs w:val="40"/>
        </w:rPr>
        <w:t>202</w:t>
      </w:r>
      <w:r>
        <w:rPr>
          <w:rFonts w:hint="eastAsia"/>
          <w:sz w:val="52"/>
          <w:szCs w:val="40"/>
          <w:lang w:val="en-US" w:eastAsia="zh-CN"/>
        </w:rPr>
        <w:t>5</w:t>
      </w:r>
      <w:r>
        <w:rPr>
          <w:rFonts w:hint="eastAsia"/>
          <w:sz w:val="52"/>
          <w:szCs w:val="40"/>
        </w:rPr>
        <w:t>年度中共赤峰市委统一战线</w:t>
      </w:r>
    </w:p>
    <w:p>
      <w:pPr>
        <w:pStyle w:val="2"/>
        <w:pageBreakBefore w:val="0"/>
        <w:widowControl w:val="0"/>
        <w:kinsoku/>
        <w:wordWrap/>
        <w:overflowPunct/>
        <w:topLinePunct w:val="0"/>
        <w:autoSpaceDE/>
        <w:autoSpaceDN/>
        <w:bidi w:val="0"/>
        <w:adjustRightInd/>
        <w:snapToGrid/>
        <w:spacing w:line="240" w:lineRule="auto"/>
        <w:textAlignment w:val="auto"/>
        <w:rPr>
          <w:rFonts w:hint="default"/>
          <w:sz w:val="52"/>
          <w:szCs w:val="40"/>
          <w:lang w:val="en-US" w:eastAsia="zh-CN"/>
        </w:rPr>
      </w:pPr>
      <w:r>
        <w:rPr>
          <w:rFonts w:hint="eastAsia"/>
          <w:sz w:val="52"/>
          <w:szCs w:val="40"/>
        </w:rPr>
        <w:t>工作部</w:t>
      </w:r>
      <w:r>
        <w:rPr>
          <w:rFonts w:hint="eastAsia"/>
          <w:sz w:val="52"/>
          <w:szCs w:val="40"/>
          <w:lang w:val="en-US" w:eastAsia="zh-CN"/>
        </w:rPr>
        <w:t>部门决算公开</w:t>
      </w:r>
    </w:p>
    <w:p>
      <w:pPr>
        <w:pageBreakBefore w:val="0"/>
        <w:kinsoku/>
        <w:wordWrap/>
        <w:overflowPunct/>
        <w:topLinePunct w:val="0"/>
        <w:bidi w:val="0"/>
        <w:spacing w:line="600" w:lineRule="exact"/>
        <w:jc w:val="center"/>
        <w:textAlignment w:val="auto"/>
        <w:rPr>
          <w:rFonts w:ascii="宋体" w:hAnsi="宋体"/>
          <w:b/>
          <w:bCs/>
          <w:sz w:val="52"/>
          <w:szCs w:val="52"/>
        </w:rPr>
      </w:pPr>
    </w:p>
    <w:p>
      <w:pPr>
        <w:pageBreakBefore w:val="0"/>
        <w:kinsoku/>
        <w:wordWrap/>
        <w:overflowPunct/>
        <w:topLinePunct w:val="0"/>
        <w:bidi w:val="0"/>
        <w:spacing w:line="600" w:lineRule="exact"/>
        <w:jc w:val="center"/>
        <w:textAlignment w:val="auto"/>
        <w:rPr>
          <w:rFonts w:ascii="宋体" w:hAnsi="宋体"/>
          <w:b/>
          <w:bCs/>
          <w:sz w:val="52"/>
          <w:szCs w:val="52"/>
        </w:rPr>
      </w:pPr>
    </w:p>
    <w:p>
      <w:pPr>
        <w:pageBreakBefore w:val="0"/>
        <w:kinsoku/>
        <w:wordWrap/>
        <w:overflowPunct/>
        <w:topLinePunct w:val="0"/>
        <w:bidi w:val="0"/>
        <w:spacing w:line="600" w:lineRule="exact"/>
        <w:jc w:val="center"/>
        <w:textAlignment w:val="auto"/>
        <w:rPr>
          <w:rFonts w:ascii="宋体" w:hAnsi="宋体"/>
          <w:b/>
          <w:bCs/>
          <w:sz w:val="52"/>
          <w:szCs w:val="52"/>
        </w:rPr>
      </w:pPr>
    </w:p>
    <w:p>
      <w:pPr>
        <w:pageBreakBefore w:val="0"/>
        <w:kinsoku/>
        <w:wordWrap/>
        <w:overflowPunct/>
        <w:topLinePunct w:val="0"/>
        <w:bidi w:val="0"/>
        <w:spacing w:line="600" w:lineRule="exact"/>
        <w:ind w:left="0" w:leftChars="0" w:firstLine="0" w:firstLineChars="0"/>
        <w:jc w:val="both"/>
        <w:textAlignment w:val="auto"/>
        <w:rPr>
          <w:rFonts w:ascii="宋体" w:hAnsi="宋体"/>
          <w:b/>
          <w:bCs/>
          <w:sz w:val="52"/>
          <w:szCs w:val="52"/>
        </w:rPr>
      </w:pPr>
    </w:p>
    <w:p>
      <w:pPr>
        <w:pStyle w:val="2"/>
        <w:keepNext w:val="0"/>
        <w:keepLines w:val="0"/>
        <w:pageBreakBefore w:val="0"/>
        <w:widowControl/>
        <w:kinsoku/>
        <w:wordWrap/>
        <w:overflowPunct/>
        <w:topLinePunct w:val="0"/>
        <w:bidi w:val="0"/>
        <w:spacing w:before="322" w:after="322" w:line="600" w:lineRule="exact"/>
        <w:jc w:val="both"/>
        <w:textAlignment w:val="auto"/>
      </w:pPr>
      <w:bookmarkStart w:id="0" w:name="a000"/>
    </w:p>
    <w:p/>
    <w:p/>
    <w:p>
      <w:pPr>
        <w:bidi w:val="0"/>
        <w:ind w:left="0" w:leftChars="0" w:firstLine="0" w:firstLineChars="0"/>
        <w:jc w:val="center"/>
        <w:rPr>
          <w:rFonts w:hint="eastAsia" w:ascii="黑体" w:hAnsi="黑体" w:eastAsia="黑体" w:cs="黑体"/>
          <w:u w:val="none"/>
          <w:lang w:val="en-US" w:eastAsia="zh-CN"/>
        </w:rPr>
      </w:pPr>
      <w:r>
        <w:rPr>
          <w:rFonts w:hint="eastAsia" w:ascii="黑体" w:hAnsi="黑体" w:eastAsia="黑体" w:cs="黑体"/>
          <w:u w:val="none"/>
          <w:lang w:val="en-US" w:eastAsia="zh-CN"/>
        </w:rPr>
        <w:t xml:space="preserve">      部门名称：中共赤峰市委统一战线工作部部门</w:t>
      </w:r>
    </w:p>
    <w:p>
      <w:pPr>
        <w:bidi w:val="0"/>
        <w:ind w:firstLine="1600" w:firstLineChars="500"/>
        <w:jc w:val="both"/>
        <w:rPr>
          <w:rFonts w:hint="eastAsia" w:ascii="黑体" w:hAnsi="黑体" w:eastAsia="黑体" w:cs="黑体"/>
          <w:u w:val="none"/>
          <w:lang w:val="en-US" w:eastAsia="zh-CN"/>
        </w:rPr>
      </w:pPr>
      <w:r>
        <w:rPr>
          <w:rFonts w:hint="eastAsia" w:ascii="黑体" w:hAnsi="黑体" w:eastAsia="黑体" w:cs="黑体"/>
          <w:u w:val="none"/>
          <w:lang w:val="en-US" w:eastAsia="zh-CN"/>
        </w:rPr>
        <w:t>单位负责人：王生才</w:t>
      </w:r>
    </w:p>
    <w:p>
      <w:pPr>
        <w:bidi w:val="0"/>
        <w:ind w:left="0" w:leftChars="0" w:firstLine="1600" w:firstLineChars="500"/>
        <w:jc w:val="both"/>
        <w:rPr>
          <w:rFonts w:hint="eastAsia" w:ascii="黑体" w:hAnsi="黑体" w:eastAsia="黑体" w:cs="黑体"/>
          <w:u w:val="none"/>
          <w:lang w:val="en-US" w:eastAsia="zh-CN"/>
        </w:rPr>
      </w:pPr>
      <w:r>
        <w:rPr>
          <w:rFonts w:hint="eastAsia" w:ascii="黑体" w:hAnsi="黑体" w:eastAsia="黑体" w:cs="黑体"/>
          <w:u w:val="none"/>
          <w:lang w:val="en-US" w:eastAsia="zh-CN"/>
        </w:rPr>
        <w:t>财务负责人：倪建华</w:t>
      </w:r>
    </w:p>
    <w:p>
      <w:pPr>
        <w:bidi w:val="0"/>
        <w:ind w:left="0" w:leftChars="0" w:firstLine="1600" w:firstLineChars="500"/>
        <w:jc w:val="both"/>
        <w:rPr>
          <w:rFonts w:hint="eastAsia" w:ascii="黑体" w:hAnsi="黑体" w:eastAsia="黑体" w:cs="黑体"/>
          <w:u w:val="none"/>
          <w:lang w:val="en-US" w:eastAsia="zh-CN"/>
        </w:rPr>
      </w:pPr>
      <w:r>
        <w:rPr>
          <w:rFonts w:hint="eastAsia" w:ascii="黑体" w:hAnsi="黑体" w:eastAsia="黑体" w:cs="黑体"/>
          <w:u w:val="none"/>
          <w:lang w:val="en-US" w:eastAsia="zh-CN"/>
        </w:rPr>
        <w:t>编  制  人：刘化波</w:t>
      </w:r>
      <w:bookmarkStart w:id="1" w:name="_GoBack"/>
      <w:bookmarkEnd w:id="1"/>
    </w:p>
    <w:p>
      <w:pPr>
        <w:bidi w:val="0"/>
        <w:ind w:left="0" w:leftChars="0" w:firstLine="1600" w:firstLineChars="500"/>
        <w:jc w:val="both"/>
        <w:rPr>
          <w:rFonts w:hint="default" w:ascii="黑体" w:hAnsi="黑体" w:eastAsia="黑体" w:cs="黑体"/>
          <w:u w:val="none"/>
          <w:lang w:val="en-US" w:eastAsia="zh-CN"/>
        </w:rPr>
      </w:pPr>
      <w:r>
        <w:rPr>
          <w:rFonts w:hint="eastAsia" w:ascii="黑体" w:hAnsi="黑体" w:eastAsia="黑体" w:cs="黑体"/>
          <w:u w:val="none"/>
          <w:lang w:val="en-US" w:eastAsia="zh-CN"/>
        </w:rPr>
        <w:t>报送日期：2026年8月</w:t>
      </w:r>
    </w:p>
    <w:p>
      <w:pPr>
        <w:pageBreakBefore w:val="0"/>
        <w:widowControl/>
        <w:kinsoku/>
        <w:wordWrap/>
        <w:overflowPunct/>
        <w:topLinePunct w:val="0"/>
        <w:bidi w:val="0"/>
        <w:spacing w:before="240" w:after="240" w:line="600" w:lineRule="exact"/>
        <w:jc w:val="left"/>
        <w:textAlignment w:val="auto"/>
        <w:rPr>
          <w:rFonts w:ascii="Times New Roman" w:hAnsi="Times New Roman" w:eastAsia="Times New Roman" w:cs="Times New Roman"/>
          <w:kern w:val="0"/>
          <w:sz w:val="24"/>
        </w:rPr>
      </w:pPr>
    </w:p>
    <w:p>
      <w:pPr>
        <w:pStyle w:val="9"/>
        <w:rPr>
          <w:rFonts w:ascii="Times New Roman" w:hAnsi="Times New Roman" w:eastAsia="Times New Roman" w:cs="Times New Roman"/>
          <w:kern w:val="0"/>
          <w:sz w:val="24"/>
        </w:rPr>
      </w:pPr>
    </w:p>
    <w:p>
      <w:pPr>
        <w:pStyle w:val="9"/>
        <w:rPr>
          <w:rFonts w:ascii="Times New Roman" w:hAnsi="Times New Roman" w:eastAsia="Times New Roman" w:cs="Times New Roman"/>
          <w:kern w:val="0"/>
          <w:sz w:val="24"/>
        </w:rPr>
        <w:sectPr>
          <w:footerReference r:id="rId3" w:type="default"/>
          <w:pgSz w:w="11906" w:h="16838"/>
          <w:pgMar w:top="1984" w:right="1587" w:bottom="1984" w:left="1587" w:header="851" w:footer="992" w:gutter="0"/>
          <w:pgNumType w:fmt="numberInDash" w:start="2"/>
          <w:cols w:space="0" w:num="1"/>
          <w:rtlGutter w:val="0"/>
          <w:docGrid w:type="lines" w:linePitch="312" w:charSpace="0"/>
        </w:sectPr>
      </w:pPr>
    </w:p>
    <w:p>
      <w:pPr>
        <w:pageBreakBefore w:val="0"/>
        <w:kinsoku/>
        <w:wordWrap/>
        <w:overflowPunct/>
        <w:topLinePunct w:val="0"/>
        <w:autoSpaceDE w:val="0"/>
        <w:autoSpaceDN w:val="0"/>
        <w:bidi w:val="0"/>
        <w:adjustRightInd w:val="0"/>
        <w:spacing w:beforeLines="0" w:afterLines="0" w:line="600" w:lineRule="exact"/>
        <w:ind w:left="0" w:leftChars="0" w:firstLine="0" w:firstLineChars="0"/>
        <w:jc w:val="both"/>
        <w:textAlignment w:val="auto"/>
        <w:rPr>
          <w:rFonts w:hint="default" w:ascii="Times New Roman" w:hAnsi="Courier New" w:eastAsia="Times New Roman"/>
          <w:b/>
          <w:color w:val="auto"/>
          <w:kern w:val="2"/>
          <w:sz w:val="48"/>
          <w:szCs w:val="24"/>
        </w:rPr>
      </w:pPr>
    </w:p>
    <w:p>
      <w:pPr>
        <w:pageBreakBefore w:val="0"/>
        <w:kinsoku/>
        <w:wordWrap/>
        <w:overflowPunct/>
        <w:topLinePunct w:val="0"/>
        <w:autoSpaceDE w:val="0"/>
        <w:autoSpaceDN w:val="0"/>
        <w:bidi w:val="0"/>
        <w:adjustRightInd w:val="0"/>
        <w:spacing w:beforeLines="0" w:afterLines="0" w:line="600" w:lineRule="exact"/>
        <w:ind w:left="0" w:leftChars="0" w:firstLine="0" w:firstLineChars="0"/>
        <w:jc w:val="center"/>
        <w:textAlignment w:val="auto"/>
        <w:rPr>
          <w:rFonts w:hint="eastAsia" w:ascii="黑体" w:hAnsi="黑体" w:eastAsia="黑体" w:cs="黑体"/>
          <w:b w:val="0"/>
          <w:bCs/>
          <w:color w:val="auto"/>
          <w:kern w:val="2"/>
          <w:sz w:val="48"/>
          <w:szCs w:val="24"/>
        </w:rPr>
      </w:pPr>
      <w:r>
        <w:rPr>
          <w:rFonts w:hint="eastAsia" w:ascii="黑体" w:hAnsi="黑体" w:eastAsia="黑体" w:cs="黑体"/>
          <w:b w:val="0"/>
          <w:bCs/>
          <w:color w:val="auto"/>
          <w:kern w:val="2"/>
          <w:sz w:val="48"/>
          <w:szCs w:val="24"/>
        </w:rPr>
        <w:t>目 录</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lang w:eastAsia="zh-CN"/>
        </w:rPr>
      </w:pP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黑体" w:hAnsi="黑体" w:eastAsia="黑体"/>
          <w:color w:val="auto"/>
          <w:kern w:val="2"/>
          <w:sz w:val="32"/>
          <w:szCs w:val="24"/>
        </w:rPr>
      </w:pPr>
      <w:r>
        <w:rPr>
          <w:rFonts w:hint="eastAsia" w:ascii="黑体" w:hAnsi="黑体" w:eastAsia="黑体"/>
          <w:color w:val="auto"/>
          <w:kern w:val="2"/>
          <w:sz w:val="32"/>
          <w:szCs w:val="24"/>
        </w:rPr>
        <w:t>第一部分 部门概况</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一、主要职能、职责</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二、部门机构设置及决算单位构成情况</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三、</w:t>
      </w:r>
      <w:r>
        <w:rPr>
          <w:rFonts w:hint="eastAsia" w:ascii="仿宋_GB2312" w:hAnsi="仿宋_GB2312" w:eastAsia="仿宋_GB2312"/>
          <w:color w:val="auto"/>
          <w:kern w:val="2"/>
          <w:sz w:val="32"/>
          <w:szCs w:val="24"/>
          <w:lang w:eastAsia="zh-CN"/>
        </w:rPr>
        <w:t>202</w:t>
      </w:r>
      <w:r>
        <w:rPr>
          <w:rFonts w:hint="eastAsia"/>
          <w:color w:val="auto"/>
          <w:kern w:val="2"/>
          <w:sz w:val="32"/>
          <w:szCs w:val="24"/>
          <w:lang w:val="en-US" w:eastAsia="zh-CN"/>
        </w:rPr>
        <w:t>5</w:t>
      </w:r>
      <w:r>
        <w:rPr>
          <w:rFonts w:hint="eastAsia" w:ascii="仿宋_GB2312" w:hAnsi="仿宋_GB2312" w:eastAsia="仿宋_GB2312"/>
          <w:color w:val="auto"/>
          <w:kern w:val="2"/>
          <w:sz w:val="32"/>
          <w:szCs w:val="24"/>
        </w:rPr>
        <w:t>年度部门主要工作完成情况</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黑体" w:hAnsi="黑体" w:eastAsia="黑体"/>
          <w:color w:val="auto"/>
          <w:kern w:val="2"/>
          <w:sz w:val="32"/>
          <w:szCs w:val="24"/>
        </w:rPr>
      </w:pPr>
      <w:r>
        <w:rPr>
          <w:rFonts w:hint="eastAsia" w:ascii="黑体" w:hAnsi="黑体" w:eastAsia="黑体"/>
          <w:color w:val="auto"/>
          <w:kern w:val="2"/>
          <w:sz w:val="32"/>
          <w:szCs w:val="24"/>
        </w:rPr>
        <w:t xml:space="preserve">第二部分 </w:t>
      </w:r>
      <w:r>
        <w:rPr>
          <w:rFonts w:hint="eastAsia" w:ascii="黑体" w:hAnsi="黑体" w:eastAsia="黑体"/>
          <w:color w:val="auto"/>
          <w:kern w:val="2"/>
          <w:sz w:val="32"/>
          <w:szCs w:val="24"/>
          <w:lang w:val="en-US" w:eastAsia="zh-CN"/>
        </w:rPr>
        <w:t>2025年度</w:t>
      </w:r>
      <w:r>
        <w:rPr>
          <w:rFonts w:hint="eastAsia" w:ascii="黑体" w:hAnsi="黑体" w:eastAsia="黑体"/>
          <w:color w:val="auto"/>
          <w:kern w:val="2"/>
          <w:sz w:val="32"/>
          <w:szCs w:val="24"/>
        </w:rPr>
        <w:t>部门决算情况说明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一、收入支出决算总体情况说明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二、收入决算情况说明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三、支出决算情况说明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四、财政拨款收入支出决算总体情况说明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五、一般公共预算财政拨款支出决算情况说明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六、一般公共预算财政拨款基本支出决算情况说明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七、一般公共预算财政拨款项目支出决算情况说明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八、财政拨款“三公”经费支出决算情况说明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九、政府性基金预算财政拨款支出决算情况说明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十、国有资本经营预算财政拨款支出决算情况说明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十一、机构运行经费支出决算情况说明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十</w:t>
      </w:r>
      <w:r>
        <w:rPr>
          <w:rFonts w:hint="eastAsia" w:ascii="仿宋_GB2312" w:hAnsi="仿宋_GB2312" w:eastAsia="仿宋_GB2312"/>
          <w:color w:val="auto"/>
          <w:kern w:val="2"/>
          <w:sz w:val="32"/>
          <w:szCs w:val="24"/>
          <w:lang w:val="en-US" w:eastAsia="zh-CN"/>
        </w:rPr>
        <w:t>二</w:t>
      </w:r>
      <w:r>
        <w:rPr>
          <w:rFonts w:hint="eastAsia" w:ascii="仿宋_GB2312" w:hAnsi="仿宋_GB2312" w:eastAsia="仿宋_GB2312"/>
          <w:color w:val="auto"/>
          <w:kern w:val="2"/>
          <w:sz w:val="32"/>
          <w:szCs w:val="24"/>
        </w:rPr>
        <w:t>、政府采购支出决算情况说明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十</w:t>
      </w:r>
      <w:r>
        <w:rPr>
          <w:rFonts w:hint="eastAsia" w:ascii="仿宋_GB2312" w:hAnsi="仿宋_GB2312" w:eastAsia="仿宋_GB2312"/>
          <w:color w:val="auto"/>
          <w:kern w:val="2"/>
          <w:sz w:val="32"/>
          <w:szCs w:val="24"/>
          <w:lang w:val="en-US" w:eastAsia="zh-CN"/>
        </w:rPr>
        <w:t>三</w:t>
      </w:r>
      <w:r>
        <w:rPr>
          <w:rFonts w:hint="eastAsia" w:ascii="仿宋_GB2312" w:hAnsi="仿宋_GB2312" w:eastAsia="仿宋_GB2312"/>
          <w:color w:val="auto"/>
          <w:kern w:val="2"/>
          <w:sz w:val="32"/>
          <w:szCs w:val="24"/>
        </w:rPr>
        <w:t>、国有资产占用情况说明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十</w:t>
      </w:r>
      <w:r>
        <w:rPr>
          <w:rFonts w:hint="eastAsia" w:ascii="仿宋_GB2312" w:hAnsi="仿宋_GB2312" w:eastAsia="仿宋_GB2312"/>
          <w:color w:val="auto"/>
          <w:kern w:val="2"/>
          <w:sz w:val="32"/>
          <w:szCs w:val="24"/>
          <w:lang w:val="en-US" w:eastAsia="zh-CN"/>
        </w:rPr>
        <w:t>四</w:t>
      </w:r>
      <w:r>
        <w:rPr>
          <w:rFonts w:hint="eastAsia" w:ascii="仿宋_GB2312" w:hAnsi="仿宋_GB2312" w:eastAsia="仿宋_GB2312"/>
          <w:color w:val="auto"/>
          <w:kern w:val="2"/>
          <w:sz w:val="32"/>
          <w:szCs w:val="24"/>
        </w:rPr>
        <w:t>、预算绩效情况说明</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黑体" w:hAnsi="黑体" w:eastAsia="黑体"/>
          <w:color w:val="auto"/>
          <w:kern w:val="2"/>
          <w:sz w:val="32"/>
          <w:szCs w:val="24"/>
        </w:rPr>
      </w:pPr>
      <w:r>
        <w:rPr>
          <w:rFonts w:hint="eastAsia" w:ascii="黑体" w:hAnsi="黑体" w:eastAsia="黑体"/>
          <w:color w:val="auto"/>
          <w:kern w:val="2"/>
          <w:sz w:val="32"/>
          <w:szCs w:val="24"/>
        </w:rPr>
        <w:t>第三部分 名词解释</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黑体" w:hAnsi="黑体" w:eastAsia="黑体"/>
          <w:color w:val="auto"/>
          <w:kern w:val="2"/>
          <w:sz w:val="32"/>
          <w:szCs w:val="24"/>
        </w:rPr>
      </w:pPr>
      <w:r>
        <w:rPr>
          <w:rFonts w:hint="eastAsia" w:ascii="黑体" w:hAnsi="黑体" w:eastAsia="黑体"/>
          <w:color w:val="auto"/>
          <w:kern w:val="2"/>
          <w:sz w:val="32"/>
          <w:szCs w:val="24"/>
        </w:rPr>
        <w:t>第四部分 决算公开联系方式及信息反馈渠道</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黑体" w:hAnsi="黑体" w:eastAsia="黑体"/>
          <w:color w:val="auto"/>
          <w:kern w:val="2"/>
          <w:sz w:val="32"/>
          <w:szCs w:val="24"/>
        </w:rPr>
      </w:pPr>
      <w:r>
        <w:rPr>
          <w:rFonts w:hint="eastAsia" w:ascii="黑体" w:hAnsi="黑体" w:eastAsia="黑体"/>
          <w:color w:val="auto"/>
          <w:kern w:val="2"/>
          <w:sz w:val="32"/>
          <w:szCs w:val="24"/>
        </w:rPr>
        <w:t xml:space="preserve">第五部分 </w:t>
      </w:r>
      <w:r>
        <w:rPr>
          <w:rFonts w:hint="eastAsia" w:ascii="黑体" w:hAnsi="黑体" w:eastAsia="黑体"/>
          <w:color w:val="auto"/>
          <w:kern w:val="2"/>
          <w:sz w:val="32"/>
          <w:szCs w:val="24"/>
          <w:lang w:val="en-US" w:eastAsia="zh-CN"/>
        </w:rPr>
        <w:t>2025年度</w:t>
      </w:r>
      <w:r>
        <w:rPr>
          <w:rFonts w:hint="eastAsia" w:ascii="黑体" w:hAnsi="黑体" w:eastAsia="黑体"/>
          <w:color w:val="auto"/>
          <w:kern w:val="2"/>
          <w:sz w:val="32"/>
          <w:szCs w:val="24"/>
        </w:rPr>
        <w:t>部门决算表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一、收入支出决算总表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二、收入决算表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highlight w:val="none"/>
        </w:rPr>
      </w:pPr>
      <w:r>
        <w:rPr>
          <w:rFonts w:hint="eastAsia" w:ascii="仿宋_GB2312" w:hAnsi="仿宋_GB2312" w:eastAsia="仿宋_GB2312"/>
          <w:color w:val="auto"/>
          <w:kern w:val="2"/>
          <w:sz w:val="32"/>
          <w:szCs w:val="24"/>
          <w:highlight w:val="none"/>
        </w:rPr>
        <w:t>三、支出决算表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highlight w:val="none"/>
        </w:rPr>
      </w:pPr>
      <w:r>
        <w:rPr>
          <w:rFonts w:hint="eastAsia" w:ascii="仿宋_GB2312" w:hAnsi="仿宋_GB2312" w:eastAsia="仿宋_GB2312"/>
          <w:color w:val="auto"/>
          <w:kern w:val="2"/>
          <w:sz w:val="32"/>
          <w:szCs w:val="24"/>
          <w:highlight w:val="none"/>
        </w:rPr>
        <w:t>四、财政拨款收入支出决算总表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color w:val="auto"/>
          <w:kern w:val="2"/>
          <w:sz w:val="32"/>
          <w:szCs w:val="24"/>
          <w:highlight w:val="none"/>
          <w:lang w:val="en-US" w:eastAsia="zh-CN"/>
        </w:rPr>
        <w:t>五</w:t>
      </w:r>
      <w:r>
        <w:rPr>
          <w:rFonts w:hint="eastAsia" w:ascii="仿宋_GB2312" w:hAnsi="仿宋_GB2312" w:eastAsia="仿宋_GB2312"/>
          <w:color w:val="auto"/>
          <w:kern w:val="2"/>
          <w:sz w:val="32"/>
          <w:szCs w:val="24"/>
          <w:highlight w:val="none"/>
        </w:rPr>
        <w:t>、一般公共预算财政拨款</w:t>
      </w:r>
      <w:r>
        <w:rPr>
          <w:rFonts w:hint="eastAsia" w:ascii="仿宋_GB2312" w:hAnsi="仿宋_GB2312" w:eastAsia="仿宋_GB2312"/>
          <w:color w:val="auto"/>
          <w:kern w:val="2"/>
          <w:sz w:val="32"/>
          <w:szCs w:val="24"/>
        </w:rPr>
        <w:t>支出决算表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color w:val="auto"/>
          <w:kern w:val="2"/>
          <w:sz w:val="32"/>
          <w:szCs w:val="24"/>
          <w:lang w:val="en-US" w:eastAsia="zh-CN"/>
        </w:rPr>
        <w:t>六</w:t>
      </w:r>
      <w:r>
        <w:rPr>
          <w:rFonts w:hint="eastAsia" w:ascii="仿宋_GB2312" w:hAnsi="仿宋_GB2312" w:eastAsia="仿宋_GB2312"/>
          <w:color w:val="auto"/>
          <w:kern w:val="2"/>
          <w:sz w:val="32"/>
          <w:szCs w:val="24"/>
        </w:rPr>
        <w:t>、一般公共预算财政拨款基本支出决算明细表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color w:val="auto"/>
          <w:kern w:val="2"/>
          <w:sz w:val="32"/>
          <w:szCs w:val="24"/>
          <w:lang w:val="en-US" w:eastAsia="zh-CN"/>
        </w:rPr>
        <w:t>七</w:t>
      </w:r>
      <w:r>
        <w:rPr>
          <w:rFonts w:hint="eastAsia" w:ascii="仿宋_GB2312" w:hAnsi="仿宋_GB2312" w:eastAsia="仿宋_GB2312"/>
          <w:color w:val="auto"/>
          <w:kern w:val="2"/>
          <w:sz w:val="32"/>
          <w:szCs w:val="24"/>
        </w:rPr>
        <w:t>、一般公共预算财政拨款项目支出决算明细表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color w:val="auto"/>
          <w:kern w:val="2"/>
          <w:sz w:val="32"/>
          <w:szCs w:val="24"/>
          <w:lang w:val="en-US" w:eastAsia="zh-CN"/>
        </w:rPr>
        <w:t>八</w:t>
      </w:r>
      <w:r>
        <w:rPr>
          <w:rFonts w:hint="eastAsia" w:ascii="仿宋_GB2312" w:hAnsi="仿宋_GB2312" w:eastAsia="仿宋_GB2312"/>
          <w:color w:val="auto"/>
          <w:kern w:val="2"/>
          <w:sz w:val="32"/>
          <w:szCs w:val="24"/>
        </w:rPr>
        <w:t>、政府性基金预算财政拨款收入支出决算表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color w:val="auto"/>
          <w:kern w:val="2"/>
          <w:sz w:val="32"/>
          <w:szCs w:val="24"/>
          <w:lang w:val="en-US" w:eastAsia="zh-CN"/>
        </w:rPr>
        <w:t>九</w:t>
      </w:r>
      <w:r>
        <w:rPr>
          <w:rFonts w:hint="eastAsia" w:ascii="仿宋_GB2312" w:hAnsi="仿宋_GB2312" w:eastAsia="仿宋_GB2312"/>
          <w:color w:val="auto"/>
          <w:kern w:val="2"/>
          <w:sz w:val="32"/>
          <w:szCs w:val="24"/>
        </w:rPr>
        <w:t>、国有资本经营预算财政拨款支出决算表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t>十、财政拨款“三公”经费支出决算表</w:t>
      </w:r>
    </w:p>
    <w:p>
      <w:pPr>
        <w:pageBreakBefore w:val="0"/>
        <w:kinsoku/>
        <w:wordWrap/>
        <w:overflowPunct/>
        <w:topLinePunct w:val="0"/>
        <w:autoSpaceDE w:val="0"/>
        <w:autoSpaceDN w:val="0"/>
        <w:bidi w:val="0"/>
        <w:adjustRightInd w:val="0"/>
        <w:spacing w:beforeLines="0" w:afterLines="0" w:line="600" w:lineRule="exact"/>
        <w:jc w:val="both"/>
        <w:textAlignment w:val="auto"/>
        <w:rPr>
          <w:rFonts w:ascii="Times New Roman" w:hAnsi="Times New Roman" w:eastAsia="Times New Roman" w:cs="Times New Roman"/>
          <w:kern w:val="0"/>
          <w:sz w:val="24"/>
        </w:rPr>
      </w:pPr>
      <w:r>
        <w:rPr>
          <w:rFonts w:hint="eastAsia" w:ascii="仿宋_GB2312" w:hAnsi="仿宋_GB2312" w:eastAsia="仿宋_GB2312"/>
          <w:color w:val="auto"/>
          <w:kern w:val="2"/>
          <w:sz w:val="32"/>
          <w:szCs w:val="24"/>
        </w:rPr>
        <w:t>十</w:t>
      </w:r>
      <w:r>
        <w:rPr>
          <w:rFonts w:hint="eastAsia"/>
          <w:color w:val="auto"/>
          <w:kern w:val="2"/>
          <w:sz w:val="32"/>
          <w:szCs w:val="24"/>
          <w:lang w:val="en-US" w:eastAsia="zh-CN"/>
        </w:rPr>
        <w:t>一</w:t>
      </w:r>
      <w:r>
        <w:rPr>
          <w:rFonts w:hint="eastAsia" w:ascii="仿宋_GB2312" w:hAnsi="仿宋_GB2312" w:eastAsia="仿宋_GB2312"/>
          <w:color w:val="auto"/>
          <w:kern w:val="2"/>
          <w:sz w:val="32"/>
          <w:szCs w:val="24"/>
        </w:rPr>
        <w:t>、机构运行经费支出、国有资产占用情况及政府采购支出信息表</w:t>
      </w:r>
    </w:p>
    <w:p>
      <w:pPr>
        <w:pageBreakBefore w:val="0"/>
        <w:widowControl/>
        <w:kinsoku/>
        <w:wordWrap/>
        <w:overflowPunct/>
        <w:topLinePunct w:val="0"/>
        <w:bidi w:val="0"/>
        <w:spacing w:before="240" w:after="240" w:line="600" w:lineRule="exact"/>
        <w:jc w:val="center"/>
        <w:textAlignment w:val="auto"/>
        <w:rPr>
          <w:rFonts w:hint="eastAsia" w:ascii="方正小标宋简体" w:hAnsi="方正小标宋简体" w:eastAsia="方正小标宋简体" w:cs="Times New Roman"/>
          <w:b w:val="0"/>
          <w:bCs w:val="0"/>
          <w:color w:val="auto"/>
          <w:kern w:val="2"/>
          <w:sz w:val="36"/>
          <w:szCs w:val="24"/>
          <w:lang w:val="en-US" w:eastAsia="zh-CN" w:bidi="ar-SA"/>
        </w:rPr>
        <w:sectPr>
          <w:footerReference r:id="rId4" w:type="default"/>
          <w:pgSz w:w="11906" w:h="16838"/>
          <w:pgMar w:top="1984" w:right="1587" w:bottom="1984" w:left="1587" w:header="851" w:footer="992" w:gutter="0"/>
          <w:pgNumType w:fmt="numberInDash" w:start="1"/>
          <w:cols w:space="0" w:num="1"/>
          <w:rtlGutter w:val="0"/>
          <w:docGrid w:type="lines" w:linePitch="312" w:charSpace="0"/>
        </w:sectPr>
      </w:pPr>
    </w:p>
    <w:p>
      <w:pPr>
        <w:pStyle w:val="2"/>
        <w:bidi w:val="0"/>
        <w:rPr>
          <w:rFonts w:hint="eastAsia"/>
          <w:lang w:val="en-US" w:eastAsia="zh-CN"/>
        </w:rPr>
      </w:pPr>
      <w:r>
        <w:rPr>
          <w:rFonts w:hint="eastAsia"/>
          <w:lang w:val="en-US" w:eastAsia="zh-CN"/>
        </w:rPr>
        <w:t>第一部分 部门概况</w:t>
      </w:r>
    </w:p>
    <w:p>
      <w:pPr>
        <w:pageBreakBefore w:val="0"/>
        <w:kinsoku/>
        <w:wordWrap/>
        <w:overflowPunct/>
        <w:topLinePunct w:val="0"/>
        <w:autoSpaceDE w:val="0"/>
        <w:autoSpaceDN w:val="0"/>
        <w:bidi w:val="0"/>
        <w:adjustRightInd w:val="0"/>
        <w:spacing w:beforeLines="0" w:afterLines="0" w:line="600" w:lineRule="exact"/>
        <w:ind w:firstLine="643"/>
        <w:jc w:val="both"/>
        <w:textAlignment w:val="auto"/>
        <w:rPr>
          <w:rFonts w:ascii="黑体" w:hAnsi="黑体" w:eastAsia="黑体" w:cs="黑体"/>
          <w:b w:val="0"/>
          <w:bCs w:val="0"/>
          <w:kern w:val="0"/>
          <w:sz w:val="32"/>
          <w:szCs w:val="32"/>
        </w:rPr>
      </w:pPr>
    </w:p>
    <w:p>
      <w:pPr>
        <w:pStyle w:val="3"/>
        <w:bidi w:val="0"/>
        <w:rPr>
          <w:rFonts w:hint="eastAsia"/>
        </w:rPr>
      </w:pPr>
      <w:r>
        <w:t>一、主要职能、职</w:t>
      </w:r>
      <w:r>
        <w:rPr>
          <w:rFonts w:hint="eastAsia"/>
        </w:rPr>
        <w:t>责</w:t>
      </w:r>
    </w:p>
    <w:p>
      <w:pPr>
        <w:bidi w:val="0"/>
        <w:rPr>
          <w:rFonts w:hint="eastAsia"/>
        </w:rPr>
      </w:pPr>
      <w:r>
        <w:rPr>
          <w:rFonts w:hint="eastAsia"/>
        </w:rPr>
        <w:t>中国共产党赤峰市委员会统一战线工作部，简称“赤峰市委统战部”，是赤峰市委主管统一战线工作的职能部门，是赤峰市委在统一战线工作方面的参谋机构、组织协调机构、具体执行机构、督促检查机构，承担了解情况、掌握政策、协调关系、安排人事、增进共识、加强团结等职责。其主要工作领域包括：民主党派和无党派人士工作、党外知识分子工作、民族工作、宗教工作、非公有制经济统一战线工作、新的社会阶层人士统一战线工作、港澳台统一战线工作、海外统一战线工作和侨务工作、党外代表人士队伍建设等。</w:t>
      </w:r>
    </w:p>
    <w:p>
      <w:pPr>
        <w:pStyle w:val="3"/>
        <w:bidi w:val="0"/>
      </w:pPr>
      <w:r>
        <w:t>二、部门机构设置及决算单位构成情况</w:t>
      </w:r>
    </w:p>
    <w:p>
      <w:pPr>
        <w:bidi w:val="0"/>
        <w:rPr>
          <w:rFonts w:hint="eastAsia" w:ascii="仿宋_GB2312" w:hAnsi="仿宋_GB2312" w:eastAsia="仿宋_GB2312" w:cs="Times New Roman"/>
          <w:color w:val="auto"/>
          <w:sz w:val="32"/>
          <w:szCs w:val="24"/>
          <w:lang w:val="en-US"/>
        </w:rPr>
      </w:pPr>
      <w:r>
        <w:rPr>
          <w:rFonts w:hint="eastAsia" w:ascii="仿宋_GB2312" w:hAnsi="仿宋_GB2312" w:eastAsia="仿宋_GB2312"/>
          <w:color w:val="auto"/>
          <w:sz w:val="32"/>
          <w:szCs w:val="24"/>
          <w:lang w:val="en-US" w:eastAsia="zh-CN"/>
        </w:rPr>
        <w:t>1.</w:t>
      </w:r>
      <w:r>
        <w:rPr>
          <w:rFonts w:hint="eastAsia" w:ascii="仿宋_GB2312" w:hAnsi="仿宋_GB2312" w:eastAsia="仿宋_GB2312"/>
          <w:color w:val="auto"/>
          <w:sz w:val="32"/>
          <w:szCs w:val="24"/>
          <w:lang w:val="en-US"/>
        </w:rPr>
        <w:t>根据部门职责分工，赤峰市委统战部内设办公室、研究室、综合协调科</w:t>
      </w:r>
      <w:r>
        <w:rPr>
          <w:rFonts w:hint="eastAsia"/>
          <w:color w:val="auto"/>
          <w:sz w:val="32"/>
          <w:szCs w:val="24"/>
          <w:lang w:val="en-US" w:eastAsia="zh-CN"/>
        </w:rPr>
        <w:t>、</w:t>
      </w:r>
      <w:r>
        <w:rPr>
          <w:rFonts w:hint="eastAsia" w:ascii="仿宋_GB2312" w:hAnsi="仿宋_GB2312" w:eastAsia="仿宋_GB2312"/>
          <w:color w:val="auto"/>
          <w:sz w:val="32"/>
          <w:szCs w:val="24"/>
          <w:lang w:val="en-US"/>
        </w:rPr>
        <w:t>一科</w:t>
      </w:r>
      <w:r>
        <w:rPr>
          <w:rFonts w:hint="eastAsia" w:ascii="仿宋_GB2312" w:hAnsi="仿宋_GB2312" w:eastAsia="仿宋_GB2312" w:cs="Times New Roman"/>
          <w:color w:val="auto"/>
          <w:kern w:val="2"/>
          <w:sz w:val="32"/>
          <w:szCs w:val="24"/>
        </w:rPr>
        <w:t>（党外干部和民主</w:t>
      </w:r>
      <w:r>
        <w:rPr>
          <w:rFonts w:hint="eastAsia" w:ascii="仿宋_GB2312" w:hAnsi="仿宋_GB2312" w:eastAsia="仿宋_GB2312"/>
          <w:color w:val="auto"/>
          <w:sz w:val="32"/>
          <w:szCs w:val="24"/>
        </w:rPr>
        <w:t>党派科）、二科（民族工作科）、三科（港澳台侨工作科）、四科（非公有制经济工作科）</w:t>
      </w:r>
      <w:r>
        <w:rPr>
          <w:rFonts w:hint="eastAsia" w:ascii="仿宋_GB2312" w:hAnsi="仿宋_GB2312" w:eastAsia="仿宋_GB2312"/>
          <w:color w:val="auto"/>
          <w:sz w:val="32"/>
          <w:szCs w:val="24"/>
          <w:lang w:val="zh-CN"/>
        </w:rPr>
        <w:t>、</w:t>
      </w:r>
      <w:r>
        <w:rPr>
          <w:rFonts w:hint="eastAsia" w:ascii="仿宋_GB2312" w:hAnsi="仿宋_GB2312" w:eastAsia="仿宋_GB2312"/>
          <w:color w:val="auto"/>
          <w:sz w:val="32"/>
          <w:szCs w:val="24"/>
          <w:lang w:val="en-US"/>
        </w:rPr>
        <w:t>五科（新的社会阶层人士统战和无党派人士、党外知识分子工作科）、六科（宗教综合科）、七科（宗教业务科）</w:t>
      </w:r>
      <w:r>
        <w:rPr>
          <w:rFonts w:hint="eastAsia" w:ascii="仿宋_GB2312" w:hAnsi="仿宋_GB2312" w:eastAsia="仿宋_GB2312"/>
          <w:color w:val="auto"/>
          <w:sz w:val="32"/>
          <w:szCs w:val="24"/>
          <w:lang w:val="en-US" w:eastAsia="zh-CN"/>
        </w:rPr>
        <w:t>，</w:t>
      </w:r>
      <w:r>
        <w:rPr>
          <w:rFonts w:hint="eastAsia" w:ascii="仿宋_GB2312" w:hAnsi="仿宋_GB2312" w:eastAsia="仿宋_GB2312"/>
          <w:color w:val="auto"/>
          <w:sz w:val="32"/>
          <w:szCs w:val="24"/>
          <w:lang w:val="en-US"/>
        </w:rPr>
        <w:t>下设公益一类事业单位</w:t>
      </w:r>
      <w:r>
        <w:rPr>
          <w:rFonts w:hint="eastAsia"/>
          <w:color w:val="auto"/>
          <w:sz w:val="32"/>
          <w:szCs w:val="24"/>
          <w:lang w:val="en-US" w:eastAsia="zh-CN"/>
        </w:rPr>
        <w:t>—赤峰市</w:t>
      </w:r>
      <w:r>
        <w:rPr>
          <w:rFonts w:hint="eastAsia" w:ascii="仿宋_GB2312" w:hAnsi="仿宋_GB2312" w:eastAsia="仿宋_GB2312"/>
          <w:color w:val="auto"/>
          <w:sz w:val="32"/>
          <w:szCs w:val="24"/>
          <w:lang w:val="en-US"/>
        </w:rPr>
        <w:t>党外人士联络服务中心、</w:t>
      </w:r>
      <w:r>
        <w:rPr>
          <w:rFonts w:hint="eastAsia"/>
          <w:color w:val="auto"/>
          <w:sz w:val="32"/>
          <w:szCs w:val="24"/>
          <w:lang w:val="en-US" w:eastAsia="zh-CN"/>
        </w:rPr>
        <w:t>赤峰市</w:t>
      </w:r>
      <w:r>
        <w:rPr>
          <w:rFonts w:hint="eastAsia" w:ascii="仿宋_GB2312" w:hAnsi="仿宋_GB2312" w:eastAsia="仿宋_GB2312"/>
          <w:color w:val="auto"/>
          <w:sz w:val="32"/>
          <w:szCs w:val="24"/>
          <w:lang w:val="en-US"/>
        </w:rPr>
        <w:t>宗教事务</w:t>
      </w:r>
      <w:r>
        <w:rPr>
          <w:rFonts w:hint="eastAsia" w:ascii="仿宋_GB2312" w:hAnsi="仿宋_GB2312" w:eastAsia="仿宋_GB2312"/>
          <w:color w:val="auto"/>
          <w:sz w:val="32"/>
          <w:szCs w:val="24"/>
          <w:lang w:val="en-US" w:eastAsia="zh-CN"/>
        </w:rPr>
        <w:t>服务保障中心，两个事业单位无独立法人、统一社会信用代码证，财务由中共赤峰市委统一战线工作部统一管理，不单独核算</w:t>
      </w:r>
      <w:r>
        <w:rPr>
          <w:rFonts w:hint="eastAsia" w:ascii="仿宋_GB2312" w:hAnsi="仿宋_GB2312" w:eastAsia="仿宋_GB2312" w:cs="Times New Roman"/>
          <w:color w:val="auto"/>
          <w:sz w:val="32"/>
          <w:szCs w:val="24"/>
          <w:lang w:val="en-US" w:eastAsia="zh-CN"/>
        </w:rPr>
        <w:t>。</w:t>
      </w:r>
      <w:r>
        <w:rPr>
          <w:rFonts w:hint="eastAsia" w:ascii="仿宋_GB2312" w:hAnsi="仿宋_GB2312" w:eastAsia="仿宋_GB2312"/>
          <w:color w:val="auto"/>
          <w:sz w:val="32"/>
          <w:szCs w:val="24"/>
          <w:lang w:val="en-US"/>
        </w:rPr>
        <w:t>截至</w:t>
      </w:r>
      <w:r>
        <w:rPr>
          <w:rFonts w:hint="eastAsia" w:ascii="仿宋_GB2312" w:hAnsi="仿宋_GB2312" w:eastAsia="仿宋_GB2312"/>
          <w:color w:val="auto"/>
          <w:sz w:val="32"/>
          <w:szCs w:val="24"/>
          <w:lang w:val="en-US" w:eastAsia="zh-CN"/>
        </w:rPr>
        <w:t>202</w:t>
      </w:r>
      <w:r>
        <w:rPr>
          <w:rFonts w:hint="eastAsia"/>
          <w:color w:val="auto"/>
          <w:sz w:val="32"/>
          <w:szCs w:val="24"/>
          <w:lang w:val="en-US" w:eastAsia="zh-CN"/>
        </w:rPr>
        <w:t>5</w:t>
      </w:r>
      <w:r>
        <w:rPr>
          <w:rFonts w:hint="eastAsia" w:ascii="仿宋_GB2312" w:hAnsi="仿宋_GB2312" w:eastAsia="仿宋_GB2312"/>
          <w:color w:val="auto"/>
          <w:sz w:val="32"/>
          <w:szCs w:val="24"/>
          <w:lang w:val="en-US"/>
        </w:rPr>
        <w:t>年末，共有行政编制30个</w:t>
      </w:r>
      <w:r>
        <w:rPr>
          <w:rFonts w:hint="eastAsia" w:ascii="仿宋_GB2312" w:hAnsi="仿宋_GB2312" w:eastAsia="仿宋_GB2312"/>
          <w:color w:val="auto"/>
          <w:sz w:val="32"/>
          <w:szCs w:val="24"/>
          <w:lang w:val="en-US" w:eastAsia="zh-CN"/>
        </w:rPr>
        <w:t>、</w:t>
      </w:r>
      <w:r>
        <w:rPr>
          <w:rFonts w:hint="eastAsia" w:ascii="仿宋_GB2312" w:hAnsi="仿宋_GB2312" w:eastAsia="仿宋_GB2312"/>
          <w:color w:val="auto"/>
          <w:sz w:val="32"/>
          <w:szCs w:val="24"/>
          <w:lang w:val="en-US"/>
        </w:rPr>
        <w:t>工勤编制</w:t>
      </w:r>
      <w:r>
        <w:rPr>
          <w:rFonts w:hint="eastAsia" w:ascii="仿宋_GB2312" w:hAnsi="仿宋_GB2312" w:eastAsia="仿宋_GB2312"/>
          <w:color w:val="auto"/>
          <w:sz w:val="32"/>
          <w:szCs w:val="24"/>
          <w:lang w:val="en-US" w:eastAsia="zh-CN"/>
        </w:rPr>
        <w:t>2</w:t>
      </w:r>
      <w:r>
        <w:rPr>
          <w:rFonts w:hint="eastAsia" w:ascii="仿宋_GB2312" w:hAnsi="仿宋_GB2312" w:eastAsia="仿宋_GB2312"/>
          <w:color w:val="auto"/>
          <w:sz w:val="32"/>
          <w:szCs w:val="24"/>
          <w:lang w:val="en-US"/>
        </w:rPr>
        <w:t>个</w:t>
      </w:r>
      <w:r>
        <w:rPr>
          <w:rFonts w:hint="eastAsia" w:ascii="仿宋_GB2312" w:hAnsi="仿宋_GB2312" w:eastAsia="仿宋_GB2312"/>
          <w:color w:val="auto"/>
          <w:sz w:val="32"/>
          <w:szCs w:val="24"/>
          <w:lang w:val="en-US" w:eastAsia="zh-CN"/>
        </w:rPr>
        <w:t>、</w:t>
      </w:r>
      <w:r>
        <w:rPr>
          <w:rFonts w:hint="eastAsia" w:ascii="仿宋_GB2312" w:hAnsi="仿宋_GB2312" w:eastAsia="仿宋_GB2312"/>
          <w:color w:val="auto"/>
          <w:sz w:val="32"/>
          <w:szCs w:val="24"/>
          <w:lang w:val="en-US"/>
        </w:rPr>
        <w:t>事业编制1</w:t>
      </w:r>
      <w:r>
        <w:rPr>
          <w:rFonts w:hint="eastAsia" w:ascii="仿宋_GB2312" w:hAnsi="仿宋_GB2312" w:eastAsia="仿宋_GB2312"/>
          <w:color w:val="auto"/>
          <w:sz w:val="32"/>
          <w:szCs w:val="24"/>
          <w:lang w:val="en-US" w:eastAsia="zh-CN"/>
        </w:rPr>
        <w:t>4</w:t>
      </w:r>
      <w:r>
        <w:rPr>
          <w:rFonts w:hint="eastAsia" w:ascii="仿宋_GB2312" w:hAnsi="仿宋_GB2312" w:eastAsia="仿宋_GB2312"/>
          <w:color w:val="auto"/>
          <w:sz w:val="32"/>
          <w:szCs w:val="24"/>
          <w:lang w:val="en-US"/>
        </w:rPr>
        <w:t>个，其中</w:t>
      </w:r>
      <w:r>
        <w:rPr>
          <w:rFonts w:hint="eastAsia" w:ascii="仿宋_GB2312" w:hAnsi="仿宋_GB2312" w:eastAsia="仿宋_GB2312"/>
          <w:color w:val="auto"/>
          <w:sz w:val="32"/>
          <w:szCs w:val="24"/>
          <w:lang w:val="en-US" w:eastAsia="zh-CN"/>
        </w:rPr>
        <w:t>，</w:t>
      </w:r>
      <w:r>
        <w:rPr>
          <w:rFonts w:hint="eastAsia" w:ascii="仿宋_GB2312" w:hAnsi="仿宋_GB2312" w:eastAsia="仿宋_GB2312"/>
          <w:color w:val="auto"/>
          <w:sz w:val="32"/>
          <w:szCs w:val="24"/>
          <w:lang w:val="en-US"/>
        </w:rPr>
        <w:t>实有行政编制</w:t>
      </w:r>
      <w:r>
        <w:rPr>
          <w:rFonts w:hint="eastAsia" w:ascii="仿宋_GB2312" w:hAnsi="仿宋_GB2312" w:eastAsia="仿宋_GB2312"/>
          <w:color w:val="auto"/>
          <w:sz w:val="32"/>
          <w:szCs w:val="24"/>
          <w:lang w:val="en-US" w:eastAsia="zh-CN"/>
        </w:rPr>
        <w:t>2</w:t>
      </w:r>
      <w:r>
        <w:rPr>
          <w:rFonts w:hint="eastAsia"/>
          <w:color w:val="auto"/>
          <w:sz w:val="32"/>
          <w:szCs w:val="24"/>
          <w:lang w:val="en-US" w:eastAsia="zh-CN"/>
        </w:rPr>
        <w:t>7</w:t>
      </w:r>
      <w:r>
        <w:rPr>
          <w:rFonts w:hint="eastAsia" w:ascii="仿宋_GB2312" w:hAnsi="仿宋_GB2312" w:eastAsia="仿宋_GB2312"/>
          <w:color w:val="auto"/>
          <w:sz w:val="32"/>
          <w:szCs w:val="24"/>
          <w:lang w:val="en-US"/>
        </w:rPr>
        <w:t>人</w:t>
      </w:r>
      <w:r>
        <w:rPr>
          <w:rFonts w:hint="eastAsia" w:ascii="仿宋_GB2312" w:hAnsi="仿宋_GB2312" w:eastAsia="仿宋_GB2312"/>
          <w:color w:val="auto"/>
          <w:sz w:val="32"/>
          <w:szCs w:val="24"/>
          <w:lang w:val="en-US" w:eastAsia="zh-CN"/>
        </w:rPr>
        <w:t>、</w:t>
      </w:r>
      <w:r>
        <w:rPr>
          <w:rFonts w:hint="eastAsia" w:ascii="仿宋_GB2312" w:hAnsi="仿宋_GB2312" w:eastAsia="仿宋_GB2312"/>
          <w:color w:val="auto"/>
          <w:sz w:val="32"/>
          <w:szCs w:val="24"/>
          <w:lang w:val="en-US"/>
        </w:rPr>
        <w:t>工勤编制</w:t>
      </w:r>
      <w:r>
        <w:rPr>
          <w:rFonts w:hint="eastAsia" w:ascii="仿宋_GB2312" w:hAnsi="仿宋_GB2312" w:eastAsia="仿宋_GB2312"/>
          <w:color w:val="auto"/>
          <w:sz w:val="32"/>
          <w:szCs w:val="24"/>
          <w:lang w:val="en-US" w:eastAsia="zh-CN"/>
        </w:rPr>
        <w:t>2</w:t>
      </w:r>
      <w:r>
        <w:rPr>
          <w:rFonts w:hint="eastAsia" w:ascii="仿宋_GB2312" w:hAnsi="仿宋_GB2312" w:eastAsia="仿宋_GB2312"/>
          <w:color w:val="auto"/>
          <w:sz w:val="32"/>
          <w:szCs w:val="24"/>
          <w:lang w:val="en-US"/>
        </w:rPr>
        <w:t>人</w:t>
      </w:r>
      <w:r>
        <w:rPr>
          <w:rFonts w:hint="eastAsia" w:ascii="仿宋_GB2312" w:hAnsi="仿宋_GB2312" w:eastAsia="仿宋_GB2312"/>
          <w:color w:val="auto"/>
          <w:sz w:val="32"/>
          <w:szCs w:val="24"/>
          <w:lang w:val="en-US" w:eastAsia="zh-CN"/>
        </w:rPr>
        <w:t>、</w:t>
      </w:r>
      <w:r>
        <w:rPr>
          <w:rFonts w:hint="eastAsia" w:ascii="仿宋_GB2312" w:hAnsi="仿宋_GB2312" w:eastAsia="仿宋_GB2312"/>
          <w:color w:val="auto"/>
          <w:sz w:val="32"/>
          <w:szCs w:val="24"/>
          <w:lang w:val="en-US"/>
        </w:rPr>
        <w:t>事业编制</w:t>
      </w:r>
      <w:r>
        <w:rPr>
          <w:rFonts w:hint="eastAsia" w:ascii="仿宋_GB2312" w:hAnsi="仿宋_GB2312" w:eastAsia="仿宋_GB2312"/>
          <w:color w:val="auto"/>
          <w:sz w:val="32"/>
          <w:szCs w:val="24"/>
          <w:lang w:val="en-US" w:eastAsia="zh-CN"/>
        </w:rPr>
        <w:t>1</w:t>
      </w:r>
      <w:r>
        <w:rPr>
          <w:rFonts w:hint="eastAsia"/>
          <w:color w:val="auto"/>
          <w:sz w:val="32"/>
          <w:szCs w:val="24"/>
          <w:lang w:val="en-US" w:eastAsia="zh-CN"/>
        </w:rPr>
        <w:t>3</w:t>
      </w:r>
      <w:r>
        <w:rPr>
          <w:rFonts w:hint="eastAsia" w:ascii="仿宋_GB2312" w:hAnsi="仿宋_GB2312" w:eastAsia="仿宋_GB2312"/>
          <w:color w:val="auto"/>
          <w:sz w:val="32"/>
          <w:szCs w:val="24"/>
          <w:lang w:val="en-US"/>
        </w:rPr>
        <w:t>人。离休1人，遗属1人。</w:t>
      </w:r>
    </w:p>
    <w:p>
      <w:pPr>
        <w:bidi w:val="0"/>
        <w:rPr>
          <w:rFonts w:hint="eastAsia"/>
        </w:rPr>
      </w:pPr>
      <w:r>
        <w:rPr>
          <w:rFonts w:hint="eastAsia"/>
        </w:rPr>
        <w:t>2.从决算单位构成看，纳入本财政汇总决算编制范围的预算单位共计</w:t>
      </w:r>
      <w:r>
        <w:rPr>
          <w:rFonts w:hint="eastAsia"/>
          <w:lang w:val="en-US" w:eastAsia="zh-CN"/>
        </w:rPr>
        <w:t>1</w:t>
      </w:r>
      <w:r>
        <w:rPr>
          <w:rFonts w:hint="eastAsia"/>
        </w:rPr>
        <w:t>家，具体包括：</w:t>
      </w:r>
      <w:r>
        <w:rPr>
          <w:rFonts w:hint="eastAsia"/>
          <w:lang w:val="en-US" w:eastAsia="zh-CN"/>
        </w:rPr>
        <w:t>中共赤峰市委统一战线工作部</w:t>
      </w:r>
      <w:r>
        <w:rPr>
          <w:rFonts w:hint="eastAsia"/>
        </w:rPr>
        <w:t>部门本级。详细情况见表：</w:t>
      </w:r>
    </w:p>
    <w:tbl>
      <w:tblPr>
        <w:tblStyle w:val="17"/>
        <w:tblW w:w="4807" w:type="pct"/>
        <w:jc w:val="center"/>
        <w:tblLayout w:type="autofit"/>
        <w:tblCellMar>
          <w:top w:w="15" w:type="dxa"/>
          <w:left w:w="15" w:type="dxa"/>
          <w:bottom w:w="15" w:type="dxa"/>
          <w:right w:w="15" w:type="dxa"/>
        </w:tblCellMar>
      </w:tblPr>
      <w:tblGrid>
        <w:gridCol w:w="1192"/>
        <w:gridCol w:w="4139"/>
        <w:gridCol w:w="3211"/>
      </w:tblGrid>
      <w:tr>
        <w:tblPrEx>
          <w:tblCellMar>
            <w:top w:w="15" w:type="dxa"/>
            <w:left w:w="15" w:type="dxa"/>
            <w:bottom w:w="15" w:type="dxa"/>
            <w:right w:w="15" w:type="dxa"/>
          </w:tblCellMar>
        </w:tblPrEx>
        <w:trPr>
          <w:trHeight w:val="807" w:hRule="atLeast"/>
          <w:tblHeader/>
          <w:jc w:val="center"/>
        </w:trPr>
        <w:tc>
          <w:tcPr>
            <w:tcW w:w="698" w:type="pct"/>
            <w:tcBorders>
              <w:top w:val="single" w:color="auto" w:sz="4" w:space="0"/>
              <w:left w:val="single" w:color="auto" w:sz="4" w:space="0"/>
              <w:bottom w:val="single" w:color="auto" w:sz="4" w:space="0"/>
              <w:right w:val="single" w:color="auto" w:sz="4" w:space="0"/>
            </w:tcBorders>
            <w:noWrap w:val="0"/>
            <w:tcMar>
              <w:top w:w="20" w:type="dxa"/>
              <w:left w:w="20" w:type="dxa"/>
              <w:bottom w:w="20" w:type="dxa"/>
              <w:right w:w="20" w:type="dxa"/>
            </w:tcMar>
            <w:vAlign w:val="center"/>
          </w:tcPr>
          <w:p>
            <w:pPr>
              <w:pageBreakBefore w:val="0"/>
              <w:kinsoku/>
              <w:wordWrap/>
              <w:overflowPunct/>
              <w:topLinePunct w:val="0"/>
              <w:bidi w:val="0"/>
              <w:spacing w:before="100" w:beforeLines="0" w:after="100" w:afterLines="0" w:line="600" w:lineRule="exact"/>
              <w:ind w:left="0" w:leftChars="0" w:firstLine="0" w:firstLineChars="0"/>
              <w:jc w:val="center"/>
              <w:textAlignment w:val="auto"/>
              <w:rPr>
                <w:rFonts w:hint="eastAsia" w:ascii="黑体" w:hAnsi="黑体" w:eastAsia="黑体" w:cs="黑体"/>
                <w:color w:val="auto"/>
                <w:kern w:val="2"/>
                <w:sz w:val="32"/>
                <w:szCs w:val="24"/>
              </w:rPr>
            </w:pPr>
            <w:r>
              <w:rPr>
                <w:rFonts w:hint="eastAsia" w:ascii="黑体" w:hAnsi="黑体" w:eastAsia="黑体" w:cs="黑体"/>
                <w:color w:val="auto"/>
                <w:kern w:val="2"/>
                <w:sz w:val="32"/>
                <w:szCs w:val="24"/>
              </w:rPr>
              <w:t>序号</w:t>
            </w:r>
          </w:p>
        </w:tc>
        <w:tc>
          <w:tcPr>
            <w:tcW w:w="2422" w:type="pct"/>
            <w:tcBorders>
              <w:top w:val="single" w:color="auto" w:sz="4" w:space="0"/>
              <w:left w:val="single" w:color="auto" w:sz="4" w:space="0"/>
              <w:bottom w:val="single" w:color="auto" w:sz="4" w:space="0"/>
              <w:right w:val="single" w:color="auto" w:sz="4" w:space="0"/>
            </w:tcBorders>
            <w:noWrap w:val="0"/>
            <w:tcMar>
              <w:top w:w="20" w:type="dxa"/>
              <w:left w:w="20" w:type="dxa"/>
              <w:bottom w:w="20" w:type="dxa"/>
              <w:right w:w="20" w:type="dxa"/>
            </w:tcMar>
            <w:vAlign w:val="center"/>
          </w:tcPr>
          <w:p>
            <w:pPr>
              <w:pageBreakBefore w:val="0"/>
              <w:kinsoku/>
              <w:wordWrap/>
              <w:overflowPunct/>
              <w:topLinePunct w:val="0"/>
              <w:bidi w:val="0"/>
              <w:spacing w:before="100" w:beforeLines="0" w:after="100" w:afterLines="0" w:line="600" w:lineRule="exact"/>
              <w:ind w:left="0" w:leftChars="0" w:firstLine="0" w:firstLineChars="0"/>
              <w:jc w:val="center"/>
              <w:textAlignment w:val="auto"/>
              <w:rPr>
                <w:rFonts w:hint="eastAsia" w:ascii="黑体" w:hAnsi="黑体" w:eastAsia="黑体" w:cs="黑体"/>
                <w:color w:val="auto"/>
                <w:kern w:val="2"/>
                <w:sz w:val="32"/>
                <w:szCs w:val="24"/>
              </w:rPr>
            </w:pPr>
            <w:r>
              <w:rPr>
                <w:rFonts w:hint="eastAsia" w:ascii="黑体" w:hAnsi="黑体" w:eastAsia="黑体" w:cs="黑体"/>
                <w:color w:val="auto"/>
                <w:kern w:val="2"/>
                <w:sz w:val="32"/>
                <w:szCs w:val="24"/>
              </w:rPr>
              <w:t>单位名称</w:t>
            </w:r>
          </w:p>
        </w:tc>
        <w:tc>
          <w:tcPr>
            <w:tcW w:w="1879" w:type="pct"/>
            <w:tcBorders>
              <w:top w:val="single" w:color="auto" w:sz="4" w:space="0"/>
              <w:left w:val="single" w:color="auto" w:sz="4" w:space="0"/>
              <w:bottom w:val="single" w:color="auto" w:sz="4" w:space="0"/>
              <w:right w:val="single" w:color="auto" w:sz="4" w:space="0"/>
            </w:tcBorders>
            <w:noWrap w:val="0"/>
            <w:tcMar>
              <w:top w:w="20" w:type="dxa"/>
              <w:left w:w="20" w:type="dxa"/>
              <w:bottom w:w="20" w:type="dxa"/>
              <w:right w:w="20" w:type="dxa"/>
            </w:tcMar>
            <w:vAlign w:val="center"/>
          </w:tcPr>
          <w:p>
            <w:pPr>
              <w:pageBreakBefore w:val="0"/>
              <w:kinsoku/>
              <w:wordWrap/>
              <w:overflowPunct/>
              <w:topLinePunct w:val="0"/>
              <w:bidi w:val="0"/>
              <w:spacing w:before="100" w:beforeLines="0" w:after="100" w:afterLines="0" w:line="600" w:lineRule="exact"/>
              <w:ind w:left="0" w:leftChars="0" w:firstLine="0" w:firstLineChars="0"/>
              <w:jc w:val="center"/>
              <w:textAlignment w:val="auto"/>
              <w:rPr>
                <w:rFonts w:hint="eastAsia" w:ascii="黑体" w:hAnsi="黑体" w:eastAsia="黑体" w:cs="黑体"/>
                <w:color w:val="auto"/>
                <w:kern w:val="2"/>
                <w:sz w:val="32"/>
                <w:szCs w:val="24"/>
              </w:rPr>
            </w:pPr>
            <w:r>
              <w:rPr>
                <w:rFonts w:hint="eastAsia" w:ascii="黑体" w:hAnsi="黑体" w:eastAsia="黑体" w:cs="黑体"/>
                <w:color w:val="auto"/>
                <w:kern w:val="2"/>
                <w:sz w:val="32"/>
                <w:szCs w:val="24"/>
              </w:rPr>
              <w:t>单位性质</w:t>
            </w:r>
          </w:p>
        </w:tc>
      </w:tr>
      <w:tr>
        <w:tblPrEx>
          <w:tblCellMar>
            <w:top w:w="15" w:type="dxa"/>
            <w:left w:w="15" w:type="dxa"/>
            <w:bottom w:w="15" w:type="dxa"/>
            <w:right w:w="15" w:type="dxa"/>
          </w:tblCellMar>
        </w:tblPrEx>
        <w:trPr>
          <w:trHeight w:val="807" w:hRule="atLeast"/>
          <w:jc w:val="center"/>
        </w:trPr>
        <w:tc>
          <w:tcPr>
            <w:tcW w:w="698" w:type="pct"/>
            <w:tcBorders>
              <w:top w:val="single" w:color="auto" w:sz="4" w:space="0"/>
              <w:left w:val="single" w:color="auto" w:sz="4" w:space="0"/>
              <w:bottom w:val="single" w:color="auto" w:sz="4" w:space="0"/>
              <w:right w:val="single" w:color="auto" w:sz="4" w:space="0"/>
            </w:tcBorders>
            <w:noWrap w:val="0"/>
            <w:tcMar>
              <w:top w:w="20" w:type="dxa"/>
              <w:left w:w="20" w:type="dxa"/>
              <w:bottom w:w="20" w:type="dxa"/>
              <w:right w:w="20" w:type="dxa"/>
            </w:tcMar>
            <w:vAlign w:val="center"/>
          </w:tcPr>
          <w:p>
            <w:pPr>
              <w:pageBreakBefore w:val="0"/>
              <w:kinsoku/>
              <w:wordWrap/>
              <w:overflowPunct/>
              <w:topLinePunct w:val="0"/>
              <w:bidi w:val="0"/>
              <w:spacing w:before="100" w:beforeLines="0" w:after="100" w:afterLines="0" w:line="600" w:lineRule="exact"/>
              <w:ind w:left="0" w:leftChars="0" w:firstLine="0" w:firstLineChars="0"/>
              <w:jc w:val="center"/>
              <w:textAlignment w:val="auto"/>
              <w:rPr>
                <w:rFonts w:hint="eastAsia" w:ascii="仿宋_GB2312" w:hAnsi="仿宋_GB2312" w:eastAsia="仿宋_GB2312" w:cs="Times New Roman"/>
                <w:color w:val="auto"/>
                <w:kern w:val="2"/>
                <w:sz w:val="32"/>
                <w:szCs w:val="24"/>
              </w:rPr>
            </w:pPr>
            <w:r>
              <w:rPr>
                <w:rFonts w:hint="eastAsia" w:ascii="仿宋_GB2312" w:hAnsi="仿宋_GB2312" w:eastAsia="仿宋_GB2312" w:cs="Times New Roman"/>
                <w:color w:val="auto"/>
                <w:kern w:val="2"/>
                <w:sz w:val="32"/>
                <w:szCs w:val="24"/>
              </w:rPr>
              <w:t>1</w:t>
            </w:r>
          </w:p>
        </w:tc>
        <w:tc>
          <w:tcPr>
            <w:tcW w:w="2422" w:type="pct"/>
            <w:tcBorders>
              <w:top w:val="single" w:color="auto" w:sz="4" w:space="0"/>
              <w:left w:val="single" w:color="auto" w:sz="4" w:space="0"/>
              <w:bottom w:val="single" w:color="auto" w:sz="4" w:space="0"/>
              <w:right w:val="single" w:color="auto" w:sz="4" w:space="0"/>
            </w:tcBorders>
            <w:noWrap w:val="0"/>
            <w:tcMar>
              <w:top w:w="20" w:type="dxa"/>
              <w:left w:w="20" w:type="dxa"/>
              <w:bottom w:w="20" w:type="dxa"/>
              <w:right w:w="20" w:type="dxa"/>
            </w:tcMar>
            <w:vAlign w:val="center"/>
          </w:tcPr>
          <w:p>
            <w:pPr>
              <w:pageBreakBefore w:val="0"/>
              <w:kinsoku/>
              <w:wordWrap/>
              <w:overflowPunct/>
              <w:topLinePunct w:val="0"/>
              <w:bidi w:val="0"/>
              <w:spacing w:before="100" w:beforeLines="0" w:after="100" w:afterLines="0" w:line="600" w:lineRule="exact"/>
              <w:ind w:left="0" w:leftChars="0" w:firstLine="0" w:firstLineChars="0"/>
              <w:jc w:val="left"/>
              <w:textAlignment w:val="auto"/>
              <w:rPr>
                <w:rFonts w:hint="eastAsia" w:ascii="仿宋_GB2312" w:hAnsi="仿宋_GB2312" w:eastAsia="仿宋_GB2312" w:cs="Times New Roman"/>
                <w:color w:val="auto"/>
                <w:spacing w:val="-34"/>
                <w:kern w:val="2"/>
                <w:sz w:val="32"/>
                <w:szCs w:val="24"/>
              </w:rPr>
            </w:pPr>
            <w:r>
              <w:rPr>
                <w:rFonts w:hint="eastAsia" w:ascii="仿宋_GB2312" w:hAnsi="仿宋_GB2312" w:eastAsia="仿宋_GB2312" w:cs="Times New Roman"/>
                <w:color w:val="auto"/>
                <w:spacing w:val="-34"/>
                <w:kern w:val="2"/>
                <w:sz w:val="32"/>
                <w:szCs w:val="24"/>
                <w:lang w:val="en-US" w:eastAsia="zh-CN"/>
              </w:rPr>
              <w:t>中共赤峰市委统一战线工作部</w:t>
            </w:r>
            <w:r>
              <w:rPr>
                <w:rFonts w:hint="eastAsia" w:ascii="仿宋_GB2312" w:hAnsi="仿宋_GB2312" w:eastAsia="仿宋_GB2312" w:cs="Times New Roman"/>
                <w:color w:val="auto"/>
                <w:spacing w:val="-34"/>
                <w:kern w:val="2"/>
                <w:sz w:val="32"/>
                <w:szCs w:val="24"/>
              </w:rPr>
              <w:t>（</w:t>
            </w:r>
            <w:r>
              <w:rPr>
                <w:rFonts w:hint="eastAsia" w:ascii="仿宋_GB2312" w:hAnsi="仿宋_GB2312" w:eastAsia="仿宋_GB2312" w:cs="Times New Roman"/>
                <w:color w:val="auto"/>
                <w:spacing w:val="-34"/>
                <w:kern w:val="2"/>
                <w:sz w:val="32"/>
                <w:szCs w:val="24"/>
                <w:lang w:val="en-US" w:eastAsia="zh-CN"/>
              </w:rPr>
              <w:t>部门</w:t>
            </w:r>
            <w:r>
              <w:rPr>
                <w:rFonts w:hint="eastAsia" w:ascii="仿宋_GB2312" w:hAnsi="仿宋_GB2312" w:eastAsia="仿宋_GB2312" w:cs="Times New Roman"/>
                <w:color w:val="auto"/>
                <w:spacing w:val="-34"/>
                <w:kern w:val="2"/>
                <w:sz w:val="32"/>
                <w:szCs w:val="24"/>
              </w:rPr>
              <w:t>）</w:t>
            </w:r>
          </w:p>
        </w:tc>
        <w:tc>
          <w:tcPr>
            <w:tcW w:w="1879" w:type="pct"/>
            <w:tcBorders>
              <w:top w:val="single" w:color="auto" w:sz="4" w:space="0"/>
              <w:left w:val="single" w:color="auto" w:sz="4" w:space="0"/>
              <w:bottom w:val="single" w:color="auto" w:sz="4" w:space="0"/>
              <w:right w:val="single" w:color="auto" w:sz="4" w:space="0"/>
            </w:tcBorders>
            <w:noWrap w:val="0"/>
            <w:tcMar>
              <w:top w:w="20" w:type="dxa"/>
              <w:left w:w="20" w:type="dxa"/>
              <w:bottom w:w="20" w:type="dxa"/>
              <w:right w:w="20" w:type="dxa"/>
            </w:tcMar>
            <w:vAlign w:val="center"/>
          </w:tcPr>
          <w:p>
            <w:pPr>
              <w:pageBreakBefore w:val="0"/>
              <w:kinsoku/>
              <w:wordWrap/>
              <w:overflowPunct/>
              <w:topLinePunct w:val="0"/>
              <w:bidi w:val="0"/>
              <w:spacing w:before="100" w:beforeLines="0" w:after="100" w:afterLines="0" w:line="600" w:lineRule="exact"/>
              <w:ind w:left="0" w:leftChars="0" w:firstLine="0" w:firstLineChars="0"/>
              <w:jc w:val="center"/>
              <w:textAlignment w:val="auto"/>
              <w:rPr>
                <w:rFonts w:hint="eastAsia" w:ascii="仿宋_GB2312" w:hAnsi="仿宋_GB2312" w:eastAsia="仿宋_GB2312" w:cs="Times New Roman"/>
                <w:color w:val="auto"/>
                <w:kern w:val="2"/>
                <w:sz w:val="32"/>
                <w:szCs w:val="24"/>
              </w:rPr>
            </w:pPr>
            <w:r>
              <w:rPr>
                <w:rFonts w:hint="eastAsia" w:ascii="仿宋_GB2312" w:hAnsi="仿宋_GB2312" w:eastAsia="仿宋_GB2312" w:cs="Times New Roman"/>
                <w:color w:val="auto"/>
                <w:kern w:val="2"/>
                <w:sz w:val="32"/>
                <w:szCs w:val="24"/>
              </w:rPr>
              <w:t>财政拨款的行政单位</w:t>
            </w:r>
          </w:p>
        </w:tc>
      </w:tr>
      <w:tr>
        <w:tblPrEx>
          <w:tblCellMar>
            <w:top w:w="15" w:type="dxa"/>
            <w:left w:w="15" w:type="dxa"/>
            <w:bottom w:w="15" w:type="dxa"/>
            <w:right w:w="15" w:type="dxa"/>
          </w:tblCellMar>
        </w:tblPrEx>
        <w:trPr>
          <w:trHeight w:val="807" w:hRule="atLeast"/>
          <w:jc w:val="center"/>
        </w:trPr>
        <w:tc>
          <w:tcPr>
            <w:tcW w:w="698" w:type="pct"/>
            <w:tcBorders>
              <w:top w:val="single" w:color="auto" w:sz="4" w:space="0"/>
              <w:left w:val="single" w:color="auto" w:sz="4" w:space="0"/>
              <w:bottom w:val="single" w:color="auto" w:sz="4" w:space="0"/>
              <w:right w:val="single" w:color="auto" w:sz="4" w:space="0"/>
            </w:tcBorders>
            <w:noWrap w:val="0"/>
            <w:tcMar>
              <w:top w:w="20" w:type="dxa"/>
              <w:left w:w="20" w:type="dxa"/>
              <w:bottom w:w="20" w:type="dxa"/>
              <w:right w:w="20" w:type="dxa"/>
            </w:tcMar>
            <w:vAlign w:val="center"/>
          </w:tcPr>
          <w:p>
            <w:pPr>
              <w:pageBreakBefore w:val="0"/>
              <w:kinsoku/>
              <w:wordWrap/>
              <w:overflowPunct/>
              <w:topLinePunct w:val="0"/>
              <w:bidi w:val="0"/>
              <w:spacing w:before="100" w:beforeLines="0" w:after="100" w:afterLines="0" w:line="600" w:lineRule="exact"/>
              <w:ind w:left="0" w:leftChars="0" w:firstLine="0" w:firstLineChars="0"/>
              <w:jc w:val="center"/>
              <w:textAlignment w:val="auto"/>
              <w:rPr>
                <w:rFonts w:hint="eastAsia" w:ascii="仿宋_GB2312" w:hAnsi="仿宋_GB2312" w:eastAsia="仿宋_GB2312" w:cs="Times New Roman"/>
                <w:color w:val="auto"/>
                <w:kern w:val="2"/>
                <w:sz w:val="32"/>
                <w:szCs w:val="24"/>
              </w:rPr>
            </w:pPr>
            <w:r>
              <w:rPr>
                <w:rFonts w:hint="eastAsia" w:ascii="仿宋_GB2312" w:hAnsi="仿宋_GB2312" w:eastAsia="仿宋_GB2312" w:cs="Times New Roman"/>
                <w:color w:val="auto"/>
                <w:kern w:val="2"/>
                <w:sz w:val="32"/>
                <w:szCs w:val="24"/>
              </w:rPr>
              <w:t>2</w:t>
            </w:r>
          </w:p>
        </w:tc>
        <w:tc>
          <w:tcPr>
            <w:tcW w:w="2422" w:type="pct"/>
            <w:tcBorders>
              <w:top w:val="single" w:color="auto" w:sz="4" w:space="0"/>
              <w:left w:val="single" w:color="auto" w:sz="4" w:space="0"/>
              <w:bottom w:val="single" w:color="auto" w:sz="4" w:space="0"/>
              <w:right w:val="single" w:color="auto" w:sz="4" w:space="0"/>
            </w:tcBorders>
            <w:noWrap w:val="0"/>
            <w:tcMar>
              <w:top w:w="20" w:type="dxa"/>
              <w:left w:w="20" w:type="dxa"/>
              <w:bottom w:w="20" w:type="dxa"/>
              <w:right w:w="20" w:type="dxa"/>
            </w:tcMar>
            <w:vAlign w:val="center"/>
          </w:tcPr>
          <w:p>
            <w:pPr>
              <w:pageBreakBefore w:val="0"/>
              <w:kinsoku/>
              <w:wordWrap/>
              <w:overflowPunct/>
              <w:topLinePunct w:val="0"/>
              <w:bidi w:val="0"/>
              <w:spacing w:before="100" w:beforeLines="0" w:after="100" w:afterLines="0" w:line="600" w:lineRule="exact"/>
              <w:ind w:left="0" w:leftChars="0" w:firstLine="0" w:firstLineChars="0"/>
              <w:jc w:val="left"/>
              <w:textAlignment w:val="auto"/>
              <w:rPr>
                <w:rFonts w:hint="eastAsia" w:ascii="仿宋_GB2312" w:hAnsi="仿宋_GB2312" w:eastAsia="仿宋_GB2312" w:cs="Times New Roman"/>
                <w:color w:val="auto"/>
                <w:spacing w:val="-34"/>
                <w:kern w:val="2"/>
                <w:sz w:val="32"/>
                <w:szCs w:val="24"/>
              </w:rPr>
            </w:pPr>
            <w:r>
              <w:rPr>
                <w:rFonts w:hint="eastAsia" w:ascii="仿宋_GB2312" w:hAnsi="仿宋_GB2312" w:eastAsia="仿宋_GB2312" w:cs="Times New Roman"/>
                <w:color w:val="auto"/>
                <w:spacing w:val="-34"/>
                <w:kern w:val="2"/>
                <w:sz w:val="32"/>
                <w:szCs w:val="24"/>
                <w:lang w:val="en-US" w:eastAsia="zh-CN"/>
              </w:rPr>
              <w:t>中共赤峰市委统一战线工作部</w:t>
            </w:r>
            <w:r>
              <w:rPr>
                <w:rFonts w:hint="eastAsia" w:ascii="仿宋_GB2312" w:hAnsi="仿宋_GB2312" w:eastAsia="仿宋_GB2312" w:cs="Times New Roman"/>
                <w:color w:val="auto"/>
                <w:spacing w:val="-34"/>
                <w:kern w:val="2"/>
                <w:sz w:val="32"/>
                <w:szCs w:val="24"/>
              </w:rPr>
              <w:t>（</w:t>
            </w:r>
            <w:r>
              <w:rPr>
                <w:rFonts w:hint="eastAsia" w:ascii="仿宋_GB2312" w:hAnsi="仿宋_GB2312" w:eastAsia="仿宋_GB2312" w:cs="Times New Roman"/>
                <w:color w:val="auto"/>
                <w:spacing w:val="-34"/>
                <w:kern w:val="2"/>
                <w:sz w:val="32"/>
                <w:szCs w:val="24"/>
                <w:lang w:val="en-US" w:eastAsia="zh-CN"/>
              </w:rPr>
              <w:t>单位</w:t>
            </w:r>
            <w:r>
              <w:rPr>
                <w:rFonts w:hint="eastAsia" w:ascii="仿宋_GB2312" w:hAnsi="仿宋_GB2312" w:eastAsia="仿宋_GB2312" w:cs="Times New Roman"/>
                <w:color w:val="auto"/>
                <w:spacing w:val="-34"/>
                <w:kern w:val="2"/>
                <w:sz w:val="32"/>
                <w:szCs w:val="24"/>
              </w:rPr>
              <w:t>）</w:t>
            </w:r>
          </w:p>
        </w:tc>
        <w:tc>
          <w:tcPr>
            <w:tcW w:w="1879" w:type="pct"/>
            <w:tcBorders>
              <w:top w:val="single" w:color="auto" w:sz="4" w:space="0"/>
              <w:left w:val="single" w:color="auto" w:sz="4" w:space="0"/>
              <w:bottom w:val="single" w:color="auto" w:sz="4" w:space="0"/>
              <w:right w:val="single" w:color="auto" w:sz="4" w:space="0"/>
            </w:tcBorders>
            <w:noWrap w:val="0"/>
            <w:tcMar>
              <w:top w:w="20" w:type="dxa"/>
              <w:left w:w="20" w:type="dxa"/>
              <w:bottom w:w="20" w:type="dxa"/>
              <w:right w:w="20" w:type="dxa"/>
            </w:tcMar>
            <w:vAlign w:val="center"/>
          </w:tcPr>
          <w:p>
            <w:pPr>
              <w:pageBreakBefore w:val="0"/>
              <w:kinsoku/>
              <w:wordWrap/>
              <w:overflowPunct/>
              <w:topLinePunct w:val="0"/>
              <w:bidi w:val="0"/>
              <w:spacing w:before="100" w:beforeLines="0" w:after="100" w:afterLines="0" w:line="600" w:lineRule="exact"/>
              <w:ind w:left="0" w:leftChars="0" w:firstLine="0" w:firstLineChars="0"/>
              <w:jc w:val="center"/>
              <w:textAlignment w:val="auto"/>
              <w:rPr>
                <w:rFonts w:hint="eastAsia" w:ascii="仿宋_GB2312" w:hAnsi="仿宋_GB2312" w:eastAsia="仿宋_GB2312" w:cs="Times New Roman"/>
                <w:color w:val="auto"/>
                <w:kern w:val="2"/>
                <w:sz w:val="32"/>
                <w:szCs w:val="24"/>
              </w:rPr>
            </w:pPr>
            <w:r>
              <w:rPr>
                <w:rFonts w:hint="eastAsia" w:ascii="仿宋_GB2312" w:hAnsi="仿宋_GB2312" w:eastAsia="仿宋_GB2312" w:cs="Times New Roman"/>
                <w:color w:val="auto"/>
                <w:kern w:val="2"/>
                <w:sz w:val="32"/>
                <w:szCs w:val="24"/>
              </w:rPr>
              <w:t>财政拨款的行政单位</w:t>
            </w:r>
          </w:p>
        </w:tc>
      </w:tr>
    </w:tbl>
    <w:p>
      <w:pPr>
        <w:pStyle w:val="3"/>
        <w:bidi w:val="0"/>
        <w:rPr>
          <w:color w:val="000000" w:themeColor="text1"/>
          <w14:textFill>
            <w14:solidFill>
              <w14:schemeClr w14:val="tx1"/>
            </w14:solidFill>
          </w14:textFill>
        </w:rPr>
      </w:pPr>
      <w:r>
        <w:t>三、</w:t>
      </w:r>
      <w:r>
        <w:rPr>
          <w:rFonts w:hint="eastAsia"/>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年度部门主要工作完成情况</w:t>
      </w:r>
    </w:p>
    <w:p>
      <w:pPr>
        <w:bidi w:val="0"/>
        <w:rPr>
          <w:rFonts w:hint="eastAsia" w:ascii="仿宋_GB2312" w:hAnsi="仿宋_GB2312" w:eastAsia="仿宋_GB2312" w:cs="仿宋_GB2312"/>
          <w:kern w:val="2"/>
          <w:sz w:val="32"/>
          <w:szCs w:val="32"/>
          <w:lang w:val="en-US" w:eastAsia="zh-CN" w:bidi="ar-SA"/>
        </w:rPr>
      </w:pPr>
      <w:r>
        <w:rPr>
          <w:rFonts w:hint="eastAsia"/>
          <w:b/>
          <w:bCs/>
          <w:lang w:val="en-US" w:eastAsia="zh-CN"/>
        </w:rPr>
        <w:t>一是完善大统战工作格局。</w:t>
      </w:r>
      <w:r>
        <w:rPr>
          <w:rFonts w:hint="eastAsia"/>
          <w:lang w:val="en-US" w:eastAsia="zh-CN"/>
        </w:rPr>
        <w:t>推动召开市委常委会会议、统战工作领导小组会议，加强对统战工作的研究部署。优化市委统战工作领导小组成员单位，抓好专项机制作用发挥，领导小组运行体系更加顺畅。</w:t>
      </w:r>
      <w:r>
        <w:rPr>
          <w:rFonts w:hint="eastAsia"/>
          <w:b/>
          <w:bCs/>
          <w:lang w:val="en-US" w:eastAsia="zh-CN"/>
        </w:rPr>
        <w:t>二是强化中国新型政党制度建设。</w:t>
      </w:r>
      <w:r>
        <w:rPr>
          <w:rFonts w:hint="eastAsia"/>
          <w:lang w:val="en-US" w:eastAsia="zh-CN"/>
        </w:rPr>
        <w:t>制定政党协商计划，督促市直单位落实重点调研成果。以“同心+”社会服务为载体，启动为期6年的全市统一战线“同心林”建设。支持各民主党派、无党派人士开展“学规定、强作风、树形象”主题教育。探索“理论+实践”学习体系，组织党外干部培训班，协助组织部加强党外干部培养使用。</w:t>
      </w:r>
      <w:r>
        <w:rPr>
          <w:rFonts w:hint="eastAsia"/>
          <w:b/>
          <w:bCs/>
          <w:lang w:val="en-US" w:eastAsia="zh-CN"/>
        </w:rPr>
        <w:t>三是有形有感有效铸牢中华民族共同体意识。</w:t>
      </w:r>
      <w:r>
        <w:rPr>
          <w:rFonts w:hint="eastAsia"/>
          <w:lang w:val="en-US" w:eastAsia="zh-CN"/>
        </w:rPr>
        <w:t>建设铸牢中华民族共同体意识分众化宣传教育平台、宣传教育基地，构建分众化、常态化宣传教育矩阵。利用“两月一周”开展集中宣传，共开展活动3300余场次。协助举办第十一届全区少数民族传统体育运动会，以体育为媒搭建沟通交流平台。举办赤峰市铸牢中华民族共同体意识研究论坛，举办赤峰市构建互嵌式社会结构和社区环境经验交流现场会，红山区、克旗巴彦查干苏木拟命名为第十二批全国民族团结进步示范区示范单位。</w:t>
      </w:r>
      <w:r>
        <w:rPr>
          <w:rFonts w:hint="eastAsia"/>
          <w:b/>
          <w:bCs/>
          <w:lang w:val="en-US" w:eastAsia="zh-CN"/>
        </w:rPr>
        <w:t>四是坚持我国宗教中国化方向。</w:t>
      </w:r>
      <w:r>
        <w:rPr>
          <w:rFonts w:hint="eastAsia"/>
          <w:lang w:val="en-US" w:eastAsia="zh-CN"/>
        </w:rPr>
        <w:t>开展爱党爱国爱社会主义主题教育活动，举办清真寺与伊斯兰教中国化座谈会，指导编印《赤峰清真寺》图册，推动各宗教树立正确价值观。</w:t>
      </w:r>
      <w:r>
        <w:rPr>
          <w:rFonts w:hint="eastAsia"/>
          <w:b/>
          <w:bCs/>
          <w:lang w:val="en-US" w:eastAsia="zh-CN"/>
        </w:rPr>
        <w:t>五是促进民营经济“两个健康”。</w:t>
      </w:r>
      <w:r>
        <w:rPr>
          <w:rFonts w:hint="eastAsia"/>
          <w:lang w:val="en-US" w:eastAsia="zh-CN"/>
        </w:rPr>
        <w:t>建立政企同心早餐会平台，举办政企同心恳谈会4场，现场回应关切。协办“2025内蒙古民营企业100强发布会暨百强民企进赤峰”活动，推动召开赤峰市优秀民营企业、优秀民营企业家表彰大会。制定全市统一战线助企行动十项任务，从10个方面开展助企行动。</w:t>
      </w:r>
      <w:r>
        <w:rPr>
          <w:rFonts w:hint="eastAsia"/>
          <w:b/>
          <w:bCs/>
          <w:lang w:val="en-US" w:eastAsia="zh-CN"/>
        </w:rPr>
        <w:t>六是深化新的社会阶层人士统战和无党派人士、党外知识分子工作。</w:t>
      </w:r>
      <w:r>
        <w:rPr>
          <w:rFonts w:hint="eastAsia"/>
          <w:lang w:val="en-US" w:eastAsia="zh-CN"/>
        </w:rPr>
        <w:t>召开全市国有企业统战工作座谈会、全市社会组织从业人员统战工作座谈会，加强对相关领域工作部署。与赤峰大学合建党外知识分子博士工作站，打造思想引领、人才培养新阵地。</w:t>
      </w:r>
      <w:r>
        <w:rPr>
          <w:rFonts w:hint="eastAsia"/>
          <w:b/>
          <w:bCs/>
          <w:lang w:val="en-US" w:eastAsia="zh-CN"/>
        </w:rPr>
        <w:t>七是开展港澳台侨及海外统战工作。</w:t>
      </w:r>
      <w:r>
        <w:rPr>
          <w:rFonts w:hint="eastAsia"/>
          <w:lang w:val="en-US" w:eastAsia="zh-CN"/>
        </w:rPr>
        <w:t>协助举办“父亲的草原母亲的河”两岸摄影家采风活动，加强两岸文化学术交流。举办“海外侨胞故乡行—走进赤峰”活动，承办“首都侨界医疗队下基层—走进赤峰”义诊活动，服务群众600余人。</w:t>
      </w:r>
    </w:p>
    <w:p>
      <w:pPr>
        <w:pStyle w:val="2"/>
        <w:bidi w:val="0"/>
        <w:rPr>
          <w:rFonts w:hint="eastAsia" w:ascii="方正小标宋简体" w:hAnsi="方正小标宋简体" w:eastAsia="方正小标宋简体" w:cs="Times New Roman"/>
          <w:b w:val="0"/>
          <w:bCs w:val="0"/>
          <w:color w:val="auto"/>
          <w:kern w:val="2"/>
          <w:szCs w:val="24"/>
        </w:rPr>
      </w:pPr>
      <w:r>
        <w:rPr>
          <w:rFonts w:hint="eastAsia"/>
        </w:rPr>
        <w:t xml:space="preserve">第二部分 </w:t>
      </w:r>
      <w:r>
        <w:rPr>
          <w:rFonts w:hint="eastAsia"/>
          <w:lang w:eastAsia="zh-CN"/>
        </w:rPr>
        <w:t>202</w:t>
      </w:r>
      <w:r>
        <w:rPr>
          <w:rFonts w:hint="eastAsia"/>
          <w:lang w:val="en-US" w:eastAsia="zh-CN"/>
        </w:rPr>
        <w:t>5</w:t>
      </w:r>
      <w:r>
        <w:rPr>
          <w:rFonts w:hint="eastAsia"/>
        </w:rPr>
        <w:t>年度部门决算情况说明</w:t>
      </w:r>
    </w:p>
    <w:p>
      <w:pPr>
        <w:pageBreakBefore w:val="0"/>
        <w:kinsoku/>
        <w:wordWrap/>
        <w:overflowPunct/>
        <w:topLinePunct w:val="0"/>
        <w:autoSpaceDE w:val="0"/>
        <w:autoSpaceDN w:val="0"/>
        <w:bidi w:val="0"/>
        <w:adjustRightInd w:val="0"/>
        <w:spacing w:beforeLines="0" w:afterLines="0" w:line="600" w:lineRule="exact"/>
        <w:ind w:firstLine="643"/>
        <w:jc w:val="both"/>
        <w:textAlignment w:val="auto"/>
        <w:rPr>
          <w:rFonts w:ascii="黑体" w:hAnsi="黑体" w:eastAsia="黑体" w:cs="黑体"/>
          <w:b w:val="0"/>
          <w:bCs w:val="0"/>
          <w:kern w:val="0"/>
          <w:sz w:val="32"/>
          <w:szCs w:val="32"/>
        </w:rPr>
      </w:pPr>
    </w:p>
    <w:p>
      <w:pPr>
        <w:pStyle w:val="3"/>
        <w:bidi w:val="0"/>
        <w:rPr>
          <w:rFonts w:hint="eastAsia"/>
        </w:rPr>
      </w:pPr>
      <w:r>
        <w:t>一、收入支出决算总体情</w:t>
      </w:r>
      <w:r>
        <w:rPr>
          <w:rFonts w:hint="eastAsia"/>
        </w:rPr>
        <w:t>况说明</w:t>
      </w:r>
    </w:p>
    <w:p>
      <w:pPr>
        <w:bidi w:val="0"/>
        <w:rPr>
          <w:rFonts w:hint="default" w:eastAsia="仿宋_GB2312"/>
          <w:lang w:val="en-US" w:eastAsia="zh-CN"/>
        </w:rPr>
      </w:pPr>
      <w:r>
        <w:rPr>
          <w:rFonts w:hint="default"/>
          <w:lang w:val="en-US" w:eastAsia="zh-CN"/>
        </w:rPr>
        <w:t xml:space="preserve">中共赤峰市委统一战线工作部 </w:t>
      </w:r>
      <w:r>
        <w:rPr>
          <w:rFonts w:hint="eastAsia"/>
          <w:lang w:val="en-US" w:eastAsia="zh-CN"/>
        </w:rPr>
        <w:t>2025</w:t>
      </w:r>
      <w:r>
        <w:rPr>
          <w:rFonts w:hint="default"/>
          <w:lang w:val="en-US" w:eastAsia="zh-CN"/>
        </w:rPr>
        <w:t>年度收入、支出决算总计</w:t>
      </w:r>
      <w:r>
        <w:rPr>
          <w:rFonts w:hint="default"/>
          <w:lang w:val="en-US"/>
        </w:rPr>
        <w:t>均为</w:t>
      </w:r>
      <w:r>
        <w:rPr>
          <w:rFonts w:hint="eastAsia"/>
          <w:lang w:val="en-US" w:eastAsia="zh-CN"/>
        </w:rPr>
        <w:t>870.04</w:t>
      </w:r>
      <w:r>
        <w:rPr>
          <w:rFonts w:hint="default"/>
          <w:lang w:val="en-US" w:eastAsia="zh-CN"/>
        </w:rPr>
        <w:t>万元。与年初预算相</w:t>
      </w:r>
      <w:r>
        <w:rPr>
          <w:rFonts w:hint="default"/>
          <w:lang w:val="en-US"/>
        </w:rPr>
        <w:t>比，收、支总计各减少</w:t>
      </w:r>
      <w:r>
        <w:rPr>
          <w:rFonts w:hint="eastAsia"/>
          <w:lang w:val="en-US" w:eastAsia="zh-CN"/>
        </w:rPr>
        <w:t>112.90</w:t>
      </w:r>
      <w:r>
        <w:rPr>
          <w:rFonts w:hint="default"/>
          <w:lang w:val="en-US"/>
        </w:rPr>
        <w:t>万元，下降</w:t>
      </w:r>
      <w:r>
        <w:rPr>
          <w:rFonts w:hint="eastAsia"/>
          <w:lang w:val="en-US" w:eastAsia="zh-CN"/>
        </w:rPr>
        <w:t>11.49</w:t>
      </w:r>
      <w:r>
        <w:rPr>
          <w:rFonts w:hint="default"/>
          <w:lang w:val="en-US"/>
        </w:rPr>
        <w:t>%，变动原因：</w:t>
      </w:r>
      <w:r>
        <w:rPr>
          <w:rFonts w:hint="eastAsia"/>
          <w:lang w:val="en-US" w:eastAsia="zh-CN"/>
        </w:rPr>
        <w:t>项目支出减少。</w:t>
      </w:r>
      <w:r>
        <w:rPr>
          <w:rFonts w:hint="default"/>
          <w:lang w:val="en-US"/>
        </w:rPr>
        <w:t>与上年决算相比，收、支总计各减少</w:t>
      </w:r>
      <w:r>
        <w:rPr>
          <w:rFonts w:hint="eastAsia"/>
          <w:lang w:val="en-US" w:eastAsia="zh-CN"/>
        </w:rPr>
        <w:t>138.22</w:t>
      </w:r>
      <w:r>
        <w:rPr>
          <w:rFonts w:hint="default"/>
          <w:lang w:val="en-US"/>
        </w:rPr>
        <w:t>万元，下降</w:t>
      </w:r>
      <w:r>
        <w:rPr>
          <w:rFonts w:hint="eastAsia"/>
          <w:lang w:val="en-US" w:eastAsia="zh-CN"/>
        </w:rPr>
        <w:t>13.71</w:t>
      </w:r>
      <w:r>
        <w:rPr>
          <w:rFonts w:hint="default"/>
          <w:lang w:val="en-US"/>
        </w:rPr>
        <w:t>%。其中：</w:t>
      </w:r>
      <w:r>
        <w:rPr>
          <w:rFonts w:hint="eastAsia"/>
          <w:lang w:val="en-US" w:eastAsia="zh-CN"/>
        </w:rPr>
        <w:t>年初预算压减。</w:t>
      </w:r>
    </w:p>
    <w:p>
      <w:pPr>
        <w:pStyle w:val="4"/>
        <w:bidi w:val="0"/>
        <w:ind w:left="0" w:leftChars="0" w:firstLine="632" w:firstLineChars="200"/>
        <w:rPr>
          <w:rFonts w:hint="default"/>
          <w:lang w:val="en-US"/>
        </w:rPr>
      </w:pPr>
      <w:r>
        <w:rPr>
          <w:rFonts w:hint="eastAsia"/>
        </w:rPr>
        <w:t>（一）收入决算总计</w:t>
      </w:r>
      <w:r>
        <w:rPr>
          <w:rFonts w:hint="eastAsia"/>
          <w:lang w:val="en-US" w:eastAsia="zh-CN"/>
        </w:rPr>
        <w:t>870.04</w:t>
      </w:r>
      <w:r>
        <w:rPr>
          <w:rFonts w:hint="eastAsia"/>
        </w:rPr>
        <w:t>万元。包括：</w:t>
      </w:r>
    </w:p>
    <w:p>
      <w:pPr>
        <w:bidi w:val="0"/>
        <w:rPr>
          <w:rFonts w:hint="eastAsia"/>
          <w:lang w:val="en-US" w:eastAsia="zh-CN"/>
        </w:rPr>
      </w:pPr>
      <w:r>
        <w:rPr>
          <w:rFonts w:hint="default"/>
          <w:lang w:val="en-US"/>
        </w:rPr>
        <w:t>1.本年收入决算合计</w:t>
      </w:r>
      <w:r>
        <w:rPr>
          <w:rFonts w:hint="eastAsia"/>
          <w:lang w:val="en-US" w:eastAsia="zh-CN"/>
        </w:rPr>
        <w:t>861.82</w:t>
      </w:r>
      <w:r>
        <w:rPr>
          <w:rFonts w:hint="default"/>
          <w:lang w:val="en-US"/>
        </w:rPr>
        <w:t>万元。与上年决算相比，减少</w:t>
      </w:r>
      <w:r>
        <w:rPr>
          <w:rFonts w:hint="eastAsia"/>
          <w:lang w:val="en-US" w:eastAsia="zh-CN"/>
        </w:rPr>
        <w:t>145.59</w:t>
      </w:r>
      <w:r>
        <w:rPr>
          <w:rFonts w:hint="default"/>
          <w:lang w:val="en-US"/>
        </w:rPr>
        <w:t>万元，下降</w:t>
      </w:r>
      <w:r>
        <w:rPr>
          <w:rFonts w:hint="eastAsia"/>
          <w:lang w:val="en-US" w:eastAsia="zh-CN"/>
        </w:rPr>
        <w:t>14.45</w:t>
      </w:r>
      <w:r>
        <w:rPr>
          <w:rFonts w:hint="default"/>
          <w:lang w:val="en-US"/>
        </w:rPr>
        <w:t>%，变动原因</w:t>
      </w:r>
      <w:r>
        <w:rPr>
          <w:rFonts w:hint="eastAsia"/>
          <w:lang w:val="en-US" w:eastAsia="zh-CN"/>
        </w:rPr>
        <w:t>：年初预算压减。</w:t>
      </w:r>
    </w:p>
    <w:p>
      <w:pPr>
        <w:bidi w:val="0"/>
        <w:rPr>
          <w:rFonts w:hint="eastAsia"/>
          <w:lang w:val="en-US" w:eastAsia="zh-CN"/>
        </w:rPr>
      </w:pPr>
      <w:r>
        <w:rPr>
          <w:rFonts w:hint="default"/>
          <w:lang w:val="en-US"/>
        </w:rPr>
        <w:t>2.使用非财政拨款结余和专用结余0.00万元。与上年决算相比，增加0.00万元</w:t>
      </w:r>
      <w:r>
        <w:rPr>
          <w:rFonts w:hint="eastAsia"/>
          <w:lang w:val="en-US" w:eastAsia="zh-CN"/>
        </w:rPr>
        <w:t>，变动</w:t>
      </w:r>
      <w:r>
        <w:rPr>
          <w:rFonts w:hint="default"/>
          <w:lang w:val="en-US"/>
        </w:rPr>
        <w:t>原因</w:t>
      </w:r>
      <w:r>
        <w:rPr>
          <w:rFonts w:hint="eastAsia"/>
          <w:lang w:val="en-US" w:eastAsia="zh-CN"/>
        </w:rPr>
        <w:t>：</w:t>
      </w:r>
      <w:r>
        <w:rPr>
          <w:rFonts w:hint="default"/>
          <w:lang w:val="en-US"/>
        </w:rPr>
        <w:t>不存在此项内容</w:t>
      </w:r>
      <w:r>
        <w:rPr>
          <w:rFonts w:hint="eastAsia"/>
          <w:lang w:val="en-US" w:eastAsia="zh-CN"/>
        </w:rPr>
        <w:t>。</w:t>
      </w:r>
    </w:p>
    <w:p>
      <w:pPr>
        <w:bidi w:val="0"/>
        <w:rPr>
          <w:rFonts w:hint="default"/>
          <w:lang w:val="en-US"/>
        </w:rPr>
      </w:pPr>
      <w:r>
        <w:rPr>
          <w:rFonts w:hint="default"/>
          <w:lang w:val="en-US"/>
        </w:rPr>
        <w:t>3.年初结转和结余</w:t>
      </w:r>
      <w:r>
        <w:rPr>
          <w:rFonts w:hint="eastAsia"/>
          <w:lang w:val="en-US" w:eastAsia="zh-CN"/>
        </w:rPr>
        <w:t>8.22</w:t>
      </w:r>
      <w:r>
        <w:rPr>
          <w:rFonts w:hint="default"/>
          <w:lang w:val="en-US"/>
        </w:rPr>
        <w:t>万元。与上年决算相比，</w:t>
      </w:r>
      <w:r>
        <w:rPr>
          <w:rFonts w:hint="eastAsia"/>
          <w:lang w:val="en-US" w:eastAsia="zh-CN"/>
        </w:rPr>
        <w:t>增加7.37</w:t>
      </w:r>
      <w:r>
        <w:rPr>
          <w:rFonts w:hint="default"/>
          <w:lang w:val="en-US"/>
        </w:rPr>
        <w:t>万元，增长</w:t>
      </w:r>
      <w:r>
        <w:rPr>
          <w:rFonts w:hint="eastAsia"/>
          <w:lang w:val="en-US" w:eastAsia="zh-CN"/>
        </w:rPr>
        <w:t>871.65</w:t>
      </w:r>
      <w:r>
        <w:rPr>
          <w:rFonts w:hint="default"/>
          <w:lang w:val="en-US"/>
        </w:rPr>
        <w:t>%，变动原因</w:t>
      </w:r>
      <w:r>
        <w:rPr>
          <w:rFonts w:hint="eastAsia"/>
          <w:lang w:val="en-US" w:eastAsia="zh-CN"/>
        </w:rPr>
        <w:t>：一是2024</w:t>
      </w:r>
      <w:r>
        <w:rPr>
          <w:rFonts w:hint="eastAsia"/>
          <w:highlight w:val="none"/>
          <w:lang w:val="en-US" w:eastAsia="zh-CN"/>
        </w:rPr>
        <w:t>年</w:t>
      </w:r>
      <w:r>
        <w:rPr>
          <w:rFonts w:hint="eastAsia"/>
          <w:color w:val="000000" w:themeColor="text1"/>
          <w:highlight w:val="none"/>
          <w:lang w:val="en-US" w:eastAsia="zh-CN"/>
          <w14:textFill>
            <w14:solidFill>
              <w14:schemeClr w14:val="tx1"/>
            </w14:solidFill>
          </w14:textFill>
        </w:rPr>
        <w:t>年底</w:t>
      </w:r>
      <w:r>
        <w:rPr>
          <w:rFonts w:hint="eastAsia"/>
          <w:lang w:val="en-US" w:eastAsia="zh-CN"/>
        </w:rPr>
        <w:t>结转退休人员职业年金做实部分；二是2024</w:t>
      </w:r>
      <w:r>
        <w:rPr>
          <w:rFonts w:hint="eastAsia"/>
          <w:highlight w:val="none"/>
          <w:lang w:val="en-US" w:eastAsia="zh-CN"/>
        </w:rPr>
        <w:t>年年底培</w:t>
      </w:r>
      <w:r>
        <w:rPr>
          <w:rFonts w:hint="eastAsia"/>
          <w:lang w:val="en-US" w:eastAsia="zh-CN"/>
        </w:rPr>
        <w:t>训老师讲课费个人所得税。</w:t>
      </w:r>
    </w:p>
    <w:p>
      <w:pPr>
        <w:pStyle w:val="4"/>
        <w:bidi w:val="0"/>
      </w:pPr>
      <w:r>
        <w:rPr>
          <w:rFonts w:hint="eastAsia"/>
        </w:rPr>
        <w:t>（二）支出决算总计</w:t>
      </w:r>
      <w:r>
        <w:rPr>
          <w:rFonts w:hint="eastAsia"/>
          <w:lang w:val="en-US" w:eastAsia="zh-CN"/>
        </w:rPr>
        <w:t>870.04</w:t>
      </w:r>
      <w:r>
        <w:rPr>
          <w:rFonts w:hint="eastAsia"/>
        </w:rPr>
        <w:t>万元。包括：</w:t>
      </w:r>
    </w:p>
    <w:p>
      <w:pPr>
        <w:bidi w:val="0"/>
        <w:rPr>
          <w:rFonts w:hint="eastAsia"/>
          <w:lang w:val="en-US" w:eastAsia="zh-CN"/>
        </w:rPr>
      </w:pPr>
      <w:r>
        <w:rPr>
          <w:rFonts w:hint="default"/>
          <w:lang w:val="en-US"/>
        </w:rPr>
        <w:t>1.本年支出决算合计</w:t>
      </w:r>
      <w:r>
        <w:rPr>
          <w:rFonts w:hint="eastAsia"/>
          <w:lang w:val="en-US" w:eastAsia="zh-CN"/>
        </w:rPr>
        <w:t>869.37</w:t>
      </w:r>
      <w:r>
        <w:rPr>
          <w:rFonts w:hint="default"/>
          <w:lang w:val="en-US"/>
        </w:rPr>
        <w:t>万元。与上年决算相比，减少</w:t>
      </w:r>
      <w:r>
        <w:rPr>
          <w:rFonts w:hint="eastAsia"/>
          <w:lang w:val="en-US" w:eastAsia="zh-CN"/>
        </w:rPr>
        <w:t>130.67</w:t>
      </w:r>
      <w:r>
        <w:rPr>
          <w:rFonts w:hint="default"/>
          <w:lang w:val="en-US"/>
        </w:rPr>
        <w:t>万元，下降</w:t>
      </w:r>
      <w:r>
        <w:rPr>
          <w:rFonts w:hint="eastAsia"/>
          <w:lang w:val="en-US" w:eastAsia="zh-CN"/>
        </w:rPr>
        <w:t>13.07</w:t>
      </w:r>
      <w:r>
        <w:rPr>
          <w:rFonts w:hint="default"/>
          <w:lang w:val="en-US"/>
        </w:rPr>
        <w:t>%，变动原因：</w:t>
      </w:r>
      <w:r>
        <w:rPr>
          <w:rFonts w:hint="eastAsia"/>
          <w:lang w:val="en-US" w:eastAsia="zh-CN"/>
        </w:rPr>
        <w:t>年初预算压减。</w:t>
      </w:r>
    </w:p>
    <w:p>
      <w:pPr>
        <w:bidi w:val="0"/>
        <w:rPr>
          <w:rFonts w:hint="eastAsia"/>
          <w:lang w:val="en-US" w:eastAsia="zh-CN"/>
        </w:rPr>
      </w:pPr>
      <w:r>
        <w:rPr>
          <w:rFonts w:hint="default"/>
          <w:lang w:val="en-US"/>
        </w:rPr>
        <w:t>2.结余分配0.00万元。与上年决算相比，增加</w:t>
      </w:r>
      <w:r>
        <w:rPr>
          <w:rFonts w:hint="eastAsia"/>
          <w:lang w:val="en-US" w:eastAsia="zh-CN"/>
        </w:rPr>
        <w:t>0.00</w:t>
      </w:r>
      <w:r>
        <w:rPr>
          <w:rFonts w:hint="default"/>
          <w:lang w:val="en-US"/>
        </w:rPr>
        <w:t>万元</w:t>
      </w:r>
      <w:r>
        <w:rPr>
          <w:rFonts w:hint="eastAsia"/>
          <w:lang w:val="en-US" w:eastAsia="zh-CN"/>
        </w:rPr>
        <w:t>，变动</w:t>
      </w:r>
      <w:r>
        <w:rPr>
          <w:rFonts w:hint="default"/>
          <w:lang w:val="en-US"/>
        </w:rPr>
        <w:t>原因</w:t>
      </w:r>
      <w:r>
        <w:rPr>
          <w:rFonts w:hint="eastAsia"/>
          <w:lang w:val="en-US" w:eastAsia="zh-CN"/>
        </w:rPr>
        <w:t>：</w:t>
      </w:r>
      <w:r>
        <w:rPr>
          <w:rFonts w:hint="default"/>
          <w:lang w:val="en-US"/>
        </w:rPr>
        <w:t>不存在此项内容</w:t>
      </w:r>
      <w:r>
        <w:rPr>
          <w:rFonts w:hint="eastAsia"/>
          <w:lang w:val="en-US" w:eastAsia="zh-CN"/>
        </w:rPr>
        <w:t>。</w:t>
      </w:r>
    </w:p>
    <w:p>
      <w:pPr>
        <w:bidi w:val="0"/>
        <w:rPr>
          <w:rFonts w:hint="eastAsia"/>
          <w:lang w:val="en-US" w:eastAsia="zh-CN"/>
        </w:rPr>
      </w:pPr>
      <w:r>
        <w:rPr>
          <w:rFonts w:hint="default"/>
          <w:lang w:val="en-US"/>
        </w:rPr>
        <w:t>3.年末结转和结余</w:t>
      </w:r>
      <w:r>
        <w:rPr>
          <w:rFonts w:hint="eastAsia"/>
          <w:lang w:val="en-US" w:eastAsia="zh-CN"/>
        </w:rPr>
        <w:t>0.67</w:t>
      </w:r>
      <w:r>
        <w:rPr>
          <w:rFonts w:hint="default"/>
          <w:lang w:val="en-US"/>
        </w:rPr>
        <w:t>万元。结转和结余事项：</w:t>
      </w:r>
      <w:r>
        <w:rPr>
          <w:rFonts w:hint="eastAsia"/>
          <w:lang w:val="en-US" w:eastAsia="zh-CN"/>
        </w:rPr>
        <w:t>2025年年底培训老师讲课费个人所得税</w:t>
      </w:r>
      <w:r>
        <w:rPr>
          <w:rFonts w:hint="default"/>
          <w:lang w:val="en-US"/>
        </w:rPr>
        <w:t>。与上年决算相比，</w:t>
      </w:r>
      <w:r>
        <w:rPr>
          <w:rFonts w:hint="eastAsia"/>
          <w:lang w:val="en-US" w:eastAsia="zh-CN"/>
        </w:rPr>
        <w:t>减少7.55</w:t>
      </w:r>
      <w:r>
        <w:rPr>
          <w:rFonts w:hint="default"/>
          <w:lang w:val="en-US"/>
        </w:rPr>
        <w:t>万元，</w:t>
      </w:r>
      <w:r>
        <w:rPr>
          <w:rFonts w:hint="eastAsia"/>
          <w:lang w:val="en-US" w:eastAsia="zh-CN"/>
        </w:rPr>
        <w:t>下降91.89</w:t>
      </w:r>
      <w:r>
        <w:rPr>
          <w:rFonts w:hint="default"/>
          <w:lang w:val="en-US"/>
        </w:rPr>
        <w:t>%，变动原因：</w:t>
      </w:r>
      <w:r>
        <w:rPr>
          <w:rFonts w:hint="eastAsia"/>
          <w:lang w:val="en-US" w:eastAsia="zh-CN"/>
        </w:rPr>
        <w:t>2024年年底结转退休人员职业年金,2025年年初已缴纳</w:t>
      </w:r>
      <w:r>
        <w:rPr>
          <w:rFonts w:hint="default"/>
          <w:lang w:val="en-US" w:eastAsia="zh-CN"/>
        </w:rPr>
        <w:t>。</w:t>
      </w:r>
    </w:p>
    <w:p>
      <w:pPr>
        <w:pStyle w:val="3"/>
        <w:bidi w:val="0"/>
        <w:rPr>
          <w:rFonts w:hint="eastAsia"/>
          <w:lang w:val="en-US" w:eastAsia="zh-CN"/>
        </w:rPr>
      </w:pPr>
      <w:r>
        <w:rPr>
          <w:rFonts w:hint="eastAsia"/>
          <w:lang w:val="en-US" w:eastAsia="zh-CN"/>
        </w:rPr>
        <w:t>二、收入决算情况说明</w:t>
      </w:r>
    </w:p>
    <w:p>
      <w:pPr>
        <w:bidi w:val="0"/>
        <w:rPr>
          <w:rFonts w:hint="default"/>
          <w:lang w:val="en-US"/>
        </w:rPr>
      </w:pPr>
      <w:r>
        <w:rPr>
          <w:rFonts w:hint="default"/>
          <w:lang w:val="en-US" w:eastAsia="zh-CN"/>
        </w:rPr>
        <w:t>中共赤峰市委统一战线</w:t>
      </w:r>
      <w:r>
        <w:rPr>
          <w:rFonts w:hint="default"/>
          <w:lang w:val="en-US"/>
        </w:rPr>
        <w:t>工作部</w:t>
      </w:r>
      <w:r>
        <w:rPr>
          <w:rFonts w:hint="eastAsia"/>
          <w:lang w:val="en-US" w:eastAsia="zh-CN"/>
        </w:rPr>
        <w:t>2025</w:t>
      </w:r>
      <w:r>
        <w:rPr>
          <w:rFonts w:hint="default"/>
          <w:lang w:val="en-US"/>
        </w:rPr>
        <w:t xml:space="preserve">年度本年收入决算合计 </w:t>
      </w:r>
      <w:r>
        <w:rPr>
          <w:rFonts w:hint="eastAsia"/>
          <w:lang w:val="en-US" w:eastAsia="zh-CN"/>
        </w:rPr>
        <w:t>861.82</w:t>
      </w:r>
      <w:r>
        <w:rPr>
          <w:rFonts w:hint="default"/>
          <w:lang w:val="en-US"/>
        </w:rPr>
        <w:t>万元，其中：</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本年一般公共预算财政拨款收入</w:t>
      </w:r>
      <w:r>
        <w:rPr>
          <w:rFonts w:hint="eastAsia" w:cs="Times New Roman"/>
          <w:color w:val="auto"/>
          <w:sz w:val="32"/>
          <w:szCs w:val="24"/>
          <w:lang w:val="en-US" w:eastAsia="zh-CN"/>
        </w:rPr>
        <w:t>861.82</w:t>
      </w:r>
      <w:r>
        <w:rPr>
          <w:rFonts w:hint="default" w:ascii="仿宋_GB2312" w:hAnsi="仿宋_GB2312" w:eastAsia="仿宋_GB2312" w:cs="Times New Roman"/>
          <w:color w:val="auto"/>
          <w:sz w:val="32"/>
          <w:szCs w:val="24"/>
          <w:lang w:val="en-US"/>
        </w:rPr>
        <w:t>万元</w:t>
      </w:r>
      <w:r>
        <w:rPr>
          <w:rFonts w:hint="eastAsia" w:ascii="仿宋_GB2312" w:hAnsi="仿宋_GB2312" w:eastAsia="仿宋_GB2312" w:cs="Times New Roman"/>
          <w:color w:val="auto"/>
          <w:sz w:val="32"/>
          <w:szCs w:val="24"/>
          <w:lang w:val="en-US" w:eastAsia="zh-CN"/>
        </w:rPr>
        <w:t>，</w:t>
      </w:r>
      <w:r>
        <w:rPr>
          <w:rFonts w:hint="default" w:ascii="仿宋_GB2312" w:hAnsi="仿宋_GB2312" w:eastAsia="仿宋_GB2312" w:cs="Times New Roman"/>
          <w:color w:val="auto"/>
          <w:sz w:val="32"/>
          <w:szCs w:val="24"/>
          <w:lang w:val="en-US"/>
        </w:rPr>
        <w:t>占100.00%；</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本年政府性基金预算财政拨款收入0.00万元，占0.00%；</w:t>
      </w:r>
    </w:p>
    <w:p>
      <w:pPr>
        <w:bidi w:val="0"/>
        <w:rPr>
          <w:rFonts w:hint="default"/>
          <w:lang w:val="en-US"/>
        </w:rPr>
      </w:pPr>
      <w:r>
        <w:rPr>
          <w:rFonts w:hint="default"/>
          <w:lang w:val="en-US"/>
        </w:rPr>
        <w:t>本年国有资本经营预算财政拨款收入0.00万元，占0.00%；</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本年上级补助收入0.00万元，占0.00%；</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本年事业收入0.00万元，占0.00%；</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本年经营收入0.00万元，占0.00%；</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本年附属单位上缴收入0.00万元，占0.00%；</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本年其他收入0.00万元，占0.00%。</w:t>
      </w:r>
    </w:p>
    <w:p>
      <w:pPr>
        <w:pageBreakBefore w:val="0"/>
        <w:kinsoku/>
        <w:wordWrap/>
        <w:overflowPunct/>
        <w:topLinePunct w:val="0"/>
        <w:autoSpaceDE w:val="0"/>
        <w:autoSpaceDN w:val="0"/>
        <w:bidi w:val="0"/>
        <w:adjustRightInd w:val="0"/>
        <w:spacing w:beforeLines="0" w:afterLines="0" w:line="600" w:lineRule="exact"/>
        <w:ind w:left="0" w:leftChars="0" w:firstLine="0" w:firstLineChars="0"/>
        <w:jc w:val="center"/>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sz w:val="28"/>
          <w:szCs w:val="28"/>
        </w:rPr>
        <w:drawing>
          <wp:anchor distT="0" distB="0" distL="114300" distR="114300" simplePos="0" relativeHeight="251659264" behindDoc="0" locked="0" layoutInCell="1" allowOverlap="1">
            <wp:simplePos x="0" y="0"/>
            <wp:positionH relativeFrom="column">
              <wp:align>center</wp:align>
            </wp:positionH>
            <wp:positionV relativeFrom="paragraph">
              <wp:posOffset>-3810</wp:posOffset>
            </wp:positionV>
            <wp:extent cx="3660775" cy="2437130"/>
            <wp:effectExtent l="5080" t="4445" r="10795" b="1587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heme="minorEastAsia" w:hAnsiTheme="minorEastAsia" w:eastAsiaTheme="minorEastAsia" w:cstheme="minorEastAsia"/>
          <w:color w:val="auto"/>
          <w:sz w:val="28"/>
          <w:szCs w:val="28"/>
          <w:lang w:val="en-US" w:eastAsia="zh-CN"/>
        </w:rPr>
        <w:t>图1.收入决算图</w:t>
      </w:r>
    </w:p>
    <w:p>
      <w:pPr>
        <w:pStyle w:val="3"/>
        <w:bidi w:val="0"/>
        <w:rPr>
          <w:rFonts w:hint="eastAsia"/>
          <w:lang w:val="en-US" w:eastAsia="zh-CN"/>
        </w:rPr>
      </w:pPr>
      <w:r>
        <w:rPr>
          <w:rFonts w:hint="eastAsia"/>
          <w:lang w:val="en-US" w:eastAsia="zh-CN"/>
        </w:rPr>
        <w:t>三、支出决算情况说明</w:t>
      </w:r>
    </w:p>
    <w:p>
      <w:pPr>
        <w:bidi w:val="0"/>
        <w:rPr>
          <w:rFonts w:hint="default"/>
          <w:lang w:val="en-US" w:eastAsia="zh-CN"/>
        </w:rPr>
      </w:pPr>
      <w:r>
        <w:rPr>
          <w:rFonts w:hint="default"/>
          <w:lang w:val="en-US" w:eastAsia="zh-CN"/>
        </w:rPr>
        <w:t>中共赤峰市委统一战线工作部</w:t>
      </w:r>
      <w:r>
        <w:rPr>
          <w:rFonts w:hint="eastAsia"/>
          <w:lang w:val="en-US" w:eastAsia="zh-CN"/>
        </w:rPr>
        <w:t>2025</w:t>
      </w:r>
      <w:r>
        <w:rPr>
          <w:rFonts w:hint="default"/>
          <w:lang w:val="en-US" w:eastAsia="zh-CN"/>
        </w:rPr>
        <w:t>年度</w:t>
      </w:r>
      <w:r>
        <w:rPr>
          <w:rFonts w:hint="default"/>
          <w:color w:val="auto"/>
          <w:highlight w:val="none"/>
          <w:lang w:val="en-US" w:eastAsia="zh-CN"/>
        </w:rPr>
        <w:t>本年</w:t>
      </w:r>
      <w:r>
        <w:rPr>
          <w:rFonts w:hint="default"/>
          <w:lang w:val="en-US" w:eastAsia="zh-CN"/>
        </w:rPr>
        <w:t>支出决算合计</w:t>
      </w:r>
      <w:r>
        <w:rPr>
          <w:rFonts w:hint="eastAsia"/>
          <w:lang w:val="en-US" w:eastAsia="zh-CN"/>
        </w:rPr>
        <w:t>869.37</w:t>
      </w:r>
      <w:r>
        <w:rPr>
          <w:rFonts w:hint="default"/>
          <w:lang w:val="en-US" w:eastAsia="zh-CN"/>
        </w:rPr>
        <w:t>万元，其中：</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本年基本支出</w:t>
      </w:r>
      <w:r>
        <w:rPr>
          <w:rFonts w:hint="eastAsia" w:cs="Times New Roman"/>
          <w:color w:val="auto"/>
          <w:sz w:val="32"/>
          <w:szCs w:val="24"/>
          <w:lang w:val="en-US" w:eastAsia="zh-CN"/>
        </w:rPr>
        <w:t>762.11</w:t>
      </w:r>
      <w:r>
        <w:rPr>
          <w:rFonts w:hint="default" w:ascii="仿宋_GB2312" w:hAnsi="仿宋_GB2312" w:eastAsia="仿宋_GB2312" w:cs="Times New Roman"/>
          <w:color w:val="auto"/>
          <w:sz w:val="32"/>
          <w:szCs w:val="24"/>
          <w:lang w:val="en-US"/>
        </w:rPr>
        <w:t>万元，占</w:t>
      </w:r>
      <w:r>
        <w:rPr>
          <w:rFonts w:hint="eastAsia" w:cs="Times New Roman"/>
          <w:color w:val="auto"/>
          <w:sz w:val="32"/>
          <w:szCs w:val="24"/>
          <w:lang w:val="en-US" w:eastAsia="zh-CN"/>
        </w:rPr>
        <w:t>87.66</w:t>
      </w:r>
      <w:r>
        <w:rPr>
          <w:rFonts w:hint="default" w:ascii="仿宋_GB2312" w:hAnsi="仿宋_GB2312" w:eastAsia="仿宋_GB2312" w:cs="Times New Roman"/>
          <w:color w:val="auto"/>
          <w:sz w:val="32"/>
          <w:szCs w:val="24"/>
          <w:lang w:val="en-US"/>
        </w:rPr>
        <w:t>%；</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本年项目支出</w:t>
      </w:r>
      <w:r>
        <w:rPr>
          <w:rFonts w:hint="eastAsia" w:cs="Times New Roman"/>
          <w:color w:val="auto"/>
          <w:sz w:val="32"/>
          <w:szCs w:val="24"/>
          <w:lang w:val="en-US" w:eastAsia="zh-CN"/>
        </w:rPr>
        <w:t>107.26</w:t>
      </w:r>
      <w:r>
        <w:rPr>
          <w:rFonts w:hint="default" w:ascii="仿宋_GB2312" w:hAnsi="仿宋_GB2312" w:eastAsia="仿宋_GB2312" w:cs="Times New Roman"/>
          <w:color w:val="auto"/>
          <w:sz w:val="32"/>
          <w:szCs w:val="24"/>
          <w:lang w:val="en-US"/>
        </w:rPr>
        <w:t>万元，占</w:t>
      </w:r>
      <w:r>
        <w:rPr>
          <w:rFonts w:hint="eastAsia" w:cs="Times New Roman"/>
          <w:color w:val="auto"/>
          <w:sz w:val="32"/>
          <w:szCs w:val="24"/>
          <w:lang w:val="en-US" w:eastAsia="zh-CN"/>
        </w:rPr>
        <w:t>12.34</w:t>
      </w:r>
      <w:r>
        <w:rPr>
          <w:rFonts w:hint="default" w:ascii="仿宋_GB2312" w:hAnsi="仿宋_GB2312" w:eastAsia="仿宋_GB2312" w:cs="Times New Roman"/>
          <w:color w:val="auto"/>
          <w:sz w:val="32"/>
          <w:szCs w:val="24"/>
          <w:lang w:val="en-US"/>
        </w:rPr>
        <w:t>%；</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本年上缴上级支出0.00万元，占0.00%；</w:t>
      </w:r>
    </w:p>
    <w:p>
      <w:pPr>
        <w:pageBreakBefore w:val="0"/>
        <w:kinsoku/>
        <w:wordWrap/>
        <w:overflowPunct/>
        <w:topLinePunct w:val="0"/>
        <w:autoSpaceDE w:val="0"/>
        <w:autoSpaceDN w:val="0"/>
        <w:bidi w:val="0"/>
        <w:adjustRightInd w:val="0"/>
        <w:spacing w:beforeLines="0" w:afterLines="0" w:line="600" w:lineRule="exact"/>
        <w:ind w:firstLine="632" w:firstLineChars="200"/>
        <w:jc w:val="both"/>
        <w:textAlignment w:val="auto"/>
        <w:rPr>
          <w:rFonts w:hint="default" w:ascii="仿宋_GB2312" w:hAnsi="仿宋_GB2312" w:eastAsia="仿宋_GB2312" w:cs="Times New Roman"/>
          <w:color w:val="auto"/>
          <w:sz w:val="32"/>
          <w:szCs w:val="24"/>
          <w:lang w:val="en-US"/>
        </w:rPr>
      </w:pPr>
      <w:r>
        <w:rPr>
          <w:rFonts w:hint="default" w:ascii="仿宋_GB2312" w:hAnsi="仿宋_GB2312" w:eastAsia="仿宋_GB2312" w:cs="Times New Roman"/>
          <w:color w:val="auto"/>
          <w:sz w:val="32"/>
          <w:szCs w:val="24"/>
          <w:lang w:val="en-US"/>
        </w:rPr>
        <w:t>本年经营支出0.00万元，占0.00%；</w:t>
      </w:r>
    </w:p>
    <w:p>
      <w:pPr>
        <w:bidi w:val="0"/>
        <w:rPr>
          <w:rFonts w:ascii="Times New Roman" w:hAnsi="Times New Roman" w:eastAsia="Times New Roman" w:cs="Times New Roman"/>
          <w:kern w:val="0"/>
          <w:sz w:val="24"/>
        </w:rPr>
      </w:pPr>
      <w:r>
        <w:rPr>
          <w:rFonts w:hint="default"/>
          <w:lang w:val="en-US"/>
        </w:rPr>
        <w:t>本年对附属单位补助支出0.00万元，占0.00%。</w:t>
      </w:r>
    </w:p>
    <w:p>
      <w:pPr>
        <w:pageBreakBefore w:val="0"/>
        <w:kinsoku/>
        <w:wordWrap/>
        <w:overflowPunct/>
        <w:topLinePunct w:val="0"/>
        <w:autoSpaceDE w:val="0"/>
        <w:autoSpaceDN w:val="0"/>
        <w:bidi w:val="0"/>
        <w:adjustRightInd w:val="0"/>
        <w:spacing w:beforeLines="0" w:afterLines="0" w:line="240" w:lineRule="auto"/>
        <w:ind w:firstLine="0" w:firstLineChars="0"/>
        <w:jc w:val="center"/>
        <w:textAlignment w:val="auto"/>
        <w:rPr>
          <w:rFonts w:hint="eastAsia" w:asciiTheme="minorEastAsia" w:hAnsiTheme="minorEastAsia" w:eastAsiaTheme="minorEastAsia" w:cstheme="minorEastAsia"/>
          <w:color w:val="auto"/>
          <w:sz w:val="32"/>
          <w:szCs w:val="24"/>
          <w:lang w:val="en-US" w:eastAsia="zh-CN"/>
        </w:rPr>
      </w:pPr>
    </w:p>
    <w:p>
      <w:pPr>
        <w:pageBreakBefore w:val="0"/>
        <w:kinsoku/>
        <w:wordWrap/>
        <w:overflowPunct/>
        <w:topLinePunct w:val="0"/>
        <w:autoSpaceDE w:val="0"/>
        <w:autoSpaceDN w:val="0"/>
        <w:bidi w:val="0"/>
        <w:adjustRightInd w:val="0"/>
        <w:spacing w:beforeLines="0" w:afterLines="0" w:line="240" w:lineRule="auto"/>
        <w:ind w:firstLine="0" w:firstLineChars="0"/>
        <w:jc w:val="center"/>
        <w:textAlignment w:val="auto"/>
        <w:rPr>
          <w:rFonts w:hint="eastAsia" w:asciiTheme="minorEastAsia" w:hAnsiTheme="minorEastAsia" w:eastAsiaTheme="minorEastAsia" w:cstheme="minorEastAsia"/>
          <w:color w:val="auto"/>
          <w:sz w:val="32"/>
          <w:szCs w:val="24"/>
          <w:lang w:val="en-US" w:eastAsia="zh-CN"/>
        </w:rPr>
      </w:pPr>
    </w:p>
    <w:p>
      <w:pPr>
        <w:pageBreakBefore w:val="0"/>
        <w:kinsoku/>
        <w:wordWrap/>
        <w:overflowPunct/>
        <w:topLinePunct w:val="0"/>
        <w:autoSpaceDE w:val="0"/>
        <w:autoSpaceDN w:val="0"/>
        <w:bidi w:val="0"/>
        <w:adjustRightInd w:val="0"/>
        <w:spacing w:beforeLines="0" w:afterLines="0" w:line="240" w:lineRule="auto"/>
        <w:ind w:firstLine="0" w:firstLineChars="0"/>
        <w:jc w:val="center"/>
        <w:textAlignment w:val="auto"/>
        <w:rPr>
          <w:rFonts w:hint="eastAsia" w:asciiTheme="minorEastAsia" w:hAnsiTheme="minorEastAsia" w:eastAsiaTheme="minorEastAsia" w:cstheme="minorEastAsia"/>
          <w:color w:val="auto"/>
          <w:sz w:val="32"/>
          <w:szCs w:val="24"/>
          <w:lang w:val="en-US" w:eastAsia="zh-CN"/>
        </w:rPr>
      </w:pPr>
    </w:p>
    <w:p>
      <w:pPr>
        <w:pageBreakBefore w:val="0"/>
        <w:kinsoku/>
        <w:wordWrap/>
        <w:overflowPunct/>
        <w:topLinePunct w:val="0"/>
        <w:autoSpaceDE w:val="0"/>
        <w:autoSpaceDN w:val="0"/>
        <w:bidi w:val="0"/>
        <w:adjustRightInd w:val="0"/>
        <w:spacing w:beforeLines="0" w:afterLines="0" w:line="240" w:lineRule="auto"/>
        <w:ind w:firstLine="0" w:firstLineChars="0"/>
        <w:jc w:val="both"/>
        <w:textAlignment w:val="auto"/>
        <w:rPr>
          <w:rFonts w:hint="eastAsia" w:asciiTheme="minorEastAsia" w:hAnsiTheme="minorEastAsia" w:eastAsiaTheme="minorEastAsia" w:cstheme="minorEastAsia"/>
          <w:color w:val="auto"/>
          <w:sz w:val="32"/>
          <w:szCs w:val="24"/>
          <w:lang w:val="en-US" w:eastAsia="zh-CN"/>
        </w:rPr>
      </w:pPr>
    </w:p>
    <w:p>
      <w:pPr>
        <w:pageBreakBefore w:val="0"/>
        <w:kinsoku/>
        <w:wordWrap/>
        <w:overflowPunct/>
        <w:topLinePunct w:val="0"/>
        <w:autoSpaceDE w:val="0"/>
        <w:autoSpaceDN w:val="0"/>
        <w:bidi w:val="0"/>
        <w:adjustRightInd w:val="0"/>
        <w:spacing w:beforeLines="0" w:afterLines="0" w:line="240" w:lineRule="auto"/>
        <w:ind w:firstLine="0" w:firstLineChars="0"/>
        <w:jc w:val="center"/>
        <w:textAlignment w:val="auto"/>
        <w:rPr>
          <w:rFonts w:hint="eastAsia" w:asciiTheme="minorEastAsia" w:hAnsiTheme="minorEastAsia" w:eastAsiaTheme="minorEastAsia" w:cstheme="minorEastAsia"/>
          <w:color w:val="auto"/>
          <w:sz w:val="32"/>
          <w:szCs w:val="24"/>
          <w:lang w:val="en-US" w:eastAsia="zh-CN"/>
        </w:rPr>
      </w:pPr>
      <w:r>
        <w:drawing>
          <wp:inline distT="0" distB="0" distL="114300" distR="114300">
            <wp:extent cx="4826000" cy="3197860"/>
            <wp:effectExtent l="4445" t="4445" r="8255" b="1714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kinsoku/>
        <w:wordWrap/>
        <w:overflowPunct/>
        <w:topLinePunct w:val="0"/>
        <w:autoSpaceDE w:val="0"/>
        <w:autoSpaceDN w:val="0"/>
        <w:bidi w:val="0"/>
        <w:adjustRightInd w:val="0"/>
        <w:spacing w:beforeLines="0" w:afterLines="0" w:line="240" w:lineRule="auto"/>
        <w:ind w:firstLine="0" w:firstLineChars="0"/>
        <w:jc w:val="center"/>
        <w:textAlignment w:val="auto"/>
        <w:rPr>
          <w:rFonts w:hint="eastAsia" w:asciiTheme="minorEastAsia" w:hAnsiTheme="minorEastAsia" w:eastAsiaTheme="minorEastAsia" w:cstheme="minorEastAsia"/>
          <w:color w:val="auto"/>
          <w:sz w:val="32"/>
          <w:szCs w:val="24"/>
          <w:lang w:val="en-US"/>
        </w:rPr>
      </w:pPr>
      <w:r>
        <w:rPr>
          <w:rFonts w:hint="eastAsia" w:asciiTheme="minorEastAsia" w:hAnsiTheme="minorEastAsia" w:eastAsiaTheme="minorEastAsia" w:cstheme="minorEastAsia"/>
          <w:color w:val="auto"/>
          <w:sz w:val="32"/>
          <w:szCs w:val="24"/>
          <w:lang w:val="en-US" w:eastAsia="zh-CN"/>
        </w:rPr>
        <w:t>图</w:t>
      </w:r>
      <w:r>
        <w:rPr>
          <w:rFonts w:hint="eastAsia" w:asciiTheme="minorEastAsia" w:hAnsiTheme="minorEastAsia" w:eastAsiaTheme="minorEastAsia" w:cstheme="minorEastAsia"/>
          <w:color w:val="auto"/>
          <w:sz w:val="32"/>
          <w:szCs w:val="24"/>
          <w:lang w:val="en-US"/>
        </w:rPr>
        <w:t>2.支出决算图</w:t>
      </w:r>
    </w:p>
    <w:p>
      <w:pPr>
        <w:pageBreakBefore w:val="0"/>
        <w:kinsoku/>
        <w:wordWrap/>
        <w:overflowPunct/>
        <w:topLinePunct w:val="0"/>
        <w:autoSpaceDE w:val="0"/>
        <w:autoSpaceDN w:val="0"/>
        <w:bidi w:val="0"/>
        <w:adjustRightInd w:val="0"/>
        <w:spacing w:beforeLines="0" w:afterLines="0" w:line="600" w:lineRule="exact"/>
        <w:ind w:firstLine="643"/>
        <w:jc w:val="both"/>
        <w:textAlignment w:val="auto"/>
        <w:rPr>
          <w:rFonts w:hint="eastAsia" w:ascii="仿宋_GB2312" w:hAnsi="仿宋_GB2312" w:eastAsia="仿宋_GB2312" w:cs="Times New Roman"/>
          <w:color w:val="auto"/>
          <w:sz w:val="32"/>
          <w:szCs w:val="24"/>
          <w:lang w:val="en-US" w:eastAsia="zh-CN"/>
        </w:rPr>
      </w:pPr>
    </w:p>
    <w:p>
      <w:pPr>
        <w:pStyle w:val="3"/>
        <w:bidi w:val="0"/>
        <w:rPr>
          <w:rFonts w:hint="eastAsia"/>
          <w:lang w:val="en-US" w:eastAsia="zh-CN"/>
        </w:rPr>
      </w:pPr>
      <w:r>
        <w:rPr>
          <w:rFonts w:hint="eastAsia"/>
          <w:lang w:val="en-US" w:eastAsia="zh-CN"/>
        </w:rPr>
        <w:t>四、财政拨款收入支出决算总体情况说明</w:t>
      </w:r>
    </w:p>
    <w:p>
      <w:pPr>
        <w:bidi w:val="0"/>
        <w:rPr>
          <w:rFonts w:hint="eastAsia"/>
          <w:lang w:val="en-US" w:eastAsia="zh-CN"/>
        </w:rPr>
      </w:pPr>
      <w:r>
        <w:rPr>
          <w:rFonts w:hint="default"/>
          <w:lang w:val="en-US" w:eastAsia="zh-CN"/>
        </w:rPr>
        <w:t>中共赤峰市委统一</w:t>
      </w:r>
      <w:r>
        <w:rPr>
          <w:rFonts w:hint="default"/>
          <w:lang w:val="en-US"/>
        </w:rPr>
        <w:t>战线工作部</w:t>
      </w:r>
      <w:r>
        <w:rPr>
          <w:rFonts w:hint="eastAsia"/>
          <w:lang w:val="en-US" w:eastAsia="zh-CN"/>
        </w:rPr>
        <w:t>2025</w:t>
      </w:r>
      <w:r>
        <w:rPr>
          <w:rFonts w:hint="default"/>
          <w:lang w:val="en-US" w:eastAsia="zh-CN"/>
        </w:rPr>
        <w:t>年度收入、支出决算总计</w:t>
      </w:r>
      <w:r>
        <w:rPr>
          <w:rFonts w:hint="default"/>
          <w:lang w:val="en-US"/>
        </w:rPr>
        <w:t>均为</w:t>
      </w:r>
      <w:r>
        <w:rPr>
          <w:rFonts w:hint="eastAsia"/>
          <w:lang w:val="en-US" w:eastAsia="zh-CN"/>
        </w:rPr>
        <w:t>870.04</w:t>
      </w:r>
      <w:r>
        <w:rPr>
          <w:rFonts w:hint="default"/>
          <w:lang w:val="en-US" w:eastAsia="zh-CN"/>
        </w:rPr>
        <w:t>万元。与年初预算相</w:t>
      </w:r>
      <w:r>
        <w:rPr>
          <w:rFonts w:hint="default"/>
          <w:lang w:val="en-US"/>
        </w:rPr>
        <w:t>比，收、支总计</w:t>
      </w:r>
      <w:r>
        <w:rPr>
          <w:rFonts w:hint="default"/>
          <w:highlight w:val="none"/>
          <w:lang w:val="en-US"/>
        </w:rPr>
        <w:t>各减少</w:t>
      </w:r>
      <w:r>
        <w:rPr>
          <w:rFonts w:hint="eastAsia"/>
          <w:highlight w:val="none"/>
          <w:lang w:val="en-US" w:eastAsia="zh-CN"/>
        </w:rPr>
        <w:t>112.90</w:t>
      </w:r>
      <w:r>
        <w:rPr>
          <w:rFonts w:hint="default"/>
          <w:highlight w:val="none"/>
          <w:lang w:val="en-US"/>
        </w:rPr>
        <w:t>万元，下降</w:t>
      </w:r>
      <w:r>
        <w:rPr>
          <w:rFonts w:hint="eastAsia"/>
          <w:lang w:val="en-US" w:eastAsia="zh-CN"/>
        </w:rPr>
        <w:t>11.49</w:t>
      </w:r>
      <w:r>
        <w:rPr>
          <w:rFonts w:hint="default"/>
          <w:lang w:val="en-US"/>
        </w:rPr>
        <w:t>%，变动原因：</w:t>
      </w:r>
      <w:r>
        <w:rPr>
          <w:rFonts w:hint="eastAsia"/>
          <w:lang w:val="en-US" w:eastAsia="zh-CN"/>
        </w:rPr>
        <w:t>项目支出减少。</w:t>
      </w:r>
      <w:r>
        <w:rPr>
          <w:rFonts w:hint="default"/>
          <w:lang w:val="en-US"/>
        </w:rPr>
        <w:t>与上年决算相比，收、支总计各减少13</w:t>
      </w:r>
      <w:r>
        <w:rPr>
          <w:rFonts w:hint="eastAsia"/>
          <w:lang w:val="en-US" w:eastAsia="zh-CN"/>
        </w:rPr>
        <w:t>8.22</w:t>
      </w:r>
      <w:r>
        <w:rPr>
          <w:rFonts w:hint="default"/>
          <w:lang w:val="en-US"/>
        </w:rPr>
        <w:t>万元，下降</w:t>
      </w:r>
      <w:r>
        <w:rPr>
          <w:rFonts w:hint="eastAsia"/>
          <w:lang w:val="en-US" w:eastAsia="zh-CN"/>
        </w:rPr>
        <w:t>13.71</w:t>
      </w:r>
      <w:r>
        <w:rPr>
          <w:rFonts w:hint="default"/>
          <w:lang w:val="en-US"/>
        </w:rPr>
        <w:t>%。其中：</w:t>
      </w:r>
      <w:r>
        <w:rPr>
          <w:rFonts w:hint="eastAsia"/>
          <w:lang w:val="en-US" w:eastAsia="zh-CN"/>
        </w:rPr>
        <w:t>年初预算压减。</w:t>
      </w:r>
    </w:p>
    <w:p>
      <w:pPr>
        <w:pStyle w:val="3"/>
        <w:bidi w:val="0"/>
        <w:rPr>
          <w:rFonts w:hint="eastAsia"/>
        </w:rPr>
      </w:pPr>
      <w:r>
        <w:rPr>
          <w:rFonts w:hint="eastAsia"/>
        </w:rPr>
        <w:t>五、一般公共预算财政拨款支出决算情况说明</w:t>
      </w:r>
    </w:p>
    <w:p>
      <w:pPr>
        <w:bidi w:val="0"/>
        <w:rPr>
          <w:rFonts w:hint="default"/>
          <w:lang w:val="en-US" w:eastAsia="zh-CN"/>
        </w:rPr>
      </w:pPr>
      <w:r>
        <w:rPr>
          <w:rFonts w:hint="eastAsia"/>
          <w:lang w:val="en-US" w:eastAsia="zh-CN"/>
        </w:rPr>
        <w:t>中共赤峰市委统一战线工作部2025年度一般公共预算财政拨款支出决算869.37万元。与年初预算982.94万元相比，完成年初预算的88.45%。其中：项目支出减少。</w:t>
      </w:r>
    </w:p>
    <w:p>
      <w:pPr>
        <w:pStyle w:val="4"/>
        <w:bidi w:val="0"/>
        <w:ind w:left="0" w:leftChars="0" w:firstLine="632" w:firstLineChars="200"/>
        <w:rPr>
          <w:rFonts w:hint="eastAsia"/>
        </w:rPr>
      </w:pPr>
      <w:r>
        <w:rPr>
          <w:rFonts w:hint="eastAsia"/>
        </w:rPr>
        <w:t>（一）一般公共服务（类）</w:t>
      </w:r>
    </w:p>
    <w:p>
      <w:pPr>
        <w:bidi w:val="0"/>
        <w:rPr>
          <w:rFonts w:hint="eastAsia"/>
          <w:lang w:val="en-US" w:eastAsia="zh-CN"/>
        </w:rPr>
      </w:pPr>
      <w:r>
        <w:rPr>
          <w:rFonts w:hint="eastAsia"/>
          <w:lang w:val="en-US" w:eastAsia="zh-CN"/>
        </w:rPr>
        <w:t>一般公共服务类决算数为673.19万元，与年初预算相比减少120.29万元。其中：</w:t>
      </w:r>
    </w:p>
    <w:p>
      <w:pPr>
        <w:bidi w:val="0"/>
        <w:rPr>
          <w:rFonts w:hint="eastAsia"/>
          <w:lang w:val="en-US" w:eastAsia="zh-CN"/>
        </w:rPr>
      </w:pPr>
      <w:r>
        <w:rPr>
          <w:rFonts w:hint="eastAsia"/>
          <w:lang w:val="en-US" w:eastAsia="zh-CN"/>
        </w:rPr>
        <w:t>1.统战事务（款）行政运行（项）。年初预算413.81万元，决算支出442.21万元，完成年初预算的106.86%。决算数与年初预算数的差异原因：一是部机关工作人员职级职务晋升；二是工资晋级晋档及各类保险基数增加。</w:t>
      </w:r>
    </w:p>
    <w:p>
      <w:pPr>
        <w:bidi w:val="0"/>
        <w:rPr>
          <w:rFonts w:hint="eastAsia"/>
          <w:lang w:val="en-US" w:eastAsia="zh-CN"/>
        </w:rPr>
      </w:pPr>
      <w:r>
        <w:rPr>
          <w:rFonts w:hint="eastAsia"/>
          <w:lang w:val="en-US" w:eastAsia="zh-CN"/>
        </w:rPr>
        <w:t>2.统战事务（款）一般行政管理事务（项）。年初预算274.10万元，决算支出107.26万元，完成年初预算的39.13%。决算数与年初预算数的差异原因：项目支出减少。</w:t>
      </w:r>
    </w:p>
    <w:p>
      <w:pPr>
        <w:bidi w:val="0"/>
        <w:rPr>
          <w:rFonts w:hint="eastAsia"/>
          <w:lang w:val="en-US" w:eastAsia="zh-CN"/>
        </w:rPr>
      </w:pPr>
      <w:r>
        <w:rPr>
          <w:rFonts w:hint="eastAsia"/>
          <w:lang w:val="en-US" w:eastAsia="zh-CN"/>
        </w:rPr>
        <w:t>3.统战事务（款）事业运行（项）。年初预算105.57万元，决算支出123.72万元，完成年初预算的117.19%。决算数与年初预算数的差异原因：一是部机关事业人员职级职务晋升；二是工资晋级晋档及各类保险基数增加。</w:t>
      </w:r>
    </w:p>
    <w:p>
      <w:pPr>
        <w:pStyle w:val="4"/>
        <w:bidi w:val="0"/>
        <w:rPr>
          <w:rFonts w:hint="eastAsia"/>
        </w:rPr>
      </w:pPr>
      <w:r>
        <w:rPr>
          <w:rFonts w:hint="eastAsia"/>
        </w:rPr>
        <w:t>（</w:t>
      </w:r>
      <w:r>
        <w:rPr>
          <w:rFonts w:hint="eastAsia"/>
          <w:lang w:val="en-US" w:eastAsia="zh-CN"/>
        </w:rPr>
        <w:t>二</w:t>
      </w:r>
      <w:r>
        <w:rPr>
          <w:rFonts w:hint="eastAsia"/>
        </w:rPr>
        <w:t>）社会保障和就业支出（类）</w:t>
      </w:r>
    </w:p>
    <w:p>
      <w:pPr>
        <w:bidi w:val="0"/>
        <w:rPr>
          <w:rFonts w:hint="eastAsia"/>
          <w:lang w:val="en-US" w:eastAsia="zh-CN"/>
        </w:rPr>
      </w:pPr>
      <w:r>
        <w:rPr>
          <w:rFonts w:hint="eastAsia"/>
        </w:rPr>
        <w:t>社会保障和就业支出类决算数为</w:t>
      </w:r>
      <w:r>
        <w:rPr>
          <w:rFonts w:hint="eastAsia"/>
          <w:lang w:val="en-US" w:eastAsia="zh-CN"/>
        </w:rPr>
        <w:t>104.13</w:t>
      </w:r>
      <w:r>
        <w:rPr>
          <w:rFonts w:hint="eastAsia"/>
        </w:rPr>
        <w:t>万元，与年初预算相比</w:t>
      </w:r>
      <w:r>
        <w:rPr>
          <w:rFonts w:hint="eastAsia"/>
          <w:lang w:val="en-US" w:eastAsia="zh-CN"/>
        </w:rPr>
        <w:t>增加1.00</w:t>
      </w:r>
      <w:r>
        <w:rPr>
          <w:rFonts w:hint="eastAsia"/>
        </w:rPr>
        <w:t>万元。其中：</w:t>
      </w:r>
    </w:p>
    <w:p>
      <w:pPr>
        <w:bidi w:val="0"/>
        <w:rPr>
          <w:rFonts w:hint="eastAsia"/>
          <w:lang w:val="en-US" w:eastAsia="zh-CN"/>
        </w:rPr>
      </w:pPr>
      <w:r>
        <w:rPr>
          <w:rFonts w:hint="eastAsia"/>
          <w:lang w:val="en-US" w:eastAsia="zh-CN"/>
        </w:rPr>
        <w:t>1.行政事业单位养老支出（款）行政单位离退休（项）。年初预算41.84万元，支出决算35.23万元，完成年初预算的84.2%。决算数与年初预算数的差异原因：年初预算按13个月做计划。</w:t>
      </w:r>
    </w:p>
    <w:p>
      <w:pPr>
        <w:bidi w:val="0"/>
        <w:rPr>
          <w:rFonts w:hint="default"/>
          <w:lang w:val="en-US" w:eastAsia="zh-CN"/>
        </w:rPr>
      </w:pPr>
      <w:r>
        <w:rPr>
          <w:rFonts w:hint="eastAsia"/>
          <w:lang w:val="en-US" w:eastAsia="zh-CN"/>
        </w:rPr>
        <w:t>2.行政事业单位养老支出（款）机关事业单位基本养老保险缴费支出（项）。年初预算59.79万元，支出决算58.98万元，完成年初预算的98.64%。</w:t>
      </w:r>
    </w:p>
    <w:p>
      <w:pPr>
        <w:bidi w:val="0"/>
        <w:rPr>
          <w:rFonts w:hint="default"/>
          <w:lang w:val="en-US" w:eastAsia="zh-CN"/>
        </w:rPr>
      </w:pPr>
      <w:r>
        <w:rPr>
          <w:rFonts w:hint="eastAsia"/>
          <w:lang w:val="en-US" w:eastAsia="zh-CN"/>
        </w:rPr>
        <w:t>3.行政事业单位养老支出（款）机关事业单位职业年金缴费支出（项）。年初预算0.00万元，支出决算8.67万元。决算数与年初预算数的差异原因：2025年缴纳2024年年底退休人员职业年金做实部分。</w:t>
      </w:r>
    </w:p>
    <w:p>
      <w:pPr>
        <w:bidi w:val="0"/>
        <w:rPr>
          <w:rFonts w:hint="eastAsia"/>
          <w:lang w:val="en-US" w:eastAsia="zh-CN"/>
        </w:rPr>
      </w:pPr>
      <w:r>
        <w:rPr>
          <w:rFonts w:hint="eastAsia"/>
          <w:lang w:val="en-US" w:eastAsia="zh-CN"/>
        </w:rPr>
        <w:t>4.其他社会保障和就业支出（款）其他社会保障和就业支出（项）。年初预算1.50万元，支出决算1.25万元，完成年初预算的83.33%。决算数与年初预算数的差异原因：年初预算按13个月做计划。</w:t>
      </w:r>
    </w:p>
    <w:p>
      <w:pPr>
        <w:pStyle w:val="4"/>
        <w:bidi w:val="0"/>
        <w:rPr>
          <w:rFonts w:hint="default"/>
        </w:rPr>
      </w:pPr>
      <w:r>
        <w:rPr>
          <w:rFonts w:hint="eastAsia"/>
        </w:rPr>
        <w:t>（</w:t>
      </w:r>
      <w:r>
        <w:rPr>
          <w:rFonts w:hint="eastAsia"/>
          <w:lang w:val="en-US" w:eastAsia="zh-CN"/>
        </w:rPr>
        <w:t>三</w:t>
      </w:r>
      <w:r>
        <w:rPr>
          <w:rFonts w:hint="eastAsia"/>
        </w:rPr>
        <w:t>）卫生健康支出（类）</w:t>
      </w:r>
    </w:p>
    <w:p>
      <w:pPr>
        <w:bidi w:val="0"/>
        <w:rPr>
          <w:rFonts w:hint="eastAsia"/>
          <w:lang w:val="en-US" w:eastAsia="zh-CN"/>
        </w:rPr>
      </w:pPr>
      <w:r>
        <w:rPr>
          <w:rFonts w:hint="eastAsia"/>
          <w:lang w:val="en-US" w:eastAsia="zh-CN"/>
        </w:rPr>
        <w:t>卫生健康支出类决算数为33.26万元，与年初预算相比增加1.57万元。其中：</w:t>
      </w:r>
    </w:p>
    <w:p>
      <w:pPr>
        <w:bidi w:val="0"/>
        <w:rPr>
          <w:rFonts w:hint="eastAsia"/>
          <w:lang w:val="en-US" w:eastAsia="zh-CN"/>
        </w:rPr>
      </w:pPr>
      <w:r>
        <w:rPr>
          <w:rFonts w:hint="eastAsia"/>
          <w:lang w:val="en-US" w:eastAsia="zh-CN"/>
        </w:rPr>
        <w:t>1.行政事业单位医疗（款）行政单位医疗（项）。年初预算24.44万元，支出决算25.16元，完成年初预算的102.95%。决算数与年初预算数的差异原因：行政人员医疗保险基数增加。</w:t>
      </w:r>
    </w:p>
    <w:p>
      <w:pPr>
        <w:bidi w:val="0"/>
        <w:rPr>
          <w:rFonts w:hint="default"/>
          <w:lang w:val="en-US" w:eastAsia="zh-CN"/>
        </w:rPr>
      </w:pPr>
      <w:r>
        <w:rPr>
          <w:rFonts w:hint="eastAsia"/>
          <w:lang w:val="en-US" w:eastAsia="zh-CN"/>
        </w:rPr>
        <w:t>2.行政事业单位医疗（款）事业单位医疗（项）。年初预算7.25万元，支出决算8.11万元，完成年初预算的111.86%。决算数与年初预算数的差异原因：事业人员医疗保险基数增加。</w:t>
      </w:r>
    </w:p>
    <w:p>
      <w:pPr>
        <w:pStyle w:val="4"/>
        <w:bidi w:val="0"/>
        <w:rPr>
          <w:rFonts w:hint="eastAsia"/>
          <w:lang w:val="en-US" w:eastAsia="zh-CN"/>
        </w:rPr>
      </w:pPr>
      <w:r>
        <w:rPr>
          <w:rFonts w:hint="eastAsia"/>
          <w:lang w:val="en-US" w:eastAsia="zh-CN"/>
        </w:rPr>
        <w:t>（四）农林水支出（类）</w:t>
      </w:r>
    </w:p>
    <w:p>
      <w:pPr>
        <w:bidi w:val="0"/>
        <w:rPr>
          <w:rFonts w:hint="eastAsia"/>
          <w:lang w:val="en-US" w:eastAsia="zh-CN"/>
        </w:rPr>
      </w:pPr>
      <w:r>
        <w:rPr>
          <w:rFonts w:hint="eastAsia"/>
          <w:lang w:val="en-US" w:eastAsia="zh-CN"/>
        </w:rPr>
        <w:t>农林水支出类决算数为5.25万元，与年初预算相比增加3.83万元。其中：</w:t>
      </w:r>
    </w:p>
    <w:p>
      <w:pPr>
        <w:bidi w:val="0"/>
        <w:rPr>
          <w:rFonts w:hint="eastAsia"/>
          <w:lang w:val="en-US" w:eastAsia="zh-CN"/>
        </w:rPr>
      </w:pPr>
      <w:r>
        <w:rPr>
          <w:rFonts w:hint="eastAsia"/>
          <w:lang w:val="en-US" w:eastAsia="zh-CN"/>
        </w:rPr>
        <w:t>巩固脱贫攻坚成果衔接乡村振兴（款）其他巩固脱贫攻坚成果衔接乡村振兴支出（项）。年初预算1.42万元，支出决算5.25万元，完成年初预算的369.72%。决算数与年初预算数的差异原因：年中驻村人员增加1人。</w:t>
      </w:r>
    </w:p>
    <w:p>
      <w:pPr>
        <w:bidi w:val="0"/>
        <w:rPr>
          <w:rFonts w:hint="eastAsia" w:ascii="楷体_GB2312" w:hAnsi="楷体_GB2312" w:eastAsia="楷体_GB2312" w:cs="楷体_GB2312"/>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五</w:t>
      </w:r>
      <w:r>
        <w:rPr>
          <w:rFonts w:hint="eastAsia" w:ascii="楷体_GB2312" w:hAnsi="楷体_GB2312" w:eastAsia="楷体_GB2312" w:cs="楷体_GB2312"/>
          <w:lang w:eastAsia="zh-CN"/>
        </w:rPr>
        <w:t>）</w:t>
      </w:r>
      <w:r>
        <w:rPr>
          <w:rFonts w:hint="eastAsia" w:ascii="楷体_GB2312" w:hAnsi="楷体_GB2312" w:eastAsia="楷体_GB2312" w:cs="楷体_GB2312"/>
        </w:rPr>
        <w:t>住房保障支出（类）</w:t>
      </w:r>
    </w:p>
    <w:p>
      <w:pPr>
        <w:bidi w:val="0"/>
        <w:rPr>
          <w:rFonts w:hint="eastAsia"/>
          <w:lang w:val="en-US" w:eastAsia="zh-CN"/>
        </w:rPr>
      </w:pPr>
      <w:r>
        <w:rPr>
          <w:rFonts w:hint="eastAsia"/>
          <w:lang w:val="en-US" w:eastAsia="zh-CN"/>
        </w:rPr>
        <w:t>住房保障支出类决算数为53.54万元，与年初预算相比增加0.31万元。其中：</w:t>
      </w:r>
    </w:p>
    <w:p>
      <w:pPr>
        <w:bidi w:val="0"/>
        <w:rPr>
          <w:rFonts w:hint="eastAsia"/>
          <w:lang w:val="en-US" w:eastAsia="zh-CN"/>
        </w:rPr>
      </w:pPr>
      <w:r>
        <w:rPr>
          <w:rFonts w:hint="eastAsia"/>
          <w:lang w:val="en-US" w:eastAsia="zh-CN"/>
        </w:rPr>
        <w:t>住房改革支出（款）住房公积金（项）。年初预算53.22万元，支出决算53.54万元，完成年初预算的100.60%。决算数与年初预算数的差异原因：住房公积金基数增加。</w:t>
      </w:r>
    </w:p>
    <w:p>
      <w:pPr>
        <w:pStyle w:val="3"/>
        <w:bidi w:val="0"/>
        <w:rPr>
          <w:rFonts w:hint="eastAsia"/>
        </w:rPr>
      </w:pPr>
      <w:r>
        <w:rPr>
          <w:rFonts w:hint="eastAsia"/>
        </w:rPr>
        <w:t>六、一般公共预算财政拨款基本支出决算情况说明</w:t>
      </w:r>
    </w:p>
    <w:p>
      <w:pPr>
        <w:bidi w:val="0"/>
        <w:rPr>
          <w:rFonts w:hint="eastAsia"/>
          <w:lang w:val="en-US" w:eastAsia="zh-CN"/>
        </w:rPr>
      </w:pPr>
      <w:r>
        <w:rPr>
          <w:rFonts w:hint="eastAsia"/>
          <w:lang w:val="en-US" w:eastAsia="zh-CN"/>
        </w:rPr>
        <w:t>中共赤峰市委统一战线工作部2025年度一般公共预算财政拨款基本支出决算762.11万元，其中：</w:t>
      </w:r>
    </w:p>
    <w:p>
      <w:pPr>
        <w:bidi w:val="0"/>
        <w:rPr>
          <w:rFonts w:hint="eastAsia"/>
          <w:lang w:val="en-US" w:eastAsia="zh-CN"/>
        </w:rPr>
      </w:pPr>
      <w:r>
        <w:rPr>
          <w:rFonts w:hint="eastAsia" w:ascii="楷体_GB2312" w:hAnsi="楷体_GB2312" w:eastAsia="楷体_GB2312" w:cs="楷体_GB2312"/>
          <w:b w:val="0"/>
          <w:bCs w:val="0"/>
          <w:lang w:val="en-US" w:eastAsia="zh-CN"/>
        </w:rPr>
        <w:t>（一）人员经费686.33万元。</w:t>
      </w:r>
      <w:r>
        <w:rPr>
          <w:rFonts w:hint="eastAsia"/>
          <w:lang w:val="en-US" w:eastAsia="zh-CN"/>
        </w:rPr>
        <w:t>主要包括：基本工资231.70万元、津贴补贴140.12万元、奖金59.96万元、绩效工资38.72万元、机关事业单位基本养老保险缴费58.98万元、职业年金缴费8.67万元、职工基本医疗保险缴费33.26万元、其他社会保障缴费1.25万元、其他工资福利支出14.89万元、离休费15.74万元、退休费18.30万元、生活补助4.44万元、住房公积金53.54万元、奖励金1.50万元、其他对个人和家庭的补助5.25万元。</w:t>
      </w:r>
    </w:p>
    <w:p>
      <w:pPr>
        <w:bidi w:val="0"/>
        <w:rPr>
          <w:rFonts w:hint="eastAsia"/>
          <w:lang w:val="en-US" w:eastAsia="zh-CN"/>
        </w:rPr>
      </w:pPr>
      <w:r>
        <w:rPr>
          <w:rFonts w:hint="eastAsia" w:ascii="楷体_GB2312" w:hAnsi="楷体_GB2312" w:eastAsia="楷体_GB2312" w:cs="楷体_GB2312"/>
          <w:b w:val="0"/>
          <w:bCs w:val="0"/>
          <w:lang w:val="en-US" w:eastAsia="zh-CN"/>
        </w:rPr>
        <w:t>（二）公用经费75.77万元。</w:t>
      </w:r>
      <w:r>
        <w:rPr>
          <w:rFonts w:hint="eastAsia"/>
          <w:lang w:val="en-US" w:eastAsia="zh-CN"/>
        </w:rPr>
        <w:t>主要包括：办公费26.96万元、邮电费2.06万元、差旅费2.75万元、福利费8.69万元、其他交通费用29.75万元、其他商品和服务支出5.07万元、办公设备购置0.49万元。</w:t>
      </w:r>
    </w:p>
    <w:p>
      <w:pPr>
        <w:pStyle w:val="3"/>
        <w:bidi w:val="0"/>
        <w:rPr>
          <w:rFonts w:hint="eastAsia"/>
          <w:lang w:val="en-US" w:eastAsia="zh-CN"/>
        </w:rPr>
      </w:pPr>
      <w:r>
        <w:rPr>
          <w:rFonts w:hint="eastAsia"/>
          <w:lang w:val="en-US" w:eastAsia="zh-CN"/>
        </w:rPr>
        <w:t>七、一般公共预算财政拨款项目支出决算情况说明</w:t>
      </w:r>
    </w:p>
    <w:p>
      <w:pPr>
        <w:bidi w:val="0"/>
        <w:rPr>
          <w:rFonts w:hint="eastAsia"/>
          <w:lang w:val="en-US" w:eastAsia="zh-CN"/>
        </w:rPr>
      </w:pPr>
      <w:r>
        <w:rPr>
          <w:rFonts w:hint="eastAsia"/>
          <w:lang w:val="en-US" w:eastAsia="zh-CN"/>
        </w:rPr>
        <w:t>中共赤峰市委统一战线工作部2025年度一般公共预算财政拨款项目支出决算107.26万元，其中：</w:t>
      </w:r>
    </w:p>
    <w:p>
      <w:pPr>
        <w:bidi w:val="0"/>
        <w:rPr>
          <w:rFonts w:hint="eastAsia"/>
          <w:lang w:val="en-US" w:eastAsia="zh-CN"/>
        </w:rPr>
      </w:pPr>
      <w:r>
        <w:rPr>
          <w:rFonts w:hint="eastAsia" w:ascii="楷体_GB2312" w:hAnsi="楷体_GB2312" w:eastAsia="楷体_GB2312" w:cs="楷体_GB2312"/>
          <w:b w:val="0"/>
          <w:bCs w:val="0"/>
          <w:lang w:val="en-US" w:eastAsia="zh-CN"/>
        </w:rPr>
        <w:t>（一）工资福利支出0.00万元。</w:t>
      </w:r>
      <w:r>
        <w:rPr>
          <w:rFonts w:hint="eastAsia"/>
          <w:lang w:val="en-US" w:eastAsia="zh-CN"/>
        </w:rPr>
        <w:t>主要包括：基本工资、津贴补贴、奖金、伙食补助费、绩效工资、机关事业单位基本养老保险缴费、职业年金缴费、职工基本医疗保险缴费、公务员医疗补助缴费、其他社会保障缴费、住房公积金、医疗费、其他工资福利支出等。</w:t>
      </w:r>
    </w:p>
    <w:p>
      <w:pPr>
        <w:bidi w:val="0"/>
        <w:rPr>
          <w:rFonts w:hint="eastAsia"/>
          <w:lang w:val="en-US" w:eastAsia="zh-CN"/>
        </w:rPr>
      </w:pPr>
      <w:r>
        <w:rPr>
          <w:rFonts w:hint="eastAsia" w:ascii="楷体_GB2312" w:hAnsi="楷体_GB2312" w:eastAsia="楷体_GB2312" w:cs="楷体_GB2312"/>
          <w:b w:val="0"/>
          <w:bCs w:val="0"/>
          <w:lang w:val="en-US" w:eastAsia="zh-CN"/>
        </w:rPr>
        <w:t>（二）商品和服务支出107.26万元。</w:t>
      </w:r>
      <w:r>
        <w:rPr>
          <w:rFonts w:hint="eastAsia"/>
          <w:lang w:val="en-US" w:eastAsia="zh-CN"/>
        </w:rPr>
        <w:t>主要包括：办公费4.00万元、印刷费7.89万元、差旅费13.99万元、会议费12.30元、培训费28.38万元、公务接待费1.50万元、其他交通费用14.10万元、其他商品和服务支出25.10万元、。</w:t>
      </w:r>
    </w:p>
    <w:p>
      <w:pPr>
        <w:keepNext w:val="0"/>
        <w:keepLines w:val="0"/>
        <w:pageBreakBefore w:val="0"/>
        <w:widowControl w:val="0"/>
        <w:kinsoku/>
        <w:wordWrap/>
        <w:overflowPunct/>
        <w:topLinePunct w:val="0"/>
        <w:autoSpaceDE/>
        <w:autoSpaceDN/>
        <w:bidi w:val="0"/>
        <w:adjustRightInd/>
        <w:snapToGrid/>
        <w:textAlignment w:val="auto"/>
        <w:rPr>
          <w:rFonts w:ascii="FangSong_GB2312" w:hAnsi="FangSong_GB2312" w:eastAsia="FangSong_GB2312" w:cs="FangSong_GB2312"/>
          <w:kern w:val="0"/>
          <w:sz w:val="32"/>
          <w:szCs w:val="32"/>
        </w:rPr>
      </w:pPr>
      <w:r>
        <w:rPr>
          <w:rFonts w:hint="eastAsia" w:ascii="楷体_GB2312" w:hAnsi="楷体_GB2312" w:eastAsia="楷体_GB2312" w:cs="楷体_GB2312"/>
          <w:b w:val="0"/>
          <w:bCs w:val="0"/>
          <w:lang w:val="en-US" w:eastAsia="zh-CN"/>
        </w:rPr>
        <w:t>（三）</w:t>
      </w:r>
      <w:r>
        <w:rPr>
          <w:rFonts w:hint="eastAsia" w:ascii="楷体_GB2312" w:hAnsi="楷体_GB2312" w:eastAsia="楷体_GB2312" w:cs="楷体_GB2312"/>
          <w:b w:val="0"/>
          <w:bCs w:val="0"/>
          <w:kern w:val="0"/>
          <w:sz w:val="32"/>
          <w:szCs w:val="32"/>
        </w:rPr>
        <w:t>资本性支出</w:t>
      </w:r>
      <w:r>
        <w:rPr>
          <w:rFonts w:hint="eastAsia" w:ascii="楷体_GB2312" w:hAnsi="楷体_GB2312" w:eastAsia="楷体_GB2312" w:cs="楷体_GB2312"/>
          <w:b w:val="0"/>
          <w:bCs w:val="0"/>
          <w:kern w:val="0"/>
          <w:sz w:val="32"/>
          <w:szCs w:val="32"/>
          <w:lang w:val="en-US" w:eastAsia="zh-CN"/>
        </w:rPr>
        <w:t>0</w:t>
      </w:r>
      <w:r>
        <w:rPr>
          <w:rFonts w:hint="eastAsia" w:ascii="楷体_GB2312" w:hAnsi="楷体_GB2312" w:eastAsia="楷体_GB2312" w:cs="楷体_GB2312"/>
          <w:b w:val="0"/>
          <w:bCs w:val="0"/>
          <w:kern w:val="0"/>
          <w:sz w:val="32"/>
          <w:szCs w:val="32"/>
        </w:rPr>
        <w:t>万元。</w:t>
      </w:r>
      <w:r>
        <w:rPr>
          <w:rFonts w:ascii="FangSong_GB2312" w:hAnsi="FangSong_GB2312" w:eastAsia="FangSong_GB2312" w:cs="FangSong_GB2312"/>
          <w:kern w:val="0"/>
          <w:sz w:val="32"/>
          <w:szCs w:val="32"/>
        </w:rPr>
        <w:t>主要包括：房屋建筑物构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w:t>
      </w:r>
    </w:p>
    <w:p>
      <w:pPr>
        <w:pStyle w:val="3"/>
        <w:bidi w:val="0"/>
        <w:rPr>
          <w:rFonts w:hint="eastAsia"/>
          <w:lang w:val="en-US" w:eastAsia="zh-CN"/>
        </w:rPr>
      </w:pPr>
      <w:r>
        <w:rPr>
          <w:rFonts w:hint="eastAsia"/>
          <w:lang w:val="en-US" w:eastAsia="zh-CN"/>
        </w:rPr>
        <w:t>八、财政拨款“三公”经费支出决算情况说明</w:t>
      </w:r>
    </w:p>
    <w:p>
      <w:pPr>
        <w:pStyle w:val="4"/>
        <w:bidi w:val="0"/>
        <w:rPr>
          <w:rFonts w:hint="eastAsia"/>
          <w:b w:val="0"/>
          <w:bCs w:val="0"/>
          <w:lang w:eastAsia="zh-CN"/>
        </w:rPr>
      </w:pPr>
      <w:r>
        <w:rPr>
          <w:rFonts w:hint="eastAsia"/>
          <w:b w:val="0"/>
          <w:bCs w:val="0"/>
          <w:lang w:val="en-US" w:eastAsia="zh-CN"/>
        </w:rPr>
        <w:t>（一）财政拨款“三公”经费支出总</w:t>
      </w:r>
      <w:r>
        <w:rPr>
          <w:rFonts w:hint="eastAsia"/>
          <w:b w:val="0"/>
          <w:bCs w:val="0"/>
          <w:lang w:eastAsia="zh-CN"/>
        </w:rPr>
        <w:t>体情况说明</w:t>
      </w:r>
    </w:p>
    <w:p>
      <w:pPr>
        <w:bidi w:val="0"/>
        <w:rPr>
          <w:rFonts w:hint="eastAsia"/>
        </w:rPr>
      </w:pPr>
      <w:r>
        <w:rPr>
          <w:rFonts w:hint="eastAsia"/>
        </w:rPr>
        <w:t>中共赤峰市委统一战线工作部</w:t>
      </w:r>
      <w:r>
        <w:rPr>
          <w:rFonts w:hint="eastAsia"/>
          <w:lang w:eastAsia="zh-CN"/>
        </w:rPr>
        <w:t>202</w:t>
      </w:r>
      <w:r>
        <w:rPr>
          <w:rFonts w:hint="eastAsia"/>
          <w:lang w:val="en-US" w:eastAsia="zh-CN"/>
        </w:rPr>
        <w:t>5</w:t>
      </w:r>
      <w:r>
        <w:rPr>
          <w:rFonts w:hint="eastAsia"/>
        </w:rPr>
        <w:t>年度财政拨款“三公”经费全年预算</w:t>
      </w:r>
      <w:r>
        <w:rPr>
          <w:rFonts w:hint="eastAsia"/>
          <w:lang w:val="en-US" w:eastAsia="zh-CN"/>
        </w:rPr>
        <w:t>5</w:t>
      </w:r>
      <w:r>
        <w:rPr>
          <w:rFonts w:hint="eastAsia"/>
        </w:rPr>
        <w:t>.00万元，支出决算</w:t>
      </w:r>
      <w:r>
        <w:rPr>
          <w:rFonts w:hint="eastAsia"/>
          <w:lang w:val="en-US" w:eastAsia="zh-CN"/>
        </w:rPr>
        <w:t>1.50</w:t>
      </w:r>
      <w:r>
        <w:rPr>
          <w:rFonts w:hint="eastAsia"/>
        </w:rPr>
        <w:t>万元，完成预算的</w:t>
      </w:r>
      <w:r>
        <w:rPr>
          <w:rFonts w:hint="eastAsia"/>
          <w:lang w:val="en-US" w:eastAsia="zh-CN"/>
        </w:rPr>
        <w:t>29.91</w:t>
      </w:r>
      <w:r>
        <w:rPr>
          <w:rFonts w:hint="eastAsia"/>
        </w:rPr>
        <w:t>%。其中：因公出国（境）费全年预算</w:t>
      </w:r>
      <w:r>
        <w:rPr>
          <w:rFonts w:hint="eastAsia"/>
          <w:lang w:val="en-US" w:eastAsia="zh-CN"/>
        </w:rPr>
        <w:t>0</w:t>
      </w:r>
      <w:r>
        <w:rPr>
          <w:rFonts w:hint="eastAsia"/>
        </w:rPr>
        <w:t>.00万元，支出决算0.00万元，完成预算的0.00%；公务用车购置及运行维护费全年预算0.00万元，支出决算0.00万元；公务接待费全年预算5.00万元，支出决算</w:t>
      </w:r>
      <w:r>
        <w:rPr>
          <w:rFonts w:hint="eastAsia"/>
          <w:lang w:val="en-US" w:eastAsia="zh-CN"/>
        </w:rPr>
        <w:t>1.50</w:t>
      </w:r>
      <w:r>
        <w:rPr>
          <w:rFonts w:hint="eastAsia"/>
        </w:rPr>
        <w:t>万元，完成预算的</w:t>
      </w:r>
      <w:r>
        <w:rPr>
          <w:rFonts w:hint="eastAsia"/>
          <w:lang w:val="en-US" w:eastAsia="zh-CN"/>
        </w:rPr>
        <w:t>29.91</w:t>
      </w:r>
      <w:r>
        <w:rPr>
          <w:rFonts w:hint="eastAsia"/>
        </w:rPr>
        <w:t>%。</w:t>
      </w:r>
      <w:r>
        <w:rPr>
          <w:rFonts w:hint="eastAsia"/>
          <w:lang w:eastAsia="zh-CN"/>
        </w:rPr>
        <w:t>202</w:t>
      </w:r>
      <w:r>
        <w:rPr>
          <w:rFonts w:hint="eastAsia"/>
          <w:lang w:val="en-US" w:eastAsia="zh-CN"/>
        </w:rPr>
        <w:t>5</w:t>
      </w:r>
      <w:r>
        <w:rPr>
          <w:rFonts w:hint="eastAsia"/>
        </w:rPr>
        <w:t>年度一般公共预算财政拨款“三公”经费支出决算与预算差异原因</w:t>
      </w:r>
      <w:r>
        <w:rPr>
          <w:rFonts w:hint="eastAsia"/>
          <w:lang w:eastAsia="zh-CN"/>
        </w:rPr>
        <w:t>：</w:t>
      </w:r>
      <w:r>
        <w:rPr>
          <w:rFonts w:hint="eastAsia"/>
          <w:lang w:val="en-US" w:eastAsia="zh-CN"/>
        </w:rPr>
        <w:t>截止10月份单位实有资金（包含在途资金）按50%压减。</w:t>
      </w:r>
    </w:p>
    <w:p>
      <w:pPr>
        <w:pStyle w:val="4"/>
        <w:bidi w:val="0"/>
        <w:rPr>
          <w:rFonts w:hint="eastAsia"/>
          <w:b w:val="0"/>
          <w:bCs w:val="0"/>
        </w:rPr>
      </w:pPr>
      <w:r>
        <w:rPr>
          <w:rFonts w:hint="eastAsia"/>
          <w:b w:val="0"/>
          <w:bCs w:val="0"/>
          <w:lang w:eastAsia="zh-CN"/>
        </w:rPr>
        <w:t>（</w:t>
      </w:r>
      <w:r>
        <w:rPr>
          <w:rFonts w:hint="eastAsia"/>
          <w:b w:val="0"/>
          <w:bCs w:val="0"/>
          <w:lang w:val="en-US" w:eastAsia="zh-CN"/>
        </w:rPr>
        <w:t>二</w:t>
      </w:r>
      <w:r>
        <w:rPr>
          <w:rFonts w:hint="eastAsia"/>
          <w:b w:val="0"/>
          <w:bCs w:val="0"/>
          <w:lang w:eastAsia="zh-CN"/>
        </w:rPr>
        <w:t>）</w:t>
      </w:r>
      <w:r>
        <w:rPr>
          <w:rFonts w:hint="eastAsia"/>
          <w:b w:val="0"/>
          <w:bCs w:val="0"/>
        </w:rPr>
        <w:t>财政拨款“三公”经费支出具体情况说明</w:t>
      </w:r>
    </w:p>
    <w:p>
      <w:pPr>
        <w:bidi w:val="0"/>
        <w:rPr>
          <w:rFonts w:hint="eastAsia"/>
        </w:rPr>
      </w:pPr>
      <w:r>
        <w:rPr>
          <w:rFonts w:hint="eastAsia" w:ascii="仿宋_GB2312" w:hAnsi="仿宋_GB2312" w:eastAsia="仿宋_GB2312" w:cs="Times New Roman"/>
          <w:color w:val="auto"/>
          <w:kern w:val="2"/>
          <w:szCs w:val="24"/>
        </w:rPr>
        <w:t>中共赤峰市委统一战线工作部</w:t>
      </w:r>
      <w:r>
        <w:rPr>
          <w:rFonts w:hint="eastAsia" w:ascii="仿宋_GB2312" w:hAnsi="仿宋_GB2312" w:eastAsia="仿宋_GB2312" w:cs="Times New Roman"/>
          <w:color w:val="auto"/>
          <w:kern w:val="2"/>
          <w:szCs w:val="24"/>
          <w:lang w:eastAsia="zh-CN"/>
        </w:rPr>
        <w:t>202</w:t>
      </w:r>
      <w:r>
        <w:rPr>
          <w:rFonts w:hint="eastAsia" w:cs="Times New Roman"/>
          <w:color w:val="auto"/>
          <w:kern w:val="2"/>
          <w:szCs w:val="24"/>
          <w:lang w:val="en-US" w:eastAsia="zh-CN"/>
        </w:rPr>
        <w:t>5</w:t>
      </w:r>
      <w:r>
        <w:rPr>
          <w:rFonts w:hint="eastAsia" w:ascii="仿宋_GB2312" w:hAnsi="仿宋_GB2312" w:eastAsia="仿宋_GB2312" w:cs="Times New Roman"/>
          <w:color w:val="auto"/>
          <w:kern w:val="2"/>
          <w:szCs w:val="24"/>
        </w:rPr>
        <w:t>年度财政拨款“三公”经费</w:t>
      </w:r>
      <w:r>
        <w:rPr>
          <w:rFonts w:hint="eastAsia"/>
        </w:rPr>
        <w:t>支出</w:t>
      </w:r>
      <w:r>
        <w:rPr>
          <w:rFonts w:hint="eastAsia"/>
          <w:lang w:val="en-US" w:eastAsia="zh-CN"/>
        </w:rPr>
        <w:t>1.50</w:t>
      </w:r>
      <w:r>
        <w:rPr>
          <w:rFonts w:hint="eastAsia"/>
        </w:rPr>
        <w:t>万元。因公出国（境）费支出0.00万元，占0.00%；公务用车购置及运行维护费支出0.00万元，占0.00%；公务接待费支出</w:t>
      </w:r>
      <w:r>
        <w:rPr>
          <w:rFonts w:hint="eastAsia"/>
          <w:lang w:val="en-US" w:eastAsia="zh-CN"/>
        </w:rPr>
        <w:t>1.50</w:t>
      </w:r>
      <w:r>
        <w:rPr>
          <w:rFonts w:hint="eastAsia"/>
        </w:rPr>
        <w:t>万元，占100.00%。其中：</w:t>
      </w:r>
    </w:p>
    <w:p>
      <w:pPr>
        <w:bidi w:val="0"/>
        <w:rPr>
          <w:rFonts w:hint="eastAsia"/>
        </w:rPr>
      </w:pPr>
      <w:r>
        <w:rPr>
          <w:rFonts w:hint="eastAsia"/>
        </w:rPr>
        <w:t>1.因公出国（境）费支出0.00万元，全年出国（境）团组0 个，累计0人次。与上年决算相比，增加0.00万元。</w:t>
      </w:r>
    </w:p>
    <w:p>
      <w:pPr>
        <w:bidi w:val="0"/>
        <w:rPr>
          <w:rFonts w:hint="eastAsia"/>
        </w:rPr>
      </w:pPr>
      <w:r>
        <w:rPr>
          <w:rFonts w:hint="eastAsia"/>
        </w:rPr>
        <w:t>2.公务用车购置及运行维护费支出0.00万元。其中：</w:t>
      </w:r>
    </w:p>
    <w:p>
      <w:pPr>
        <w:bidi w:val="0"/>
        <w:rPr>
          <w:rFonts w:hint="eastAsia"/>
          <w:lang w:eastAsia="zh-CN"/>
        </w:rPr>
      </w:pPr>
      <w:r>
        <w:rPr>
          <w:rFonts w:hint="eastAsia"/>
        </w:rPr>
        <w:t>（1）公务用车购置支出0.00万元。本年度使用财政拨款购置公务用车0 辆。与上年决算相比，增加0.00万元。</w:t>
      </w:r>
    </w:p>
    <w:p>
      <w:pPr>
        <w:bidi w:val="0"/>
        <w:rPr>
          <w:rFonts w:hint="eastAsia"/>
        </w:rPr>
      </w:pPr>
      <w:r>
        <w:rPr>
          <w:rFonts w:hint="eastAsia"/>
        </w:rPr>
        <w:t>（</w:t>
      </w:r>
      <w:r>
        <w:rPr>
          <w:rFonts w:hint="default"/>
        </w:rPr>
        <w:t>2</w:t>
      </w:r>
      <w:r>
        <w:rPr>
          <w:rFonts w:hint="eastAsia"/>
        </w:rPr>
        <w:t>）公务用车运行维护费支出0万元。公务用车运行维护费主要用于按规定保留的公务用车的燃料费、维修费、过桥过路费、保险费、安全奖励费用等支出。截至</w:t>
      </w:r>
      <w:r>
        <w:rPr>
          <w:rFonts w:hint="eastAsia"/>
          <w:lang w:eastAsia="zh-CN"/>
        </w:rPr>
        <w:t>2024</w:t>
      </w:r>
      <w:r>
        <w:rPr>
          <w:rFonts w:hint="eastAsia"/>
        </w:rPr>
        <w:t>年12月31日，使用财政拨款开支的公务用车保有量为0辆。与上年决算相比，增加0万元。</w:t>
      </w:r>
    </w:p>
    <w:p>
      <w:pPr>
        <w:bidi w:val="0"/>
        <w:rPr>
          <w:rFonts w:hint="eastAsia"/>
        </w:rPr>
      </w:pPr>
      <w:r>
        <w:rPr>
          <w:rFonts w:hint="eastAsia"/>
        </w:rPr>
        <w:t>3.公务接待费支出</w:t>
      </w:r>
      <w:r>
        <w:rPr>
          <w:rFonts w:hint="eastAsia"/>
          <w:lang w:val="en-US" w:eastAsia="zh-CN"/>
        </w:rPr>
        <w:t>1.50</w:t>
      </w:r>
      <w:r>
        <w:rPr>
          <w:rFonts w:hint="eastAsia"/>
        </w:rPr>
        <w:t>万元。其中：国内公务接待支出</w:t>
      </w:r>
      <w:r>
        <w:rPr>
          <w:rFonts w:hint="eastAsia"/>
          <w:lang w:val="en-US" w:eastAsia="zh-CN"/>
        </w:rPr>
        <w:t>1.50</w:t>
      </w:r>
      <w:r>
        <w:rPr>
          <w:rFonts w:hint="eastAsia"/>
        </w:rPr>
        <w:t>万元，接待</w:t>
      </w:r>
      <w:r>
        <w:rPr>
          <w:rFonts w:hint="eastAsia"/>
          <w:lang w:val="en-US" w:eastAsia="zh-CN"/>
        </w:rPr>
        <w:t>16</w:t>
      </w:r>
      <w:r>
        <w:rPr>
          <w:rFonts w:hint="eastAsia"/>
        </w:rPr>
        <w:t>批次，</w:t>
      </w:r>
      <w:r>
        <w:rPr>
          <w:rFonts w:hint="eastAsia"/>
          <w:lang w:val="en-US" w:eastAsia="zh-CN"/>
        </w:rPr>
        <w:t>150</w:t>
      </w:r>
      <w:r>
        <w:rPr>
          <w:rFonts w:hint="eastAsia"/>
        </w:rPr>
        <w:t>人次，开支内容：</w:t>
      </w:r>
      <w:r>
        <w:rPr>
          <w:rFonts w:hint="eastAsia"/>
          <w:lang w:val="en-US" w:eastAsia="zh-CN"/>
        </w:rPr>
        <w:t>自治区党委统战部、各民主党派、港澳台侨侨属等考察调研及同心服务活动产生的招待费</w:t>
      </w:r>
      <w:r>
        <w:rPr>
          <w:rFonts w:hint="eastAsia"/>
        </w:rPr>
        <w:t>；国（境）外公</w:t>
      </w:r>
      <w:r>
        <w:rPr>
          <w:rFonts w:hint="eastAsia"/>
          <w:lang w:val="en-US" w:eastAsia="zh-CN"/>
        </w:rPr>
        <w:t>务</w:t>
      </w:r>
      <w:r>
        <w:rPr>
          <w:rFonts w:hint="eastAsia"/>
        </w:rPr>
        <w:t>接待支出0.00万元，接待0批次，0人次。与上年决算相比，</w:t>
      </w:r>
      <w:r>
        <w:rPr>
          <w:rFonts w:hint="eastAsia"/>
          <w:lang w:val="en-US" w:eastAsia="zh-CN"/>
        </w:rPr>
        <w:t>减少3.17</w:t>
      </w:r>
      <w:r>
        <w:rPr>
          <w:rFonts w:hint="eastAsia"/>
        </w:rPr>
        <w:t>万元，</w:t>
      </w:r>
      <w:r>
        <w:rPr>
          <w:rFonts w:hint="eastAsia"/>
          <w:lang w:val="en-US" w:eastAsia="zh-CN"/>
        </w:rPr>
        <w:t>下降67.93</w:t>
      </w:r>
      <w:r>
        <w:rPr>
          <w:rFonts w:hint="eastAsia"/>
        </w:rPr>
        <w:t>%，变动原因：</w:t>
      </w:r>
      <w:r>
        <w:rPr>
          <w:rFonts w:hint="eastAsia"/>
          <w:lang w:val="en-US" w:eastAsia="zh-CN"/>
        </w:rPr>
        <w:t>截止10月份单位实有资金（包含在途资金）按50%压减。</w:t>
      </w:r>
    </w:p>
    <w:p>
      <w:pPr>
        <w:pStyle w:val="3"/>
        <w:bidi w:val="0"/>
        <w:rPr>
          <w:rFonts w:hint="eastAsia"/>
        </w:rPr>
      </w:pPr>
      <w:r>
        <w:rPr>
          <w:rFonts w:hint="eastAsia"/>
        </w:rPr>
        <w:t>九、政府性基金预算财政拨款支出决算情况说明</w:t>
      </w:r>
    </w:p>
    <w:p>
      <w:pPr>
        <w:bidi w:val="0"/>
        <w:rPr>
          <w:rFonts w:hint="eastAsia"/>
          <w:lang w:val="en-US" w:eastAsia="zh-CN"/>
        </w:rPr>
      </w:pPr>
      <w:r>
        <w:rPr>
          <w:rFonts w:hint="eastAsia"/>
          <w:lang w:val="en-US" w:eastAsia="zh-CN"/>
        </w:rPr>
        <w:t>中共赤峰市委统一战线工作部2025年度政府性基金预算财政拨款支出决算0.00万元。与上年决算相比，增加0.00万元，变动原因：本部门无政府性基金预算财政拨款收、支、余。</w:t>
      </w:r>
    </w:p>
    <w:p>
      <w:pPr>
        <w:pStyle w:val="3"/>
        <w:bidi w:val="0"/>
        <w:rPr>
          <w:rFonts w:hint="eastAsia"/>
        </w:rPr>
      </w:pPr>
      <w:r>
        <w:rPr>
          <w:rFonts w:hint="eastAsia"/>
        </w:rPr>
        <w:t>十、国有资本经营预算财政拨款支出决算情况说明</w:t>
      </w:r>
    </w:p>
    <w:p>
      <w:pPr>
        <w:bidi w:val="0"/>
      </w:pPr>
      <w:r>
        <w:rPr>
          <w:rFonts w:hint="eastAsia"/>
        </w:rPr>
        <w:t>中共赤峰市委统一战线工作部</w:t>
      </w:r>
      <w:r>
        <w:rPr>
          <w:rFonts w:hint="eastAsia"/>
          <w:lang w:eastAsia="zh-CN"/>
        </w:rPr>
        <w:t>202</w:t>
      </w:r>
      <w:r>
        <w:rPr>
          <w:rFonts w:hint="eastAsia"/>
          <w:lang w:val="en-US" w:eastAsia="zh-CN"/>
        </w:rPr>
        <w:t>5</w:t>
      </w:r>
      <w:r>
        <w:rPr>
          <w:rFonts w:hint="eastAsia"/>
        </w:rPr>
        <w:t>年度国有资本经营预算财政拨款支出决算0.00万元。与上年决算相比，增</w:t>
      </w:r>
      <w:r>
        <w:rPr>
          <w:rFonts w:hint="eastAsia"/>
          <w:lang w:val="en-US" w:eastAsia="zh-CN"/>
        </w:rPr>
        <w:t>加</w:t>
      </w:r>
      <w:r>
        <w:rPr>
          <w:rFonts w:hint="eastAsia"/>
        </w:rPr>
        <w:t>0.00万元，变动原因：本部门无国有资本经营预算财政拨款收、支、余。</w:t>
      </w:r>
    </w:p>
    <w:p>
      <w:pPr>
        <w:pStyle w:val="3"/>
        <w:bidi w:val="0"/>
        <w:rPr>
          <w:rFonts w:hint="eastAsia"/>
        </w:rPr>
      </w:pPr>
      <w:r>
        <w:rPr>
          <w:rFonts w:hint="eastAsia"/>
          <w:lang w:val="en-US" w:eastAsia="zh-CN"/>
        </w:rPr>
        <w:t>十一、</w:t>
      </w:r>
      <w:r>
        <w:rPr>
          <w:rFonts w:hint="eastAsia"/>
        </w:rPr>
        <w:t>机构运行经费支出决算情况说明</w:t>
      </w:r>
    </w:p>
    <w:p>
      <w:pPr>
        <w:bidi w:val="0"/>
        <w:rPr>
          <w:rFonts w:hint="default"/>
          <w:lang w:val="en-US" w:eastAsia="zh-CN"/>
        </w:rPr>
      </w:pPr>
      <w:r>
        <w:rPr>
          <w:rFonts w:hint="eastAsia"/>
        </w:rPr>
        <w:t>中共赤峰市委统一战线工作部</w:t>
      </w:r>
      <w:r>
        <w:rPr>
          <w:rFonts w:hint="eastAsia"/>
          <w:lang w:eastAsia="zh-CN"/>
        </w:rPr>
        <w:t>202</w:t>
      </w:r>
      <w:r>
        <w:rPr>
          <w:rFonts w:hint="eastAsia"/>
          <w:lang w:val="en-US" w:eastAsia="zh-CN"/>
        </w:rPr>
        <w:t>5</w:t>
      </w:r>
      <w:r>
        <w:rPr>
          <w:rFonts w:hint="eastAsia"/>
        </w:rPr>
        <w:t>年度机构运行经费支出决算</w:t>
      </w:r>
      <w:r>
        <w:rPr>
          <w:rFonts w:hint="eastAsia"/>
          <w:lang w:val="en-US" w:eastAsia="zh-CN"/>
        </w:rPr>
        <w:t>75.77</w:t>
      </w:r>
      <w:r>
        <w:rPr>
          <w:rFonts w:hint="eastAsia"/>
        </w:rPr>
        <w:t>万元。比上年决算相比，减少6.</w:t>
      </w:r>
      <w:r>
        <w:rPr>
          <w:rFonts w:hint="eastAsia"/>
          <w:lang w:val="en-US" w:eastAsia="zh-CN"/>
        </w:rPr>
        <w:t>44</w:t>
      </w:r>
      <w:r>
        <w:rPr>
          <w:rFonts w:hint="eastAsia"/>
        </w:rPr>
        <w:t>万元，下降</w:t>
      </w:r>
      <w:r>
        <w:rPr>
          <w:rFonts w:hint="eastAsia"/>
          <w:lang w:val="en-US" w:eastAsia="zh-CN"/>
        </w:rPr>
        <w:t>7.83</w:t>
      </w:r>
      <w:r>
        <w:rPr>
          <w:rFonts w:hint="eastAsia"/>
        </w:rPr>
        <w:t>%，变动原因：</w:t>
      </w:r>
      <w:r>
        <w:rPr>
          <w:rFonts w:hint="eastAsia"/>
          <w:lang w:val="en-US" w:eastAsia="zh-CN"/>
        </w:rPr>
        <w:t>按照市委、政府过紧日子要求，减少机构运行支出。</w:t>
      </w:r>
    </w:p>
    <w:p>
      <w:pPr>
        <w:pStyle w:val="3"/>
        <w:bidi w:val="0"/>
        <w:rPr>
          <w:rFonts w:hint="eastAsia"/>
        </w:rPr>
      </w:pPr>
      <w:r>
        <w:rPr>
          <w:rFonts w:hint="eastAsia"/>
          <w:lang w:val="en-US" w:eastAsia="zh-CN"/>
        </w:rPr>
        <w:t>十二</w:t>
      </w:r>
      <w:r>
        <w:rPr>
          <w:rFonts w:hint="eastAsia"/>
        </w:rPr>
        <w:t>、政府采购支出决算情况说明</w:t>
      </w:r>
    </w:p>
    <w:p>
      <w:pPr>
        <w:bidi w:val="0"/>
        <w:rPr>
          <w:rFonts w:hint="eastAsia"/>
        </w:rPr>
      </w:pPr>
      <w:r>
        <w:rPr>
          <w:rFonts w:hint="eastAsia"/>
        </w:rPr>
        <w:t>中共赤峰市委统一战线工作部</w:t>
      </w:r>
      <w:r>
        <w:rPr>
          <w:rFonts w:hint="eastAsia"/>
          <w:lang w:eastAsia="zh-CN"/>
        </w:rPr>
        <w:t>202</w:t>
      </w:r>
      <w:r>
        <w:rPr>
          <w:rFonts w:hint="eastAsia"/>
          <w:lang w:val="en-US" w:eastAsia="zh-CN"/>
        </w:rPr>
        <w:t>5</w:t>
      </w:r>
      <w:r>
        <w:rPr>
          <w:rFonts w:hint="eastAsia"/>
        </w:rPr>
        <w:t>年度政府采购支出总额</w:t>
      </w:r>
      <w:r>
        <w:rPr>
          <w:rFonts w:hint="eastAsia"/>
          <w:lang w:val="en-US" w:eastAsia="zh-CN"/>
        </w:rPr>
        <w:t>9.11</w:t>
      </w:r>
      <w:r>
        <w:rPr>
          <w:rFonts w:hint="eastAsia"/>
        </w:rPr>
        <w:t>万元，其中：政府采购货物支出1.</w:t>
      </w:r>
      <w:r>
        <w:rPr>
          <w:rFonts w:hint="eastAsia"/>
          <w:lang w:val="en-US" w:eastAsia="zh-CN"/>
        </w:rPr>
        <w:t>72</w:t>
      </w:r>
      <w:r>
        <w:rPr>
          <w:rFonts w:hint="eastAsia"/>
        </w:rPr>
        <w:t>万元、政府采购工程支出0万元、政府采购服务支出</w:t>
      </w:r>
      <w:r>
        <w:rPr>
          <w:rFonts w:hint="eastAsia"/>
          <w:lang w:val="en-US" w:eastAsia="zh-CN"/>
        </w:rPr>
        <w:t>7.39</w:t>
      </w:r>
      <w:r>
        <w:rPr>
          <w:rFonts w:hint="eastAsia"/>
        </w:rPr>
        <w:t>万元。政府采购授予中小企业合同金额</w:t>
      </w:r>
      <w:r>
        <w:rPr>
          <w:rFonts w:hint="eastAsia"/>
          <w:lang w:val="en-US" w:eastAsia="zh-CN"/>
        </w:rPr>
        <w:t>9.11</w:t>
      </w:r>
      <w:r>
        <w:rPr>
          <w:rFonts w:hint="eastAsia"/>
        </w:rPr>
        <w:t>万元，占政府采购支出总额的</w:t>
      </w:r>
      <w:r>
        <w:rPr>
          <w:rFonts w:hint="eastAsia"/>
          <w:lang w:val="en-US" w:eastAsia="zh-CN"/>
        </w:rPr>
        <w:t>100</w:t>
      </w:r>
      <w:r>
        <w:rPr>
          <w:rFonts w:hint="eastAsia"/>
        </w:rPr>
        <w:t>%，其中：授予小微企业合同金额</w:t>
      </w:r>
      <w:r>
        <w:rPr>
          <w:rFonts w:hint="eastAsia"/>
          <w:lang w:val="en-US" w:eastAsia="zh-CN"/>
        </w:rPr>
        <w:t>9.11</w:t>
      </w:r>
      <w:r>
        <w:rPr>
          <w:rFonts w:hint="eastAsia"/>
        </w:rPr>
        <w:t>万元，占政府采购支出总额的</w:t>
      </w:r>
      <w:r>
        <w:rPr>
          <w:rFonts w:hint="eastAsia"/>
          <w:lang w:val="en-US" w:eastAsia="zh-CN"/>
        </w:rPr>
        <w:t>100</w:t>
      </w:r>
      <w:r>
        <w:rPr>
          <w:rFonts w:hint="eastAsia"/>
        </w:rPr>
        <w:t>%；货物采购授予中小企业合同金额占货物支出金额的</w:t>
      </w:r>
      <w:r>
        <w:rPr>
          <w:rFonts w:hint="eastAsia"/>
          <w:lang w:val="en-US" w:eastAsia="zh-CN"/>
        </w:rPr>
        <w:t>100</w:t>
      </w:r>
      <w:r>
        <w:rPr>
          <w:rFonts w:hint="eastAsia"/>
        </w:rPr>
        <w:t>%，服务采购授予中小企业合同金额占服务支出金额的</w:t>
      </w:r>
      <w:r>
        <w:rPr>
          <w:rFonts w:hint="eastAsia"/>
          <w:lang w:val="en-US" w:eastAsia="zh-CN"/>
        </w:rPr>
        <w:t>100</w:t>
      </w:r>
      <w:r>
        <w:rPr>
          <w:rFonts w:hint="eastAsia"/>
        </w:rPr>
        <w:t>%。</w:t>
      </w:r>
    </w:p>
    <w:p>
      <w:pPr>
        <w:pStyle w:val="3"/>
        <w:bidi w:val="0"/>
        <w:rPr>
          <w:rFonts w:hint="eastAsia"/>
        </w:rPr>
      </w:pPr>
      <w:r>
        <w:rPr>
          <w:rFonts w:hint="eastAsia"/>
        </w:rPr>
        <w:t>十</w:t>
      </w:r>
      <w:r>
        <w:rPr>
          <w:rFonts w:hint="eastAsia"/>
          <w:lang w:val="en-US" w:eastAsia="zh-CN"/>
        </w:rPr>
        <w:t>三</w:t>
      </w:r>
      <w:r>
        <w:rPr>
          <w:rFonts w:hint="eastAsia"/>
        </w:rPr>
        <w:t>、国有资产占用情况说明</w:t>
      </w:r>
    </w:p>
    <w:p>
      <w:pPr>
        <w:bidi w:val="0"/>
        <w:rPr>
          <w:rFonts w:hint="eastAsia"/>
        </w:rPr>
      </w:pPr>
      <w:r>
        <w:rPr>
          <w:rFonts w:hint="eastAsia"/>
        </w:rPr>
        <w:t>中共赤峰市委统一战线工作部截至</w:t>
      </w:r>
      <w:r>
        <w:rPr>
          <w:rFonts w:hint="eastAsia"/>
          <w:lang w:eastAsia="zh-CN"/>
        </w:rPr>
        <w:t>202</w:t>
      </w:r>
      <w:r>
        <w:rPr>
          <w:rFonts w:hint="eastAsia"/>
          <w:lang w:val="en-US" w:eastAsia="zh-CN"/>
        </w:rPr>
        <w:t>5</w:t>
      </w:r>
      <w:r>
        <w:rPr>
          <w:rFonts w:hint="eastAsia"/>
        </w:rPr>
        <w:t>年12月31日，本部门共有车辆0辆，其中：副部（省）级及以上领导用车0辆、主要负责人用车0辆、机要通信用车0辆、应急保障用车0辆、执法执勤用车0辆、特种专业技术用车0辆、离退休干部服务用车0辆，其他用车0辆；单价100万元（含）以上的设备（不含车辆）0台（套）。</w:t>
      </w:r>
    </w:p>
    <w:p>
      <w:pPr>
        <w:pStyle w:val="3"/>
        <w:bidi w:val="0"/>
        <w:rPr>
          <w:rFonts w:hint="eastAsia"/>
        </w:rPr>
      </w:pPr>
      <w:r>
        <w:rPr>
          <w:rFonts w:hint="eastAsia"/>
        </w:rPr>
        <w:t>十</w:t>
      </w:r>
      <w:r>
        <w:rPr>
          <w:rFonts w:hint="eastAsia"/>
          <w:lang w:val="en-US" w:eastAsia="zh-CN"/>
        </w:rPr>
        <w:t>四</w:t>
      </w:r>
      <w:r>
        <w:rPr>
          <w:rFonts w:hint="eastAsia"/>
        </w:rPr>
        <w:t>、预算绩效情况说明</w:t>
      </w:r>
    </w:p>
    <w:p>
      <w:pPr>
        <w:pStyle w:val="4"/>
        <w:bidi w:val="0"/>
        <w:rPr>
          <w:rFonts w:hint="eastAsia"/>
          <w:lang w:val="en-US" w:eastAsia="zh-CN"/>
        </w:rPr>
      </w:pPr>
      <w:r>
        <w:rPr>
          <w:rFonts w:hint="eastAsia"/>
          <w:lang w:val="en-US" w:eastAsia="zh-CN"/>
        </w:rPr>
        <w:t>（一）预算绩效管理工作开展情况</w:t>
      </w:r>
    </w:p>
    <w:p>
      <w:pPr>
        <w:bidi w:val="0"/>
        <w:rPr>
          <w:rFonts w:hint="eastAsia"/>
          <w:lang w:eastAsia="zh-CN"/>
        </w:rPr>
      </w:pPr>
      <w:r>
        <w:rPr>
          <w:rFonts w:hint="eastAsia"/>
        </w:rPr>
        <w:t>中共赤峰市委统一战线工作部根据预算绩效管理要求组织对</w:t>
      </w:r>
      <w:r>
        <w:rPr>
          <w:rFonts w:hint="eastAsia"/>
          <w:lang w:eastAsia="zh-CN"/>
        </w:rPr>
        <w:t>202</w:t>
      </w:r>
      <w:r>
        <w:rPr>
          <w:rFonts w:hint="eastAsia"/>
          <w:lang w:val="en-US" w:eastAsia="zh-CN"/>
        </w:rPr>
        <w:t>5</w:t>
      </w:r>
      <w:r>
        <w:rPr>
          <w:rFonts w:hint="eastAsia"/>
        </w:rPr>
        <w:t>年一般公共预算项目支出全面开展绩效自评，其中</w:t>
      </w:r>
      <w:r>
        <w:rPr>
          <w:rFonts w:hint="eastAsia"/>
          <w:lang w:val="en-US" w:eastAsia="zh-CN"/>
        </w:rPr>
        <w:t>二</w:t>
      </w:r>
      <w:r>
        <w:rPr>
          <w:rFonts w:hint="eastAsia"/>
        </w:rPr>
        <w:t>级项目</w:t>
      </w:r>
      <w:r>
        <w:rPr>
          <w:rFonts w:hint="eastAsia"/>
          <w:lang w:val="en-US" w:eastAsia="zh-CN"/>
        </w:rPr>
        <w:t>5</w:t>
      </w:r>
      <w:r>
        <w:rPr>
          <w:rFonts w:hint="eastAsia"/>
        </w:rPr>
        <w:t>个，共涉及资金</w:t>
      </w:r>
      <w:r>
        <w:rPr>
          <w:rFonts w:hint="eastAsia"/>
          <w:lang w:val="en-US" w:eastAsia="zh-CN"/>
        </w:rPr>
        <w:t>107.26</w:t>
      </w:r>
      <w:r>
        <w:rPr>
          <w:rFonts w:hint="eastAsia"/>
        </w:rPr>
        <w:t>万元，占一般公共预算项目支出总额的100%</w:t>
      </w:r>
      <w:r>
        <w:rPr>
          <w:rFonts w:hint="eastAsia"/>
          <w:lang w:eastAsia="zh-CN"/>
        </w:rPr>
        <w:t>。</w:t>
      </w:r>
    </w:p>
    <w:p>
      <w:pPr>
        <w:bidi w:val="0"/>
        <w:rPr>
          <w:rFonts w:hint="eastAsia"/>
        </w:rPr>
      </w:pPr>
      <w:r>
        <w:rPr>
          <w:rFonts w:hint="eastAsia"/>
        </w:rPr>
        <w:t>组织对“易地交流任职干部交通费补助”、“</w:t>
      </w:r>
      <w:r>
        <w:rPr>
          <w:rFonts w:hint="eastAsia"/>
          <w:lang w:val="en-US" w:eastAsia="zh-CN"/>
        </w:rPr>
        <w:t>统战工作经费（结转）</w:t>
      </w:r>
      <w:r>
        <w:rPr>
          <w:rFonts w:hint="eastAsia"/>
        </w:rPr>
        <w:t>”、“</w:t>
      </w:r>
      <w:r>
        <w:rPr>
          <w:rFonts w:hint="eastAsia"/>
          <w:lang w:val="en-US" w:eastAsia="zh-CN"/>
        </w:rPr>
        <w:t>统战工作经费</w:t>
      </w:r>
      <w:r>
        <w:rPr>
          <w:rFonts w:hint="eastAsia"/>
        </w:rPr>
        <w:t>”</w:t>
      </w:r>
      <w:r>
        <w:rPr>
          <w:rFonts w:hint="eastAsia"/>
          <w:lang w:eastAsia="zh-CN"/>
        </w:rPr>
        <w:t>、</w:t>
      </w:r>
      <w:r>
        <w:rPr>
          <w:rFonts w:hint="eastAsia"/>
        </w:rPr>
        <w:t>“</w:t>
      </w:r>
      <w:r>
        <w:rPr>
          <w:rFonts w:hint="eastAsia"/>
          <w:lang w:val="en-US" w:eastAsia="zh-CN"/>
        </w:rPr>
        <w:t>统战团体工作经费（结转）</w:t>
      </w:r>
      <w:r>
        <w:rPr>
          <w:rFonts w:hint="eastAsia"/>
        </w:rPr>
        <w:t>”“</w:t>
      </w:r>
      <w:r>
        <w:rPr>
          <w:rFonts w:hint="eastAsia"/>
          <w:lang w:val="en-US" w:eastAsia="zh-CN"/>
        </w:rPr>
        <w:t>统战团体工作经费</w:t>
      </w:r>
      <w:r>
        <w:rPr>
          <w:rFonts w:hint="eastAsia"/>
        </w:rPr>
        <w:t>”</w:t>
      </w:r>
      <w:r>
        <w:rPr>
          <w:rFonts w:hint="eastAsia"/>
          <w:lang w:val="en-US" w:eastAsia="zh-CN"/>
        </w:rPr>
        <w:t>5</w:t>
      </w:r>
      <w:r>
        <w:rPr>
          <w:rFonts w:hint="eastAsia"/>
        </w:rPr>
        <w:t>个项目开展了部门评价，涉及一般公共预算支出</w:t>
      </w:r>
      <w:r>
        <w:rPr>
          <w:rFonts w:hint="eastAsia"/>
          <w:lang w:val="en-US" w:eastAsia="zh-CN"/>
        </w:rPr>
        <w:t>107.26</w:t>
      </w:r>
      <w:r>
        <w:rPr>
          <w:rFonts w:hint="eastAsia"/>
        </w:rPr>
        <w:t>万元。</w:t>
      </w:r>
    </w:p>
    <w:p>
      <w:pPr>
        <w:pStyle w:val="4"/>
        <w:bidi w:val="0"/>
        <w:rPr>
          <w:rFonts w:hint="eastAsia"/>
          <w:lang w:val="en-US" w:eastAsia="zh-CN"/>
        </w:rPr>
      </w:pPr>
      <w:r>
        <w:rPr>
          <w:rFonts w:hint="eastAsia"/>
          <w:lang w:val="en-US" w:eastAsia="zh-CN"/>
        </w:rPr>
        <w:t>（二）部门决算中项目绩效自评结果</w:t>
      </w:r>
    </w:p>
    <w:p>
      <w:pPr>
        <w:bidi w:val="0"/>
        <w:rPr>
          <w:rFonts w:hint="eastAsia"/>
        </w:rPr>
      </w:pPr>
      <w:r>
        <w:rPr>
          <w:rFonts w:hint="eastAsia"/>
          <w:lang w:val="en-US" w:eastAsia="zh-CN"/>
        </w:rPr>
        <w:t>中共赤峰市委统一战线工作部2025年度在</w:t>
      </w:r>
      <w:r>
        <w:rPr>
          <w:rFonts w:hint="eastAsia"/>
        </w:rPr>
        <w:t>决算中反映</w:t>
      </w:r>
      <w:r>
        <w:rPr>
          <w:rFonts w:hint="eastAsia"/>
          <w:lang w:val="en-US" w:eastAsia="zh-CN"/>
        </w:rPr>
        <w:t>5</w:t>
      </w:r>
      <w:r>
        <w:rPr>
          <w:rFonts w:hint="eastAsia"/>
        </w:rPr>
        <w:t>个一般公共预算项目，共</w:t>
      </w:r>
      <w:r>
        <w:rPr>
          <w:rFonts w:hint="eastAsia"/>
          <w:lang w:val="en-US" w:eastAsia="zh-CN"/>
        </w:rPr>
        <w:t>5</w:t>
      </w:r>
      <w:r>
        <w:rPr>
          <w:rFonts w:hint="eastAsia"/>
        </w:rPr>
        <w:t>个项目的绩效自评结果。</w:t>
      </w:r>
    </w:p>
    <w:p>
      <w:pPr>
        <w:numPr>
          <w:ilvl w:val="0"/>
          <w:numId w:val="0"/>
        </w:numPr>
        <w:bidi w:val="0"/>
        <w:ind w:firstLine="632" w:firstLineChars="200"/>
        <w:rPr>
          <w:rFonts w:hint="eastAsia"/>
        </w:rPr>
      </w:pPr>
      <w:r>
        <w:rPr>
          <w:rFonts w:hint="eastAsia"/>
          <w:lang w:val="en-US" w:eastAsia="zh-CN"/>
        </w:rPr>
        <w:t>1.易地交流任职干部交通费补助</w:t>
      </w:r>
      <w:r>
        <w:rPr>
          <w:rFonts w:hint="eastAsia"/>
        </w:rPr>
        <w:t>自评综述：根据年初设定的绩效目标，项目自评得分</w:t>
      </w:r>
      <w:r>
        <w:rPr>
          <w:rFonts w:hint="eastAsia"/>
          <w:lang w:val="en-US" w:eastAsia="zh-CN"/>
        </w:rPr>
        <w:t>91.90</w:t>
      </w:r>
      <w:r>
        <w:rPr>
          <w:rFonts w:hint="eastAsia"/>
        </w:rPr>
        <w:t>分。全年预算数为</w:t>
      </w:r>
      <w:r>
        <w:rPr>
          <w:rFonts w:hint="eastAsia"/>
          <w:lang w:val="en-US" w:eastAsia="zh-CN"/>
        </w:rPr>
        <w:t>3.00</w:t>
      </w:r>
      <w:r>
        <w:rPr>
          <w:rFonts w:hint="eastAsia"/>
        </w:rPr>
        <w:t>万元，执行数为</w:t>
      </w:r>
      <w:r>
        <w:rPr>
          <w:rFonts w:hint="eastAsia"/>
          <w:lang w:val="en-US" w:eastAsia="zh-CN"/>
        </w:rPr>
        <w:t>1.17</w:t>
      </w:r>
      <w:r>
        <w:rPr>
          <w:rFonts w:hint="eastAsia"/>
        </w:rPr>
        <w:t>万元，完成预算的</w:t>
      </w:r>
      <w:r>
        <w:rPr>
          <w:rFonts w:hint="eastAsia"/>
          <w:lang w:val="en-US" w:eastAsia="zh-CN"/>
        </w:rPr>
        <w:t>39</w:t>
      </w:r>
      <w:r>
        <w:rPr>
          <w:rFonts w:hint="eastAsia"/>
        </w:rPr>
        <w:t>%。项目绩效目标完成情况：按照内蒙古自治区党委组织部 内蒙古自治区财政厅关于印发《内蒙古自治区党委管理的易地交流任职领导干部往返交通保障办法》的通知（内</w:t>
      </w:r>
      <w:r>
        <w:rPr>
          <w:rFonts w:hint="eastAsia"/>
          <w:lang w:val="en-US" w:eastAsia="zh-CN"/>
        </w:rPr>
        <w:t>组</w:t>
      </w:r>
      <w:r>
        <w:rPr>
          <w:rFonts w:hint="eastAsia"/>
        </w:rPr>
        <w:t>通字</w:t>
      </w:r>
      <w:r>
        <w:rPr>
          <w:rFonts w:hint="eastAsia" w:ascii="仿宋_GB2312" w:hAnsi="仿宋_GB2312" w:eastAsia="仿宋_GB2312" w:cs="仿宋_GB2312"/>
        </w:rPr>
        <w:t>〔</w:t>
      </w:r>
      <w:r>
        <w:rPr>
          <w:rFonts w:hint="eastAsia"/>
        </w:rPr>
        <w:t>2021</w:t>
      </w:r>
      <w:r>
        <w:rPr>
          <w:rFonts w:hint="eastAsia" w:ascii="仿宋_GB2312" w:hAnsi="仿宋_GB2312" w:eastAsia="仿宋_GB2312" w:cs="仿宋_GB2312"/>
        </w:rPr>
        <w:t>〕</w:t>
      </w:r>
      <w:r>
        <w:rPr>
          <w:rFonts w:hint="eastAsia"/>
        </w:rPr>
        <w:t>1号）文件标准。保障易地交流任职干部往返交通费的正常报销。</w:t>
      </w:r>
    </w:p>
    <w:p>
      <w:pPr>
        <w:numPr>
          <w:ilvl w:val="0"/>
          <w:numId w:val="0"/>
        </w:numPr>
        <w:bidi w:val="0"/>
        <w:ind w:firstLine="632" w:firstLineChars="200"/>
        <w:rPr>
          <w:rFonts w:hint="default"/>
          <w:lang w:val="en-US" w:eastAsia="zh-CN"/>
        </w:rPr>
      </w:pPr>
      <w:r>
        <w:rPr>
          <w:rFonts w:hint="eastAsia"/>
          <w:lang w:val="en-US" w:eastAsia="zh-CN"/>
        </w:rPr>
        <w:t>2.统战工作经费（结转）</w:t>
      </w:r>
      <w:r>
        <w:rPr>
          <w:rFonts w:hint="eastAsia"/>
        </w:rPr>
        <w:t>项目自评综述：根据年初设定的绩效目标，项目自评得分</w:t>
      </w:r>
      <w:r>
        <w:rPr>
          <w:rFonts w:hint="eastAsia"/>
          <w:lang w:val="en-US" w:eastAsia="zh-CN"/>
        </w:rPr>
        <w:t>100</w:t>
      </w:r>
      <w:r>
        <w:rPr>
          <w:rFonts w:hint="eastAsia"/>
        </w:rPr>
        <w:t>分。全年预算</w:t>
      </w:r>
      <w:r>
        <w:rPr>
          <w:rFonts w:hint="eastAsia"/>
          <w:lang w:val="en-US" w:eastAsia="zh-CN"/>
        </w:rPr>
        <w:t>数为16.24万</w:t>
      </w:r>
      <w:r>
        <w:rPr>
          <w:rFonts w:hint="eastAsia"/>
        </w:rPr>
        <w:t>元，执行数为</w:t>
      </w:r>
      <w:r>
        <w:rPr>
          <w:rFonts w:hint="eastAsia"/>
          <w:lang w:val="en-US" w:eastAsia="zh-CN"/>
        </w:rPr>
        <w:t>16.24</w:t>
      </w:r>
      <w:r>
        <w:rPr>
          <w:rFonts w:hint="eastAsia"/>
        </w:rPr>
        <w:t>万元，完成预算的</w:t>
      </w:r>
      <w:r>
        <w:rPr>
          <w:rFonts w:hint="eastAsia"/>
          <w:lang w:val="en-US" w:eastAsia="zh-CN"/>
        </w:rPr>
        <w:t>100</w:t>
      </w:r>
      <w:r>
        <w:rPr>
          <w:rFonts w:hint="eastAsia"/>
        </w:rPr>
        <w:t>%。项目绩效目标完成情况：组织开展了统一战线</w:t>
      </w:r>
      <w:r>
        <w:rPr>
          <w:rFonts w:hint="eastAsia"/>
          <w:lang w:val="en-US" w:eastAsia="zh-CN"/>
        </w:rPr>
        <w:t>部分</w:t>
      </w:r>
      <w:r>
        <w:rPr>
          <w:rFonts w:hint="eastAsia"/>
        </w:rPr>
        <w:t>领域培训</w:t>
      </w:r>
      <w:r>
        <w:rPr>
          <w:rFonts w:hint="eastAsia"/>
          <w:lang w:eastAsia="zh-CN"/>
        </w:rPr>
        <w:t>、</w:t>
      </w:r>
      <w:r>
        <w:rPr>
          <w:rFonts w:hint="eastAsia"/>
          <w:lang w:val="en-US" w:eastAsia="zh-CN"/>
        </w:rPr>
        <w:t>会议、调研等一系列活动，有效推进了各领域工作。</w:t>
      </w:r>
    </w:p>
    <w:p>
      <w:pPr>
        <w:bidi w:val="0"/>
        <w:rPr>
          <w:rFonts w:hint="eastAsia"/>
          <w:highlight w:val="none"/>
          <w:lang w:val="en-US" w:eastAsia="zh-CN"/>
        </w:rPr>
      </w:pPr>
      <w:r>
        <w:rPr>
          <w:rFonts w:hint="eastAsia"/>
          <w:highlight w:val="none"/>
          <w:lang w:val="en-US" w:eastAsia="zh-CN"/>
        </w:rPr>
        <w:t>3.统战工作经费项目自评综述：根据年初设定的绩效目标，项目自评得分84.66分。全年预算数为235.00万元，执行数为86.08万元，完成预算的36.63%。项目绩效目标完成情况：举办培训、召开会议、开展调研、举办活动等支出，有效强化思想政治引领，提升履职能力和业务水平，凝聚政治共识，服务中心大局。主要问题：一是项目支出减少；二是考虑节约经费支出，年内控制培训、会议的规模、次数，节约了经费开支。下一步整改措施：合理统筹活动进展、提高预算科学性、准确性。</w:t>
      </w:r>
    </w:p>
    <w:p>
      <w:pPr>
        <w:bidi w:val="0"/>
        <w:rPr>
          <w:rFonts w:hint="eastAsia"/>
          <w:highlight w:val="none"/>
          <w:lang w:val="en-US" w:eastAsia="zh-CN"/>
        </w:rPr>
      </w:pPr>
      <w:r>
        <w:rPr>
          <w:rFonts w:hint="eastAsia"/>
          <w:highlight w:val="none"/>
          <w:lang w:val="en-US" w:eastAsia="zh-CN"/>
        </w:rPr>
        <w:t>4.统战团体工作经费（结转）项目自评综述：根据年初设定的绩效目标，项目自评得分100分。全年预算数为2.86万元，执行数为2.86万元，完成预算的100%。项目绩效目标完成情况：组织各统战团体通过召开会议、举办活动等，提高调研报告质量，加大成果转化力度，为市委、市政府提出科学决策。</w:t>
      </w:r>
    </w:p>
    <w:p>
      <w:pPr>
        <w:bidi w:val="0"/>
        <w:rPr>
          <w:rFonts w:hint="eastAsia"/>
          <w:highlight w:val="none"/>
          <w:lang w:val="en-US" w:eastAsia="zh-CN"/>
        </w:rPr>
      </w:pPr>
      <w:r>
        <w:rPr>
          <w:rFonts w:hint="eastAsia"/>
          <w:highlight w:val="none"/>
          <w:lang w:val="en-US" w:eastAsia="zh-CN"/>
        </w:rPr>
        <w:t>5.统战团体工作经费项目自评综述：根据年初设定的绩效目标，项目自评得分79.69分。全年预算数为6.26万元，执行数为1.03万元，完成预算的16.45%。项目绩效目标完成情况：搭建平台载体，通过组织统战对象举办各类活动，密切联系服务团体成员，强化思想团结引导，扩大统战团体社会影响力。主要问题：统战团体部分总结大会年底召开，导致部分经费未能及时使用。下一步整改措施：建议优化活动安排，确保经费高效利用，提升项目整体执行效果。</w:t>
      </w:r>
    </w:p>
    <w:p>
      <w:pPr>
        <w:pStyle w:val="4"/>
        <w:bidi w:val="0"/>
        <w:rPr>
          <w:rFonts w:hint="eastAsia"/>
          <w:lang w:val="en-US" w:eastAsia="zh-CN"/>
        </w:rPr>
      </w:pPr>
      <w:r>
        <w:rPr>
          <w:rFonts w:hint="eastAsia"/>
          <w:lang w:val="en-US" w:eastAsia="zh-CN"/>
        </w:rPr>
        <w:t>（三）部门项目绩效评价结果</w:t>
      </w:r>
    </w:p>
    <w:p>
      <w:pPr>
        <w:numPr>
          <w:ilvl w:val="0"/>
          <w:numId w:val="0"/>
        </w:numPr>
        <w:bidi w:val="0"/>
        <w:ind w:firstLine="632" w:firstLineChars="200"/>
        <w:rPr>
          <w:rFonts w:hint="default"/>
          <w:lang w:val="en-US" w:eastAsia="zh-CN"/>
        </w:rPr>
      </w:pPr>
      <w:r>
        <w:rPr>
          <w:rFonts w:hint="eastAsia"/>
          <w:lang w:val="en-US" w:eastAsia="zh-CN"/>
        </w:rPr>
        <w:t>以统战工作经费（结转）</w:t>
      </w:r>
      <w:r>
        <w:rPr>
          <w:rFonts w:hint="eastAsia"/>
        </w:rPr>
        <w:t>项目</w:t>
      </w:r>
      <w:r>
        <w:rPr>
          <w:rFonts w:hint="eastAsia"/>
          <w:lang w:val="en-US" w:eastAsia="zh-CN"/>
        </w:rPr>
        <w:t>为例，该项目绩效评价综合得分100分，绩效评价结果为“优”。</w:t>
      </w:r>
      <w:r>
        <w:rPr>
          <w:rFonts w:hint="eastAsia"/>
        </w:rPr>
        <w:t>根据年初设定的绩效目标，项目自评得分</w:t>
      </w:r>
      <w:r>
        <w:rPr>
          <w:rFonts w:hint="eastAsia"/>
          <w:lang w:val="en-US" w:eastAsia="zh-CN"/>
        </w:rPr>
        <w:t>100</w:t>
      </w:r>
      <w:r>
        <w:rPr>
          <w:rFonts w:hint="eastAsia"/>
        </w:rPr>
        <w:t>分。全年预算数为</w:t>
      </w:r>
      <w:r>
        <w:rPr>
          <w:rFonts w:hint="eastAsia"/>
          <w:lang w:val="en-US" w:eastAsia="zh-CN"/>
        </w:rPr>
        <w:t>16.24</w:t>
      </w:r>
      <w:r>
        <w:rPr>
          <w:rFonts w:hint="eastAsia"/>
        </w:rPr>
        <w:t>万元，执行数为</w:t>
      </w:r>
      <w:r>
        <w:rPr>
          <w:rFonts w:hint="eastAsia"/>
          <w:lang w:val="en-US" w:eastAsia="zh-CN"/>
        </w:rPr>
        <w:t>16.24</w:t>
      </w:r>
      <w:r>
        <w:rPr>
          <w:rFonts w:hint="eastAsia"/>
        </w:rPr>
        <w:t>万元，完成预算的</w:t>
      </w:r>
      <w:r>
        <w:rPr>
          <w:rFonts w:hint="eastAsia"/>
          <w:lang w:val="en-US" w:eastAsia="zh-CN"/>
        </w:rPr>
        <w:t>100</w:t>
      </w:r>
      <w:r>
        <w:rPr>
          <w:rFonts w:hint="eastAsia"/>
        </w:rPr>
        <w:t>%。项目绩效目标完成情况：组织开展了统一战线</w:t>
      </w:r>
      <w:r>
        <w:rPr>
          <w:rFonts w:hint="eastAsia"/>
          <w:lang w:val="en-US" w:eastAsia="zh-CN"/>
        </w:rPr>
        <w:t>部分</w:t>
      </w:r>
      <w:r>
        <w:rPr>
          <w:rFonts w:hint="eastAsia"/>
        </w:rPr>
        <w:t>领域培训</w:t>
      </w:r>
      <w:r>
        <w:rPr>
          <w:rFonts w:hint="eastAsia"/>
          <w:lang w:eastAsia="zh-CN"/>
        </w:rPr>
        <w:t>、</w:t>
      </w:r>
      <w:r>
        <w:rPr>
          <w:rFonts w:hint="eastAsia"/>
          <w:lang w:val="en-US" w:eastAsia="zh-CN"/>
        </w:rPr>
        <w:t>调研等一系列活动，有效推进了各领域工作。项目绩效评价得分情况详见“统战工作经费（结转）”项目支出绩效报告。</w:t>
      </w:r>
    </w:p>
    <w:p>
      <w:pPr>
        <w:pStyle w:val="4"/>
        <w:bidi w:val="0"/>
        <w:rPr>
          <w:rFonts w:hint="eastAsia"/>
          <w:lang w:val="en-US" w:eastAsia="zh-CN"/>
        </w:rPr>
      </w:pPr>
      <w:r>
        <w:rPr>
          <w:rFonts w:hint="eastAsia"/>
          <w:lang w:val="en-US" w:eastAsia="zh-CN"/>
        </w:rPr>
        <w:t>（四）部门预算绩效管理制度和核心绩效指标标准体系建设情况。</w:t>
      </w:r>
    </w:p>
    <w:p>
      <w:pPr>
        <w:rPr>
          <w:rFonts w:hint="eastAsia" w:ascii="仿宋_GB2312" w:hAnsi="仿宋_GB2312" w:eastAsia="仿宋_GB2312"/>
          <w:color w:val="auto"/>
          <w:kern w:val="2"/>
          <w:sz w:val="32"/>
          <w:szCs w:val="24"/>
          <w:lang w:val="en-US" w:eastAsia="zh-CN"/>
        </w:rPr>
      </w:pPr>
      <w:r>
        <w:rPr>
          <w:rFonts w:hint="eastAsia"/>
          <w:lang w:val="en-US" w:eastAsia="zh-CN"/>
        </w:rPr>
        <w:t>为全面落实全面实施预算绩效管理要求，坚持“花钱必问效、无效必问责”，本部门持续推进科学规范的核心绩效指标标准体系，推动绩效管理嵌入预算编制、执行、监控、评价应用全流程，实现预算和绩效管理一体化。</w:t>
      </w:r>
      <w:r>
        <w:rPr>
          <w:rFonts w:hint="eastAsia"/>
          <w:lang w:val="en-US" w:eastAsia="zh-CN"/>
        </w:rPr>
        <w:br w:type="page"/>
      </w:r>
    </w:p>
    <w:p>
      <w:pPr>
        <w:pStyle w:val="2"/>
        <w:bidi w:val="0"/>
        <w:rPr>
          <w:rFonts w:hint="default"/>
        </w:rPr>
      </w:pPr>
      <w:r>
        <w:rPr>
          <w:rFonts w:hint="eastAsia"/>
        </w:rPr>
        <w:t>第三部分 名词解释</w:t>
      </w:r>
    </w:p>
    <w:p>
      <w:pPr>
        <w:pageBreakBefore w:val="0"/>
        <w:kinsoku/>
        <w:wordWrap/>
        <w:overflowPunct/>
        <w:topLinePunct w:val="0"/>
        <w:bidi w:val="0"/>
        <w:spacing w:beforeLines="0" w:afterLines="0" w:line="600" w:lineRule="exact"/>
        <w:ind w:firstLine="643"/>
        <w:jc w:val="both"/>
        <w:textAlignment w:val="auto"/>
        <w:rPr>
          <w:rFonts w:hint="eastAsia"/>
          <w:b w:val="0"/>
          <w:bCs/>
          <w:color w:val="auto"/>
          <w:kern w:val="2"/>
          <w:sz w:val="32"/>
          <w:szCs w:val="24"/>
          <w:lang w:val="en-US" w:eastAsia="zh-CN"/>
        </w:rPr>
      </w:pP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1.</w:t>
      </w:r>
      <w:r>
        <w:rPr>
          <w:rFonts w:hint="eastAsia" w:ascii="仿宋_GB2312" w:hAnsi="仿宋_GB2312" w:eastAsia="仿宋_GB2312"/>
          <w:b w:val="0"/>
          <w:bCs/>
          <w:color w:val="auto"/>
          <w:kern w:val="2"/>
          <w:sz w:val="32"/>
          <w:szCs w:val="24"/>
        </w:rPr>
        <w:t>财政拨款收入</w:t>
      </w:r>
      <w:r>
        <w:rPr>
          <w:rFonts w:hint="eastAsia" w:ascii="仿宋_GB2312" w:hAnsi="仿宋_GB2312" w:eastAsia="仿宋_GB2312"/>
          <w:b/>
          <w:color w:val="auto"/>
          <w:kern w:val="2"/>
          <w:sz w:val="32"/>
          <w:szCs w:val="24"/>
        </w:rPr>
        <w:t>：</w:t>
      </w:r>
      <w:r>
        <w:rPr>
          <w:rFonts w:hint="eastAsia" w:ascii="仿宋_GB2312" w:hAnsi="仿宋_GB2312" w:eastAsia="仿宋_GB2312"/>
          <w:color w:val="auto"/>
          <w:kern w:val="2"/>
          <w:sz w:val="32"/>
          <w:szCs w:val="24"/>
        </w:rPr>
        <w:t>从同级财政部门取得的各类财政拨款，包括一般公共预算财政拨款、政府性基金预算财政拨款、国有资本经营预算财政拨款。</w:t>
      </w:r>
    </w:p>
    <w:p>
      <w:pPr>
        <w:pageBreakBefore w:val="0"/>
        <w:kinsoku/>
        <w:wordWrap/>
        <w:overflowPunct/>
        <w:topLinePunct w:val="0"/>
        <w:bidi w:val="0"/>
        <w:spacing w:beforeLines="0" w:afterLines="0" w:line="600" w:lineRule="exact"/>
        <w:ind w:firstLine="643"/>
        <w:jc w:val="both"/>
        <w:textAlignment w:val="auto"/>
        <w:rPr>
          <w:rFonts w:hint="eastAsia" w:ascii="Times New Roman" w:hAnsi="Times New Roman" w:eastAsia="仿宋_GB2312"/>
          <w:color w:val="auto"/>
          <w:kern w:val="2"/>
          <w:sz w:val="32"/>
          <w:szCs w:val="24"/>
          <w:lang w:eastAsia="zh-CN"/>
        </w:rPr>
      </w:pPr>
      <w:r>
        <w:rPr>
          <w:rFonts w:hint="eastAsia"/>
          <w:b w:val="0"/>
          <w:bCs/>
          <w:color w:val="auto"/>
          <w:kern w:val="2"/>
          <w:sz w:val="32"/>
          <w:szCs w:val="24"/>
          <w:lang w:val="en-US" w:eastAsia="zh-CN"/>
        </w:rPr>
        <w:t>2.</w:t>
      </w:r>
      <w:r>
        <w:rPr>
          <w:rFonts w:hint="eastAsia" w:ascii="仿宋_GB2312" w:hAnsi="仿宋_GB2312" w:eastAsia="仿宋_GB2312"/>
          <w:b w:val="0"/>
          <w:bCs/>
          <w:color w:val="auto"/>
          <w:kern w:val="2"/>
          <w:sz w:val="32"/>
          <w:szCs w:val="24"/>
        </w:rPr>
        <w:t>上级补助收入：</w:t>
      </w:r>
      <w:r>
        <w:rPr>
          <w:rFonts w:hint="eastAsia" w:ascii="仿宋_GB2312" w:hAnsi="仿宋_GB2312" w:eastAsia="仿宋_GB2312"/>
          <w:color w:val="auto"/>
          <w:kern w:val="2"/>
          <w:sz w:val="32"/>
          <w:szCs w:val="24"/>
        </w:rPr>
        <w:t>指事业单位从主管部门和上级单位取得的非财政补助收入。</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3.</w:t>
      </w:r>
      <w:r>
        <w:rPr>
          <w:rFonts w:hint="eastAsia" w:ascii="仿宋_GB2312" w:hAnsi="仿宋_GB2312" w:eastAsia="仿宋_GB2312"/>
          <w:b w:val="0"/>
          <w:bCs/>
          <w:color w:val="auto"/>
          <w:kern w:val="2"/>
          <w:sz w:val="32"/>
          <w:szCs w:val="24"/>
        </w:rPr>
        <w:t>财政专户管理教育收费：</w:t>
      </w:r>
      <w:r>
        <w:rPr>
          <w:rFonts w:hint="eastAsia" w:ascii="仿宋_GB2312" w:hAnsi="仿宋_GB2312" w:eastAsia="仿宋_GB2312"/>
          <w:color w:val="auto"/>
          <w:kern w:val="2"/>
          <w:sz w:val="32"/>
          <w:szCs w:val="24"/>
        </w:rPr>
        <w:t>指缴入财政专户、实行专项管理的高中以上学费、住宿费、高校委托培养费、函大、电大、夜大及短训班培训费等教育收费。</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4.</w:t>
      </w:r>
      <w:r>
        <w:rPr>
          <w:rFonts w:hint="eastAsia" w:ascii="仿宋_GB2312" w:hAnsi="仿宋_GB2312" w:eastAsia="仿宋_GB2312"/>
          <w:b w:val="0"/>
          <w:bCs/>
          <w:color w:val="auto"/>
          <w:kern w:val="2"/>
          <w:sz w:val="32"/>
          <w:szCs w:val="24"/>
        </w:rPr>
        <w:t>事业收入：</w:t>
      </w:r>
      <w:r>
        <w:rPr>
          <w:rFonts w:hint="eastAsia" w:ascii="仿宋_GB2312" w:hAnsi="仿宋_GB2312" w:eastAsia="仿宋_GB2312"/>
          <w:color w:val="auto"/>
          <w:kern w:val="2"/>
          <w:sz w:val="32"/>
          <w:szCs w:val="24"/>
        </w:rPr>
        <w:t>指事业单位开展专业业务活动及其辅助活动取得的收入。</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5.</w:t>
      </w:r>
      <w:r>
        <w:rPr>
          <w:rFonts w:hint="eastAsia" w:ascii="仿宋_GB2312" w:hAnsi="仿宋_GB2312" w:eastAsia="仿宋_GB2312"/>
          <w:b w:val="0"/>
          <w:bCs/>
          <w:color w:val="auto"/>
          <w:kern w:val="2"/>
          <w:sz w:val="32"/>
          <w:szCs w:val="24"/>
        </w:rPr>
        <w:t>经营收入：</w:t>
      </w:r>
      <w:r>
        <w:rPr>
          <w:rFonts w:hint="eastAsia" w:ascii="仿宋_GB2312" w:hAnsi="仿宋_GB2312" w:eastAsia="仿宋_GB2312"/>
          <w:color w:val="auto"/>
          <w:kern w:val="2"/>
          <w:sz w:val="32"/>
          <w:szCs w:val="24"/>
        </w:rPr>
        <w:t>指事业单位在专业业务活动及其辅助活动之外开展非独立核算经营活动取得的收入。</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6.</w:t>
      </w:r>
      <w:r>
        <w:rPr>
          <w:rFonts w:hint="eastAsia" w:ascii="仿宋_GB2312" w:hAnsi="仿宋_GB2312" w:eastAsia="仿宋_GB2312"/>
          <w:b w:val="0"/>
          <w:bCs/>
          <w:color w:val="auto"/>
          <w:kern w:val="2"/>
          <w:sz w:val="32"/>
          <w:szCs w:val="24"/>
        </w:rPr>
        <w:t>附属单位上缴收入：</w:t>
      </w:r>
      <w:r>
        <w:rPr>
          <w:rFonts w:hint="eastAsia" w:ascii="仿宋_GB2312" w:hAnsi="仿宋_GB2312" w:eastAsia="仿宋_GB2312"/>
          <w:color w:val="auto"/>
          <w:kern w:val="2"/>
          <w:sz w:val="32"/>
          <w:szCs w:val="24"/>
        </w:rPr>
        <w:t>指事业单位附属独立核算单位按照有关规定上缴的收入。</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7.</w:t>
      </w:r>
      <w:r>
        <w:rPr>
          <w:rFonts w:hint="eastAsia" w:ascii="仿宋_GB2312" w:hAnsi="仿宋_GB2312" w:eastAsia="仿宋_GB2312"/>
          <w:b w:val="0"/>
          <w:bCs/>
          <w:color w:val="auto"/>
          <w:kern w:val="2"/>
          <w:sz w:val="32"/>
          <w:szCs w:val="24"/>
        </w:rPr>
        <w:t>其他收入：</w:t>
      </w:r>
      <w:r>
        <w:rPr>
          <w:rFonts w:hint="eastAsia" w:ascii="仿宋_GB2312" w:hAnsi="仿宋_GB2312" w:eastAsia="仿宋_GB2312"/>
          <w:color w:val="auto"/>
          <w:kern w:val="2"/>
          <w:sz w:val="32"/>
          <w:szCs w:val="24"/>
        </w:rPr>
        <w:t>取得的除上述“财政拨款收入”、“上级补助收入”、“事业收入”、“经营收入”、“附属单位上缴收入”等以外的各项收入。</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8.</w:t>
      </w:r>
      <w:r>
        <w:rPr>
          <w:rFonts w:hint="eastAsia" w:ascii="仿宋_GB2312" w:hAnsi="仿宋_GB2312" w:eastAsia="仿宋_GB2312"/>
          <w:b w:val="0"/>
          <w:bCs/>
          <w:color w:val="auto"/>
          <w:kern w:val="2"/>
          <w:sz w:val="32"/>
          <w:szCs w:val="24"/>
        </w:rPr>
        <w:t>使用非财政拨款结余：</w:t>
      </w:r>
      <w:r>
        <w:rPr>
          <w:rFonts w:hint="eastAsia" w:ascii="仿宋_GB2312" w:hAnsi="仿宋_GB2312" w:eastAsia="仿宋_GB2312"/>
          <w:color w:val="auto"/>
          <w:kern w:val="2"/>
          <w:sz w:val="32"/>
          <w:szCs w:val="24"/>
        </w:rPr>
        <w:t>指事业单位按照预算管理要求使用非财政拨款结余弥补当年收支差额的数额。</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9.</w:t>
      </w:r>
      <w:r>
        <w:rPr>
          <w:rFonts w:hint="eastAsia" w:ascii="仿宋_GB2312" w:hAnsi="仿宋_GB2312" w:eastAsia="仿宋_GB2312"/>
          <w:b w:val="0"/>
          <w:bCs/>
          <w:color w:val="auto"/>
          <w:kern w:val="2"/>
          <w:sz w:val="32"/>
          <w:szCs w:val="24"/>
        </w:rPr>
        <w:t>年初结转和结余：</w:t>
      </w:r>
      <w:r>
        <w:rPr>
          <w:rFonts w:hint="eastAsia" w:ascii="仿宋_GB2312" w:hAnsi="仿宋_GB2312" w:eastAsia="仿宋_GB2312"/>
          <w:color w:val="auto"/>
          <w:kern w:val="2"/>
          <w:sz w:val="32"/>
          <w:szCs w:val="24"/>
        </w:rPr>
        <w:t>指单位上年结转本年使用的基本支出结转、项目支出结转和结余、经营结余。</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10.</w:t>
      </w:r>
      <w:r>
        <w:rPr>
          <w:rFonts w:hint="eastAsia" w:ascii="仿宋_GB2312" w:hAnsi="仿宋_GB2312" w:eastAsia="仿宋_GB2312"/>
          <w:b w:val="0"/>
          <w:bCs/>
          <w:color w:val="auto"/>
          <w:kern w:val="2"/>
          <w:sz w:val="32"/>
          <w:szCs w:val="24"/>
        </w:rPr>
        <w:t>结余分配：</w:t>
      </w:r>
      <w:r>
        <w:rPr>
          <w:rFonts w:hint="eastAsia" w:ascii="仿宋_GB2312" w:hAnsi="仿宋_GB2312" w:eastAsia="仿宋_GB2312"/>
          <w:color w:val="auto"/>
          <w:kern w:val="2"/>
          <w:sz w:val="32"/>
          <w:szCs w:val="24"/>
        </w:rPr>
        <w:t>指事业单位按规定缴纳的所得税以及从非财政拨款结余中提取各类结余的情况。</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11.</w:t>
      </w:r>
      <w:r>
        <w:rPr>
          <w:rFonts w:hint="eastAsia" w:ascii="仿宋_GB2312" w:hAnsi="仿宋_GB2312" w:eastAsia="仿宋_GB2312"/>
          <w:b w:val="0"/>
          <w:bCs/>
          <w:color w:val="auto"/>
          <w:kern w:val="2"/>
          <w:sz w:val="32"/>
          <w:szCs w:val="24"/>
        </w:rPr>
        <w:t>年末结转和结余资金：</w:t>
      </w:r>
      <w:r>
        <w:rPr>
          <w:rFonts w:hint="eastAsia" w:ascii="仿宋_GB2312" w:hAnsi="仿宋_GB2312" w:eastAsia="仿宋_GB2312"/>
          <w:color w:val="auto"/>
          <w:kern w:val="2"/>
          <w:sz w:val="32"/>
          <w:szCs w:val="24"/>
        </w:rPr>
        <w:t>指单位结转下年的基本支出结转、项目支出结转和结余、经营结余。</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12.</w:t>
      </w:r>
      <w:r>
        <w:rPr>
          <w:rFonts w:hint="eastAsia" w:ascii="仿宋_GB2312" w:hAnsi="仿宋_GB2312" w:eastAsia="仿宋_GB2312"/>
          <w:b w:val="0"/>
          <w:bCs/>
          <w:color w:val="auto"/>
          <w:kern w:val="2"/>
          <w:sz w:val="32"/>
          <w:szCs w:val="24"/>
        </w:rPr>
        <w:t>基本支出：</w:t>
      </w:r>
      <w:r>
        <w:rPr>
          <w:rFonts w:hint="eastAsia" w:ascii="仿宋_GB2312" w:hAnsi="仿宋_GB2312" w:eastAsia="仿宋_GB2312"/>
          <w:color w:val="auto"/>
          <w:kern w:val="2"/>
          <w:sz w:val="32"/>
          <w:szCs w:val="24"/>
        </w:rPr>
        <w:t>指为保障机构正常运转、完成日常工作任务所发生的支出，包括人员经费和公用经费。</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13.</w:t>
      </w:r>
      <w:r>
        <w:rPr>
          <w:rFonts w:hint="eastAsia" w:ascii="仿宋_GB2312" w:hAnsi="仿宋_GB2312" w:eastAsia="仿宋_GB2312"/>
          <w:b w:val="0"/>
          <w:bCs/>
          <w:color w:val="auto"/>
          <w:kern w:val="2"/>
          <w:sz w:val="32"/>
          <w:szCs w:val="24"/>
        </w:rPr>
        <w:t>项目支出：</w:t>
      </w:r>
      <w:r>
        <w:rPr>
          <w:rFonts w:hint="eastAsia" w:ascii="仿宋_GB2312" w:hAnsi="仿宋_GB2312" w:eastAsia="仿宋_GB2312"/>
          <w:color w:val="auto"/>
          <w:kern w:val="2"/>
          <w:sz w:val="32"/>
          <w:szCs w:val="24"/>
        </w:rPr>
        <w:t>指在为完成特定的工作任务和事业发展目标所发生的支出。</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14.</w:t>
      </w:r>
      <w:r>
        <w:rPr>
          <w:rFonts w:hint="eastAsia" w:ascii="仿宋_GB2312" w:hAnsi="仿宋_GB2312" w:eastAsia="仿宋_GB2312"/>
          <w:b w:val="0"/>
          <w:bCs/>
          <w:color w:val="auto"/>
          <w:kern w:val="2"/>
          <w:sz w:val="32"/>
          <w:szCs w:val="24"/>
        </w:rPr>
        <w:t>上缴上级支出：</w:t>
      </w:r>
      <w:r>
        <w:rPr>
          <w:rFonts w:hint="eastAsia" w:ascii="仿宋_GB2312" w:hAnsi="仿宋_GB2312" w:eastAsia="仿宋_GB2312"/>
          <w:color w:val="auto"/>
          <w:kern w:val="2"/>
          <w:sz w:val="32"/>
          <w:szCs w:val="24"/>
        </w:rPr>
        <w:t>指事业单位按照财政部门和主管部门的规定上缴上级单位的支出。</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15.</w:t>
      </w:r>
      <w:r>
        <w:rPr>
          <w:rFonts w:hint="eastAsia" w:ascii="仿宋_GB2312" w:hAnsi="仿宋_GB2312" w:eastAsia="仿宋_GB2312"/>
          <w:b w:val="0"/>
          <w:bCs/>
          <w:color w:val="auto"/>
          <w:kern w:val="2"/>
          <w:sz w:val="32"/>
          <w:szCs w:val="24"/>
        </w:rPr>
        <w:t>经营支出：</w:t>
      </w:r>
      <w:r>
        <w:rPr>
          <w:rFonts w:hint="eastAsia" w:ascii="仿宋_GB2312" w:hAnsi="仿宋_GB2312" w:eastAsia="仿宋_GB2312"/>
          <w:color w:val="auto"/>
          <w:kern w:val="2"/>
          <w:sz w:val="32"/>
          <w:szCs w:val="24"/>
        </w:rPr>
        <w:t>指事业单位在专业业务活动及其辅助活动之外开展非独立核算经营活动发生的支出。</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16.</w:t>
      </w:r>
      <w:r>
        <w:rPr>
          <w:rFonts w:hint="eastAsia" w:ascii="仿宋_GB2312" w:hAnsi="仿宋_GB2312" w:eastAsia="仿宋_GB2312"/>
          <w:b w:val="0"/>
          <w:bCs/>
          <w:color w:val="auto"/>
          <w:kern w:val="2"/>
          <w:sz w:val="32"/>
          <w:szCs w:val="24"/>
        </w:rPr>
        <w:t>对附属单位补助支出：</w:t>
      </w:r>
      <w:r>
        <w:rPr>
          <w:rFonts w:hint="eastAsia" w:ascii="仿宋_GB2312" w:hAnsi="仿宋_GB2312" w:eastAsia="仿宋_GB2312"/>
          <w:color w:val="auto"/>
          <w:kern w:val="2"/>
          <w:sz w:val="32"/>
          <w:szCs w:val="24"/>
        </w:rPr>
        <w:t>指事业单位用财政拨款收入之外的收入对附属单位补助发生的支出。</w:t>
      </w:r>
    </w:p>
    <w:p>
      <w:pPr>
        <w:pageBreakBefore w:val="0"/>
        <w:kinsoku/>
        <w:wordWrap/>
        <w:overflowPunct/>
        <w:topLinePunct w:val="0"/>
        <w:bidi w:val="0"/>
        <w:spacing w:beforeLines="0" w:afterLines="0" w:line="600" w:lineRule="exact"/>
        <w:ind w:firstLine="643"/>
        <w:jc w:val="both"/>
        <w:textAlignment w:val="auto"/>
        <w:rPr>
          <w:rFonts w:hint="default" w:ascii="Times New Roman" w:hAnsi="Times New Roman" w:eastAsia="Times New Roman"/>
          <w:color w:val="auto"/>
          <w:kern w:val="2"/>
          <w:sz w:val="32"/>
          <w:szCs w:val="24"/>
        </w:rPr>
      </w:pPr>
      <w:r>
        <w:rPr>
          <w:rFonts w:hint="eastAsia"/>
          <w:b w:val="0"/>
          <w:bCs/>
          <w:color w:val="auto"/>
          <w:kern w:val="2"/>
          <w:sz w:val="32"/>
          <w:szCs w:val="24"/>
          <w:lang w:val="en-US" w:eastAsia="zh-CN"/>
        </w:rPr>
        <w:t>17.</w:t>
      </w:r>
      <w:r>
        <w:rPr>
          <w:rFonts w:hint="eastAsia" w:ascii="仿宋_GB2312" w:hAnsi="仿宋_GB2312" w:eastAsia="仿宋_GB2312"/>
          <w:b w:val="0"/>
          <w:bCs/>
          <w:color w:val="auto"/>
          <w:kern w:val="2"/>
          <w:sz w:val="32"/>
          <w:szCs w:val="24"/>
        </w:rPr>
        <w:t>“三公”经费：</w:t>
      </w:r>
      <w:r>
        <w:rPr>
          <w:rFonts w:hint="eastAsia" w:ascii="仿宋_GB2312" w:hAnsi="仿宋_GB2312" w:eastAsia="仿宋_GB2312"/>
          <w:color w:val="auto"/>
          <w:kern w:val="2"/>
          <w:sz w:val="32"/>
          <w:szCs w:val="24"/>
        </w:rPr>
        <w:t>指部门用财政拨款安排的因公出国（境）费、公务用车购置及运行维护费和公务接待费。其中，因公出国（境）费反映部门)公务出国（境）的国际旅费、国外城市间交通费、住宿费、伙食费、培训费、公杂费等支出；公务用车购置及运行维护费反映部门公务用车购置支出（含车辆购置税、牌照费）以及按规定保留的公务用车燃料费、维修费、过路过桥费、保险费、安全奖励费用等支出；公务接待费反映部门按规定开支的各类公务接待（含外宾接待）费用。</w:t>
      </w:r>
    </w:p>
    <w:p>
      <w:pPr>
        <w:pageBreakBefore w:val="0"/>
        <w:kinsoku/>
        <w:wordWrap/>
        <w:overflowPunct/>
        <w:topLinePunct w:val="0"/>
        <w:bidi w:val="0"/>
        <w:spacing w:beforeLines="0" w:afterLines="0" w:line="600" w:lineRule="exact"/>
        <w:ind w:firstLine="643"/>
        <w:jc w:val="both"/>
        <w:textAlignment w:val="auto"/>
        <w:rPr>
          <w:rFonts w:hint="eastAsia" w:ascii="仿宋_GB2312" w:hAnsi="仿宋_GB2312" w:eastAsia="仿宋_GB2312"/>
          <w:color w:val="auto"/>
          <w:kern w:val="2"/>
          <w:sz w:val="32"/>
          <w:szCs w:val="24"/>
        </w:rPr>
      </w:pPr>
      <w:r>
        <w:rPr>
          <w:rFonts w:hint="eastAsia"/>
          <w:b w:val="0"/>
          <w:bCs/>
          <w:color w:val="auto"/>
          <w:kern w:val="2"/>
          <w:sz w:val="32"/>
          <w:szCs w:val="24"/>
          <w:lang w:val="en-US" w:eastAsia="zh-CN"/>
        </w:rPr>
        <w:t>18.</w:t>
      </w:r>
      <w:r>
        <w:rPr>
          <w:rFonts w:hint="eastAsia" w:ascii="仿宋_GB2312" w:hAnsi="仿宋_GB2312" w:eastAsia="仿宋_GB2312"/>
          <w:b w:val="0"/>
          <w:bCs/>
          <w:color w:val="auto"/>
          <w:kern w:val="2"/>
          <w:sz w:val="32"/>
          <w:szCs w:val="24"/>
        </w:rPr>
        <w:t>机构运行经费：</w:t>
      </w:r>
      <w:r>
        <w:rPr>
          <w:rFonts w:hint="eastAsia" w:ascii="仿宋_GB2312" w:hAnsi="仿宋_GB2312" w:eastAsia="仿宋_GB2312"/>
          <w:color w:val="auto"/>
          <w:kern w:val="2"/>
          <w:sz w:val="32"/>
          <w:szCs w:val="24"/>
        </w:rPr>
        <w:t>指部门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rPr>
          <w:rFonts w:hint="eastAsia" w:ascii="仿宋_GB2312" w:hAnsi="仿宋_GB2312" w:eastAsia="仿宋_GB2312"/>
          <w:color w:val="auto"/>
          <w:kern w:val="2"/>
          <w:sz w:val="32"/>
          <w:szCs w:val="24"/>
        </w:rPr>
      </w:pPr>
      <w:r>
        <w:rPr>
          <w:rFonts w:hint="eastAsia" w:ascii="仿宋_GB2312" w:hAnsi="仿宋_GB2312" w:eastAsia="仿宋_GB2312"/>
          <w:color w:val="auto"/>
          <w:kern w:val="2"/>
          <w:sz w:val="32"/>
          <w:szCs w:val="24"/>
        </w:rPr>
        <w:br w:type="page"/>
      </w:r>
    </w:p>
    <w:p>
      <w:pPr>
        <w:pStyle w:val="2"/>
        <w:bidi w:val="0"/>
        <w:rPr>
          <w:rFonts w:hint="default"/>
        </w:rPr>
      </w:pPr>
      <w:r>
        <w:rPr>
          <w:rFonts w:hint="eastAsia"/>
        </w:rPr>
        <w:t>第四部分 决算公开联系方式及信息反馈渠道</w:t>
      </w:r>
    </w:p>
    <w:p>
      <w:pPr>
        <w:bidi w:val="0"/>
        <w:rPr>
          <w:rFonts w:hint="eastAsia"/>
        </w:rPr>
      </w:pPr>
    </w:p>
    <w:p>
      <w:pPr>
        <w:bidi w:val="0"/>
        <w:rPr>
          <w:rFonts w:hint="default"/>
        </w:rPr>
      </w:pPr>
      <w:r>
        <w:rPr>
          <w:rFonts w:hint="eastAsia"/>
        </w:rPr>
        <w:t>本单位决算公开信息反馈和联系方式：</w:t>
      </w:r>
    </w:p>
    <w:p>
      <w:pPr>
        <w:bidi w:val="0"/>
        <w:rPr>
          <w:rFonts w:hint="eastAsia"/>
        </w:rPr>
      </w:pPr>
      <w:r>
        <w:rPr>
          <w:rFonts w:hint="eastAsia"/>
        </w:rPr>
        <w:t>联系人：刘化波           联系电话：0476-8334706</w:t>
      </w:r>
    </w:p>
    <w:p>
      <w:pPr>
        <w:rPr>
          <w:rFonts w:ascii="Times New Roman" w:hAnsi="Times New Roman" w:eastAsia="Times New Roman" w:cs="Times New Roman"/>
          <w:kern w:val="0"/>
          <w:sz w:val="24"/>
        </w:rPr>
      </w:pPr>
      <w:r>
        <w:rPr>
          <w:rFonts w:ascii="Times New Roman" w:hAnsi="Times New Roman" w:eastAsia="Times New Roman" w:cs="Times New Roman"/>
          <w:kern w:val="0"/>
          <w:sz w:val="24"/>
        </w:rPr>
        <w:br w:type="page"/>
      </w:r>
    </w:p>
    <w:p>
      <w:pPr>
        <w:pStyle w:val="2"/>
        <w:bidi w:val="0"/>
        <w:rPr>
          <w:rFonts w:hint="eastAsia"/>
        </w:rPr>
      </w:pPr>
      <w:r>
        <w:rPr>
          <w:rFonts w:hint="eastAsia"/>
        </w:rPr>
        <w:t xml:space="preserve">第五部分 </w:t>
      </w:r>
      <w:r>
        <w:rPr>
          <w:rFonts w:hint="eastAsia"/>
          <w:lang w:eastAsia="zh-CN"/>
        </w:rPr>
        <w:t>2024</w:t>
      </w:r>
      <w:r>
        <w:rPr>
          <w:rFonts w:hint="eastAsia"/>
        </w:rPr>
        <w:t>年度部门决算表</w:t>
      </w:r>
    </w:p>
    <w:p>
      <w:pPr>
        <w:bidi w:val="0"/>
        <w:rPr>
          <w:rFonts w:hint="eastAsia"/>
        </w:rPr>
      </w:pPr>
    </w:p>
    <w:p>
      <w:pPr>
        <w:bidi w:val="0"/>
        <w:rPr>
          <w:rFonts w:hint="eastAsia"/>
        </w:rPr>
      </w:pPr>
      <w:r>
        <w:rPr>
          <w:rFonts w:hint="eastAsia"/>
        </w:rPr>
        <w:t>见附件。</w:t>
      </w:r>
    </w:p>
    <w:p>
      <w:pPr>
        <w:pageBreakBefore w:val="0"/>
        <w:widowControl/>
        <w:kinsoku/>
        <w:wordWrap/>
        <w:overflowPunct/>
        <w:topLinePunct w:val="0"/>
        <w:bidi w:val="0"/>
        <w:spacing w:before="240" w:after="240" w:line="600" w:lineRule="exact"/>
        <w:jc w:val="left"/>
        <w:textAlignment w:val="auto"/>
        <w:rPr>
          <w:rFonts w:ascii="Times New Roman" w:hAnsi="Times New Roman" w:eastAsia="Times New Roman" w:cs="Times New Roman"/>
          <w:kern w:val="0"/>
          <w:sz w:val="24"/>
        </w:rPr>
      </w:pPr>
    </w:p>
    <w:bookmarkEnd w:id="0"/>
    <w:p>
      <w:pPr>
        <w:rPr>
          <w:rFonts w:hint="default"/>
          <w:lang w:val="en-US" w:eastAsia="zh-CN"/>
        </w:rPr>
      </w:pPr>
    </w:p>
    <w:sectPr>
      <w:headerReference r:id="rId5" w:type="default"/>
      <w:footerReference r:id="rId6" w:type="default"/>
      <w:pgSz w:w="11906" w:h="16838"/>
      <w:pgMar w:top="2098" w:right="1474" w:bottom="1984" w:left="1587" w:header="851" w:footer="964"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auto"/>
    <w:pitch w:val="default"/>
    <w:sig w:usb0="E00006FF" w:usb1="420024FF" w:usb2="02000000" w:usb3="00000000" w:csb0="2000019F" w:csb1="00000000"/>
  </w:font>
  <w:font w:name="FangSong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2493645</wp:posOffset>
              </wp:positionH>
              <wp:positionV relativeFrom="paragraph">
                <wp:posOffset>-371475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6.35pt;margin-top:-29.25pt;height:144pt;width:144pt;mso-position-horizontal-relative:margin;mso-wrap-style:none;z-index:251659264;mso-width-relative:page;mso-height-relative:page;" filled="f" stroked="f" coordsize="21600,21600" o:gfxdata="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cMUKtkAAAALAQAADwAAAAAA&#10;AAABACAAAAAiAAAAZHJzL2Rvd25yZXYueG1sUEsBAhQAFAAAAAgAh07iQErbzf8SAgAAEwQAAA4A&#10;AAAAAAAAAQAgAAAAKAEAAGRycy9lMm9Eb2MueG1sUEsFBgAAAAAGAAYAWQEAAKwFAAAAAA==&#10;">
              <v:fill on="f" focussize="0,0"/>
              <v:stroke on="f" weight="0.5pt"/>
              <v:imagedata o:title=""/>
              <o:lock v:ext="edit" aspectratio="f"/>
              <v:textbox inset="0mm,0mm,0mm,0mm" style="mso-fit-shape-to-text:t;">
                <w:txbxContent>
                  <w:p>
                    <w:pPr>
                      <w:pStyle w:val="6"/>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NTgxYWYxZDMyY2RmMzcyYWU0YTA4MzdjNmQwMzIifQ=="/>
  </w:docVars>
  <w:rsids>
    <w:rsidRoot w:val="00000000"/>
    <w:rsid w:val="058663AA"/>
    <w:rsid w:val="0A8B6B7A"/>
    <w:rsid w:val="0AA46496"/>
    <w:rsid w:val="0BBC0D77"/>
    <w:rsid w:val="0DC43F13"/>
    <w:rsid w:val="0E065D8D"/>
    <w:rsid w:val="0E76345F"/>
    <w:rsid w:val="103758C0"/>
    <w:rsid w:val="11DB182B"/>
    <w:rsid w:val="12CF75E2"/>
    <w:rsid w:val="13B0633E"/>
    <w:rsid w:val="1BF12377"/>
    <w:rsid w:val="1C47455E"/>
    <w:rsid w:val="1C4E0343"/>
    <w:rsid w:val="1DC87348"/>
    <w:rsid w:val="1F6528F1"/>
    <w:rsid w:val="20410CE9"/>
    <w:rsid w:val="20517888"/>
    <w:rsid w:val="2181584D"/>
    <w:rsid w:val="22EE3306"/>
    <w:rsid w:val="28BE7A85"/>
    <w:rsid w:val="2ACD2201"/>
    <w:rsid w:val="2B501FA4"/>
    <w:rsid w:val="2BA54F2C"/>
    <w:rsid w:val="2DF301D1"/>
    <w:rsid w:val="2DF55546"/>
    <w:rsid w:val="302F2063"/>
    <w:rsid w:val="30FF2BDC"/>
    <w:rsid w:val="33997EB4"/>
    <w:rsid w:val="352E13DA"/>
    <w:rsid w:val="353670D5"/>
    <w:rsid w:val="364E26FE"/>
    <w:rsid w:val="36807F0F"/>
    <w:rsid w:val="371A67CE"/>
    <w:rsid w:val="3A6248E5"/>
    <w:rsid w:val="3AF855CC"/>
    <w:rsid w:val="3BDA33DC"/>
    <w:rsid w:val="3C4A1F63"/>
    <w:rsid w:val="3E042775"/>
    <w:rsid w:val="3E8C74F4"/>
    <w:rsid w:val="3F205AEF"/>
    <w:rsid w:val="415E375B"/>
    <w:rsid w:val="43340C18"/>
    <w:rsid w:val="459736E0"/>
    <w:rsid w:val="474F6E6E"/>
    <w:rsid w:val="48015F32"/>
    <w:rsid w:val="48570002"/>
    <w:rsid w:val="49201650"/>
    <w:rsid w:val="4951041B"/>
    <w:rsid w:val="4A4F750C"/>
    <w:rsid w:val="4CFA4874"/>
    <w:rsid w:val="4D203FBB"/>
    <w:rsid w:val="4D8C7EB1"/>
    <w:rsid w:val="4DD701A2"/>
    <w:rsid w:val="4EED2532"/>
    <w:rsid w:val="4F4C553B"/>
    <w:rsid w:val="51556929"/>
    <w:rsid w:val="51BC670A"/>
    <w:rsid w:val="546E5A34"/>
    <w:rsid w:val="54CC38FF"/>
    <w:rsid w:val="56170651"/>
    <w:rsid w:val="56A16BBA"/>
    <w:rsid w:val="573154F2"/>
    <w:rsid w:val="5A61633E"/>
    <w:rsid w:val="5B5F0827"/>
    <w:rsid w:val="60A73DA2"/>
    <w:rsid w:val="61940627"/>
    <w:rsid w:val="61C010CD"/>
    <w:rsid w:val="61EF3044"/>
    <w:rsid w:val="653B1589"/>
    <w:rsid w:val="657A7467"/>
    <w:rsid w:val="659C192C"/>
    <w:rsid w:val="65F04260"/>
    <w:rsid w:val="679338AF"/>
    <w:rsid w:val="69344992"/>
    <w:rsid w:val="6B2A277C"/>
    <w:rsid w:val="6B3B04E6"/>
    <w:rsid w:val="6C0134DD"/>
    <w:rsid w:val="6F6E6B31"/>
    <w:rsid w:val="74BD2478"/>
    <w:rsid w:val="74F87447"/>
    <w:rsid w:val="786A72D5"/>
    <w:rsid w:val="7A7B08FF"/>
    <w:rsid w:val="7AD901DD"/>
    <w:rsid w:val="7B6E5B6C"/>
    <w:rsid w:val="7C5909AE"/>
    <w:rsid w:val="7CCA385F"/>
    <w:rsid w:val="7D7A4E9D"/>
    <w:rsid w:val="7E7B7A11"/>
    <w:rsid w:val="7E810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spacing w:line="580" w:lineRule="exact"/>
      <w:ind w:firstLine="64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link w:val="16"/>
    <w:qFormat/>
    <w:uiPriority w:val="0"/>
    <w:pPr>
      <w:keepNext/>
      <w:keepLines/>
      <w:spacing w:beforeLines="0" w:beforeAutospacing="0" w:afterLines="0" w:afterAutospacing="0" w:line="600" w:lineRule="exact"/>
      <w:ind w:firstLine="0" w:firstLineChars="0"/>
      <w:jc w:val="center"/>
      <w:outlineLvl w:val="0"/>
    </w:pPr>
    <w:rPr>
      <w:rFonts w:eastAsia="方正小标宋简体"/>
      <w:kern w:val="44"/>
      <w:sz w:val="44"/>
    </w:rPr>
  </w:style>
  <w:style w:type="paragraph" w:styleId="3">
    <w:name w:val="heading 2"/>
    <w:basedOn w:val="1"/>
    <w:next w:val="1"/>
    <w:link w:val="15"/>
    <w:unhideWhenUsed/>
    <w:qFormat/>
    <w:uiPriority w:val="0"/>
    <w:pPr>
      <w:keepNext/>
      <w:keepLines/>
      <w:spacing w:beforeLines="0" w:beforeAutospacing="0" w:afterLines="0" w:afterAutospacing="0" w:line="600" w:lineRule="exact"/>
      <w:ind w:firstLine="640" w:firstLineChars="200"/>
      <w:outlineLvl w:val="1"/>
    </w:pPr>
    <w:rPr>
      <w:rFonts w:ascii="仿宋_GB2312" w:hAnsi="仿宋_GB2312" w:eastAsia="黑体"/>
    </w:rPr>
  </w:style>
  <w:style w:type="paragraph" w:styleId="4">
    <w:name w:val="heading 3"/>
    <w:basedOn w:val="1"/>
    <w:next w:val="1"/>
    <w:link w:val="14"/>
    <w:unhideWhenUsed/>
    <w:qFormat/>
    <w:uiPriority w:val="0"/>
    <w:pPr>
      <w:outlineLvl w:val="2"/>
    </w:pPr>
    <w:rPr>
      <w:rFonts w:eastAsia="楷体_GB231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unhideWhenUsed/>
    <w:qFormat/>
    <w:uiPriority w:val="99"/>
    <w:pPr>
      <w:spacing w:beforeLines="0" w:after="120" w:afterLines="0"/>
      <w:ind w:left="420" w:leftChars="200"/>
    </w:pPr>
    <w:rPr>
      <w:rFonts w:hint="default"/>
      <w:sz w:val="24"/>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next w:val="1"/>
    <w:qFormat/>
    <w:uiPriority w:val="99"/>
    <w:pPr>
      <w:spacing w:before="240" w:after="60"/>
      <w:jc w:val="center"/>
      <w:outlineLvl w:val="0"/>
    </w:pPr>
    <w:rPr>
      <w:rFonts w:ascii="Cambria" w:hAnsi="Cambria"/>
      <w:b/>
      <w:bCs/>
      <w:sz w:val="32"/>
      <w:szCs w:val="32"/>
    </w:rPr>
  </w:style>
  <w:style w:type="paragraph" w:styleId="9">
    <w:name w:val="Body Text First Indent 2"/>
    <w:basedOn w:val="5"/>
    <w:unhideWhenUsed/>
    <w:qFormat/>
    <w:uiPriority w:val="99"/>
    <w:pPr>
      <w:autoSpaceDE/>
      <w:autoSpaceDN/>
      <w:adjustRightInd/>
      <w:spacing w:beforeLines="0" w:afterLines="0"/>
      <w:ind w:firstLine="420"/>
    </w:pPr>
    <w:rPr>
      <w:rFonts w:hint="eastAsia" w:ascii="宋体" w:hAnsi="宋体" w:eastAsia="宋体"/>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3 Char"/>
    <w:link w:val="4"/>
    <w:qFormat/>
    <w:uiPriority w:val="0"/>
    <w:rPr>
      <w:rFonts w:eastAsia="楷体_GB2312"/>
    </w:rPr>
  </w:style>
  <w:style w:type="character" w:customStyle="1" w:styleId="14">
    <w:name w:val="标题 3 Char1"/>
    <w:link w:val="4"/>
    <w:qFormat/>
    <w:uiPriority w:val="0"/>
    <w:rPr>
      <w:rFonts w:eastAsia="楷体_GB2312"/>
    </w:rPr>
  </w:style>
  <w:style w:type="character" w:customStyle="1" w:styleId="15">
    <w:name w:val="标题 2 Char"/>
    <w:link w:val="3"/>
    <w:qFormat/>
    <w:uiPriority w:val="0"/>
    <w:rPr>
      <w:rFonts w:ascii="仿宋_GB2312" w:hAnsi="仿宋_GB2312" w:eastAsia="黑体"/>
    </w:rPr>
  </w:style>
  <w:style w:type="character" w:customStyle="1" w:styleId="16">
    <w:name w:val="标题 1 Char"/>
    <w:link w:val="2"/>
    <w:qFormat/>
    <w:uiPriority w:val="0"/>
    <w:rPr>
      <w:rFonts w:eastAsia="方正小标宋简体"/>
      <w:kern w:val="44"/>
      <w:sz w:val="44"/>
    </w:rPr>
  </w:style>
  <w:style w:type="table" w:customStyle="1" w:styleId="17">
    <w:name w:val="mce-item-table"/>
    <w:basedOn w:val="10"/>
    <w:qFormat/>
    <w:uiPriority w:val="0"/>
  </w:style>
  <w:style w:type="paragraph" w:customStyle="1" w:styleId="18">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收入决算图 </a:t>
            </a:r>
          </a:p>
        </c:rich>
      </c:tx>
      <c:layout/>
      <c:overlay val="0"/>
      <c:spPr>
        <a:noFill/>
        <a:ln>
          <a:noFill/>
        </a:ln>
        <a:effectLst/>
      </c:spPr>
    </c:title>
    <c:autoTitleDeleted val="0"/>
    <c:plotArea>
      <c:layout/>
      <c:pieChart>
        <c:varyColors val="1"/>
        <c:ser>
          <c:idx val="0"/>
          <c:order val="0"/>
          <c:tx>
            <c:strRef>
              <c:f>[工作簿1]Sheet1!$B$2:$B$3</c:f>
              <c:strCache>
                <c:ptCount val="1"/>
                <c:pt idx="0">
                  <c:v>收入决算图 占比情况（%）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[工作簿1]Sheet1!$A$4:$A$5</c:f>
              <c:strCache>
                <c:ptCount val="2"/>
                <c:pt idx="0">
                  <c:v>财政拨款收入</c:v>
                </c:pt>
                <c:pt idx="1">
                  <c:v>非财政拨款收入</c:v>
                </c:pt>
              </c:strCache>
            </c:strRef>
          </c:cat>
          <c:val>
            <c:numRef>
              <c:f>[工作簿1]Sheet1!$B$4:$B$5</c:f>
              <c:numCache>
                <c:formatCode>General</c:formatCode>
                <c:ptCount val="2"/>
                <c:pt idx="0">
                  <c:v>100</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[工作簿1]Sheet1!$B$1:$B$2</c:f>
              <c:strCache>
                <c:ptCount val="2"/>
                <c:pt idx="0">
                  <c:v>基本支出</c:v>
                </c:pt>
                <c:pt idx="1">
                  <c:v>项目支出</c:v>
                </c:pt>
              </c:strCache>
            </c:strRef>
          </c:cat>
          <c:val>
            <c:numRef>
              <c:f>[工作簿1]Sheet1!$C$1:$C$2</c:f>
              <c:numCache>
                <c:formatCode>0.00%</c:formatCode>
                <c:ptCount val="2"/>
                <c:pt idx="0">
                  <c:v>0.1234</c:v>
                </c:pt>
                <c:pt idx="1">
                  <c:v>0.8766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9050</Words>
  <Characters>10113</Characters>
  <Lines>0</Lines>
  <Paragraphs>0</Paragraphs>
  <TotalTime>43</TotalTime>
  <ScaleCrop>false</ScaleCrop>
  <LinksUpToDate>false</LinksUpToDate>
  <CharactersWithSpaces>10158</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2023-08-19T01:13:00Z</dcterms:created>
  <dc:creator>Administrator</dc:creator>
  <cp:lastModifiedBy>Administrator</cp:lastModifiedBy>
  <cp:lastPrinted>2026-08-12T08:30:00Z</cp:lastPrinted>
  <dcterms:modified xsi:type="dcterms:W3CDTF">2026-08-14T02:06:22Z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ICV">
    <vt:lpwstr>B1736008A4E74C5FAB62C30AD5537E6D_13</vt:lpwstr>
  </property>
  <property fmtid="{D5CDD505-2E9C-101B-9397-08002B2CF9AE}" pid="4" name="KSOTemplateDocerSaveRecord">
    <vt:lpwstr>eyJoZGlkIjoiNmZhMTU1ODg1MzNlZjYwNWJkZWNiMzJjYjNjYWRkYWQiLCJ1c2VySWQiOiIzOTEzNjc1MDIifQ==</vt:lpwstr>
  </property>
</Properties>
</file>